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22222"/>
          <w:sz w:val="40"/>
        </w:rPr>
        <w:t>DATA CENTERS AT AIRPORTS: AIRSIDE RISKS</w:t>
      </w:r>
    </w:p>
    <w:p>
      <w:pPr>
        <w:jc w:val="center"/>
      </w:pPr>
      <w:r>
        <w:rPr>
          <w:rFonts w:ascii="Calibri" w:hAnsi="Calibri"/>
          <w:color w:val="555555"/>
          <w:sz w:val="22"/>
        </w:rPr>
        <w:t>EXECUTIVE  SUMMARY</w:t>
      </w:r>
    </w:p>
    <w:p>
      <w:pPr>
        <w:jc w:val="center"/>
      </w:pPr>
      <w:r>
        <w:rPr>
          <w:rFonts w:ascii="Calibri" w:hAnsi="Calibri"/>
          <w:color w:val="777777"/>
          <w:sz w:val="20"/>
        </w:rPr>
        <w:t>July 2026  ·  Transform Airports AI Council</w:t>
      </w:r>
    </w:p>
    <w:p/>
    <w:p>
      <w:pPr>
        <w:pStyle w:val="Heading1"/>
      </w:pPr>
      <w:r>
        <w:rPr>
          <w:rFonts w:ascii="Calibri" w:hAnsi="Calibri"/>
          <w:sz w:val="32"/>
        </w:rPr>
        <w:t>The Building Is Already Finished</w:t>
      </w:r>
    </w:p>
    <w:p>
      <w:r>
        <w:rPr>
          <w:rFonts w:ascii="Calibri" w:hAnsi="Calibri"/>
          <w:i/>
          <w:sz w:val="22"/>
        </w:rPr>
        <w:t>Data centers near flight paths, and the gap between clearing a surface and proving compatibility</w:t>
      </w:r>
    </w:p>
    <w:p>
      <w:pPr>
        <w:pStyle w:val="Heading2"/>
      </w:pPr>
      <w:r>
        <w:rPr>
          <w:rFonts w:ascii="Calibri" w:hAnsi="Calibri"/>
          <w:sz w:val="28"/>
        </w:rPr>
        <w:t>Executive Summary</w:t>
      </w:r>
    </w:p>
    <w:p>
      <w:pPr>
        <w:pStyle w:val="ListNumber"/>
      </w:pPr>
      <w:r>
        <w:rPr>
          <w:rFonts w:ascii="Calibri" w:hAnsi="Calibri"/>
          <w:b/>
          <w:sz w:val="22"/>
        </w:rPr>
        <w:t>The review that governs the decision cannot see the hazard.</w:t>
      </w:r>
      <w:r>
        <w:rPr>
          <w:rFonts w:ascii="Calibri" w:hAnsi="Calibri"/>
          <w:sz w:val="22"/>
        </w:rPr>
        <w:t xml:space="preserve"> 14 CFR Part 77 evaluates whether a </w:t>
      </w:r>
      <w:r>
        <w:rPr>
          <w:rFonts w:ascii="Calibri" w:hAnsi="Calibri"/>
          <w:i/>
          <w:sz w:val="22"/>
        </w:rPr>
        <w:t>structure</w:t>
      </w:r>
      <w:r>
        <w:rPr>
          <w:rFonts w:ascii="Calibri" w:hAnsi="Calibri"/>
          <w:sz w:val="22"/>
        </w:rPr>
        <w:t xml:space="preserve"> penetrates airspace surfaces; thermal plumes, generator exhaust, EMI, lighting, and wildlife are not Part 77 surfaces. A data center can earn a "Determination of No Hazard" and still create every airside risk under discussion [Regulatory-Political brief]. The FAA's own guidance warns that plume turbulence "can extend to heights of over 1,000 feet above the top of the stack or cooling tower," worst in calm, cold, stable air, "in and around approach and departure corridors" [Chief-Engineer brief, citing FAA AIM 7-6-16]. The building clears the surface; the hazard clears the building.</w:t>
      </w:r>
    </w:p>
    <w:p>
      <w:pPr>
        <w:pStyle w:val="Heading2"/>
      </w:pPr>
      <w:r>
        <w:rPr>
          <w:rFonts w:ascii="Calibri" w:hAnsi="Calibri"/>
          <w:sz w:val="28"/>
        </w:rPr>
        <w:t>The Argument</w:t>
      </w:r>
    </w:p>
    <w:p>
      <w:r>
        <w:rPr>
          <w:rFonts w:ascii="Calibri" w:hAnsi="Calibri"/>
          <w:sz w:val="22"/>
        </w:rPr>
        <w:t>When a developer proposes a structure near an airport, the binding federal instrument is a Form 7460-1 filing and a Part 77 aeronautical study. The FAA models whether the building penetrates the airspace surfaces that protect approaches, departures, and traffic patterns, and issues a "No Hazard" or "Hazard" determination. It is a good tool for the question it answers: is this object too tall, here?</w:t>
      </w:r>
    </w:p>
    <w:p>
      <w:pPr>
        <w:pStyle w:val="Heading2"/>
      </w:pPr>
      <w:r>
        <w:rPr>
          <w:rFonts w:ascii="Calibri" w:hAnsi="Calibri"/>
          <w:sz w:val="28"/>
        </w:rPr>
        <w:t>The Counter-Case, Honestly Presented</w:t>
      </w:r>
    </w:p>
    <w:p>
      <w:r>
        <w:rPr>
          <w:rFonts w:ascii="Calibri" w:hAnsi="Calibri"/>
          <w:sz w:val="22"/>
        </w:rPr>
        <w:t>The strongest case against this thesis is not "data centers are harmless." It is narrower, better-evidenced, and harder to dismiss.</w:t>
      </w:r>
    </w:p>
    <w:p>
      <w:pPr>
        <w:pStyle w:val="Heading2"/>
      </w:pPr>
      <w:r>
        <w:rPr>
          <w:rFonts w:ascii="Calibri" w:hAnsi="Calibri"/>
          <w:sz w:val="28"/>
        </w:rPr>
        <w:t>Why the Counter-Case Is Insufficient</w:t>
      </w:r>
    </w:p>
    <w:p>
      <w:r>
        <w:rPr>
          <w:rFonts w:ascii="Calibri" w:hAnsi="Calibri"/>
          <w:sz w:val="22"/>
        </w:rPr>
        <w:t xml:space="preserve">Concede what must be conceded, by name. The 1,000-foot turbulence figure and the 4.3 m/s threshold are combustion numbers, imported from power plants, and applying them to routine data-center cooling overstates the hazard — the panel's own engineers warn that opponents "who hang the argument on a morning steam wisp will lose the technical fight" [Chief-Engineer brief]. EMI is unproven: no brief on this panel could produce a documented instance of a data center degrading a navigation aid [Chief-Engineer, Contrarian briefs]. A dry data center usually </w:t>
      </w:r>
      <w:r>
        <w:rPr>
          <w:rFonts w:ascii="Calibri" w:hAnsi="Calibri"/>
          <w:i/>
          <w:sz w:val="22"/>
        </w:rPr>
        <w:t>reduces</w:t>
      </w:r>
      <w:r>
        <w:rPr>
          <w:rFonts w:ascii="Calibri" w:hAnsi="Calibri"/>
          <w:sz w:val="22"/>
        </w:rPr>
        <w:t xml:space="preserve"> the wildlife profile relative to farmland or a landfill; the wildlife argument holds only at the stormwater-pond vector. Cooling technology is genuinely de-risking. And a blanket precautionary gate over every building past a proximity line would be exactly the obstruction the contrarian warns against, and would deserve to lose.</w:t>
      </w:r>
    </w:p>
    <w:p>
      <w:pPr>
        <w:pStyle w:val="Heading2"/>
      </w:pPr>
      <w:r>
        <w:rPr>
          <w:rFonts w:ascii="Calibri" w:hAnsi="Calibri"/>
          <w:sz w:val="28"/>
        </w:rPr>
        <w:t>Implications for MWAA</w:t>
      </w:r>
    </w:p>
    <w:p>
      <w:r>
        <w:rPr>
          <w:rFonts w:ascii="Calibri" w:hAnsi="Calibri"/>
          <w:sz w:val="22"/>
        </w:rPr>
        <w:t>MWAA is not weighing an abstraction. It has run this play once, on the exact land this thesis is about, and it is about to be asked to run it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