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16"/>
          <w:szCs w:val="16"/>
        </w:rPr>
        <w:t xml:space="preserve"/>
      </w:r>
    </w:p>
    <w:p>
      <w:pPr>
        <w:spacing w:after="80"/>
        <w:jc w:val="center"/>
      </w:pPr>
      <w:r>
        <w:rPr>
          <w:rFonts w:ascii="Calibri" w:cs="Calibri" w:eastAsia="Calibri" w:hAnsi="Calibri"/>
          <w:b/>
          <w:bCs/>
          <w:color w:val="6B7280"/>
          <w:spacing w:val="60"/>
          <w:sz w:val="18"/>
          <w:szCs w:val="18"/>
        </w:rPr>
        <w:t xml:space="preserve">EXECUTIVE SUMMARY</w:t>
      </w:r>
    </w:p>
    <w:p>
      <w:pPr>
        <w:spacing w:after="80"/>
        <w:jc w:val="center"/>
      </w:pPr>
      <w:r>
        <w:rPr>
          <w:rFonts w:ascii="Calibri" w:cs="Calibri" w:eastAsia="Calibri" w:hAnsi="Calibri"/>
          <w:b/>
          <w:bCs/>
          <w:color w:val="111111"/>
          <w:sz w:val="40"/>
          <w:szCs w:val="40"/>
        </w:rPr>
        <w:t xml:space="preserve">The Airport Southwest Was,</w:t>
      </w:r>
    </w:p>
    <w:p>
      <w:pPr>
        <w:spacing w:after="140"/>
        <w:jc w:val="center"/>
      </w:pPr>
      <w:r>
        <w:rPr>
          <w:rFonts w:ascii="Calibri" w:cs="Calibri" w:eastAsia="Calibri" w:hAnsi="Calibri"/>
          <w:b/>
          <w:bCs/>
          <w:color w:val="111111"/>
          <w:sz w:val="40"/>
          <w:szCs w:val="40"/>
        </w:rPr>
        <w:t xml:space="preserve">The Airport Southwest Is Becoming</w:t>
      </w:r>
    </w:p>
    <w:p>
      <w:pPr>
        <w:spacing w:after="160"/>
        <w:jc w:val="center"/>
      </w:pPr>
      <w:r>
        <w:rPr>
          <w:rFonts w:ascii="Calibri" w:cs="Calibri" w:eastAsia="Calibri" w:hAnsi="Calibri"/>
          <w:i/>
          <w:iCs/>
          <w:color w:val="4B5563"/>
          <w:sz w:val="24"/>
          <w:szCs w:val="24"/>
        </w:rPr>
        <w:t xml:space="preserve">Nashville’s Capital Program and a Carrier in Mid-Transformation</w:t>
      </w:r>
    </w:p>
    <w:p>
      <w:pPr>
        <w:pBdr>
          <w:top w:val="single" w:color="BFBFBF" w:sz="4" w:space="8"/>
          <w:bottom w:val="single" w:color="BFBFBF" w:sz="4" w:space="8"/>
        </w:pBdr>
        <w:spacing w:after="320"/>
        <w:jc w:val="center"/>
      </w:pPr>
      <w:r>
        <w:rPr>
          <w:rFonts w:ascii="Calibri" w:cs="Calibri" w:eastAsia="Calibri" w:hAnsi="Calibri"/>
          <w:color w:val="6B7280"/>
          <w:spacing w:val="30"/>
          <w:sz w:val="18"/>
          <w:szCs w:val="18"/>
        </w:rPr>
        <w:t xml:space="preserve">    Transform Airports AI Council    ·    April 21, 2026    </w:t>
      </w:r>
    </w:p>
    <w:p>
      <w:pPr>
        <w:spacing w:after="180" w:line="320"/>
        <w:jc w:val="left"/>
      </w:pPr>
      <w:r>
        <w:rPr>
          <w:rFonts w:ascii="Calibri" w:cs="Calibri" w:eastAsia="Calibri" w:hAnsi="Calibri"/>
          <w:sz w:val="22"/>
          <w:szCs w:val="22"/>
        </w:rPr>
        <w:t xml:space="preserve">On January 26, 2026, Southwest Airlines flight 1971 landed in Los Angeles. The gate agents applauded. A flight attendant told CNBC she was so happy she wanted to cry. Flight 1971 was the last Southwest flight to operate under open seating, the policy the carrier had held for fifty-four years and that every competitor had tried to replicate and failed. The applause was genuine. The policy ended anyway.</w:t>
      </w:r>
    </w:p>
    <w:p>
      <w:pPr>
        <w:spacing w:after="180" w:line="320"/>
        <w:jc w:val="left"/>
      </w:pPr>
      <w:r>
        <w:rPr>
          <w:rFonts w:ascii="Calibri" w:cs="Calibri" w:eastAsia="Calibri" w:hAnsi="Calibri"/>
          <w:sz w:val="22"/>
          <w:szCs w:val="22"/>
        </w:rPr>
        <w:t xml:space="preserve">The end of open seating is one of six transformations Southwest compressed into eighteen months. Checked-bag fees now run $45 for the first bag and $55 for the second. Basic economy fares have replaced Wanna Get Away. The carrier joined the online travel agency distribution network it had refused for two decades. It committed to premium extra-legroom seats on a third of its fleet. It filed permits in February 2026 for a 30,000-square-foot, $53 million airport lounge in the central mezzanine at Nashville International — the largest lounge in its corporate pipeline and the physical evidence that the airline whose name still hangs above Concourse D is no longer the airline that designed it.</w:t>
      </w:r>
    </w:p>
    <w:p>
      <w:pPr>
        <w:spacing w:after="180" w:line="320"/>
        <w:jc w:val="left"/>
      </w:pPr>
      <w:r>
        <w:rPr>
          <w:rFonts w:ascii="Calibri" w:cs="Calibri" w:eastAsia="Calibri" w:hAnsi="Calibri"/>
          <w:b/>
          <w:bCs/>
          <w:sz w:val="22"/>
          <w:szCs w:val="22"/>
        </w:rPr>
        <w:t xml:space="preserve">This essay argues three things. </w:t>
      </w:r>
      <w:r>
        <w:rPr>
          <w:rFonts w:ascii="Calibri" w:cs="Calibri" w:eastAsia="Calibri" w:hAnsi="Calibri"/>
          <w:sz w:val="22"/>
          <w:szCs w:val="22"/>
        </w:rPr>
        <w:t xml:space="preserve">First, Southwest is completing a decade-compressed transformation from the highest-productivity point-to-point carrier in U.S. aviation history to a hybrid revenue-optimization carrier, and the transformation is structurally irreversible. Second, Nashville International’s capital program — $4.5 billion committed since 2017, with the uncommitted tranches of the New Horizon program still to be design-locked — was scoped against the Southwest that existed when ground broke, not the Southwest that will be flying in 2030. Third, the gap between those two airlines is narrow enough to be invisible from a glance at the gate chart, and wide enough that the Metropolitan Nashville Airport Authority’s next three capital decisions should be pressure-tested against the new model before they are committed, not after.</w:t>
      </w:r>
    </w:p>
    <w:p>
      <w:pPr>
        <w:pBdr>
          <w:bottom w:val="single" w:color="BFBFBF" w:sz="4" w:space="4"/>
        </w:pBdr>
        <w:spacing w:after="160" w:before="280"/>
      </w:pPr>
      <w:r>
        <w:rPr>
          <w:rFonts w:ascii="Calibri" w:cs="Calibri" w:eastAsia="Calibri" w:hAnsi="Calibri"/>
          <w:b/>
          <w:bCs/>
          <w:color w:val="1F2937"/>
          <w:spacing w:val="40"/>
          <w:sz w:val="22"/>
          <w:szCs w:val="22"/>
        </w:rPr>
        <w:t xml:space="preserve">THE EVIDENCE</w:t>
      </w:r>
    </w:p>
    <w:p>
      <w:pPr>
        <w:spacing w:after="180" w:line="320"/>
        <w:jc w:val="left"/>
      </w:pPr>
      <w:r>
        <w:rPr>
          <w:rFonts w:ascii="Calibri" w:cs="Calibri" w:eastAsia="Calibri" w:hAnsi="Calibri"/>
          <w:b/>
          <w:bCs/>
          <w:sz w:val="22"/>
          <w:szCs w:val="22"/>
        </w:rPr>
        <w:t xml:space="preserve">Southwest’s presence at BNA is deepening even as its character changes. </w:t>
      </w:r>
      <w:r>
        <w:rPr>
          <w:rFonts w:ascii="Calibri" w:cs="Calibri" w:eastAsia="Calibri" w:hAnsi="Calibri"/>
          <w:sz w:val="22"/>
          <w:szCs w:val="22"/>
        </w:rPr>
        <w:t xml:space="preserve">The carrier holds 54% of total BNA traffic and 60% of seat capacity. It opened its twelfth crew base at BNA in May 2024 — somewhere between 650 and 950 employees. It operated 166 daily departures last year, 190 this spring, and is scheduled for 215 by fall 2026. Nashville is one of four coordinating connection banks in Southwest’s new schedule architecture. This is the opposite of a departure signal. It is also the opposite of the high-frequency, quick-turn, point-to-point relationship that Concourse D was designed around.</w:t>
      </w:r>
    </w:p>
    <w:p>
      <w:pPr>
        <w:spacing w:after="180" w:line="320"/>
        <w:jc w:val="left"/>
      </w:pPr>
      <w:r>
        <w:rPr>
          <w:rFonts w:ascii="Calibri" w:cs="Calibri" w:eastAsia="Calibri" w:hAnsi="Calibri"/>
          <w:b/>
          <w:bCs/>
          <w:sz w:val="22"/>
          <w:szCs w:val="22"/>
        </w:rPr>
        <w:t xml:space="preserve">The operational math runs against gate productivity in the short term. </w:t>
      </w:r>
      <w:r>
        <w:rPr>
          <w:rFonts w:ascii="Calibri" w:cs="Calibri" w:eastAsia="Calibri" w:hAnsi="Calibri"/>
          <w:sz w:val="22"/>
          <w:szCs w:val="22"/>
        </w:rPr>
        <w:t xml:space="preserve">Southwest’s own 2006 internal testing showed assigned seating adds one to four minutes of boarding time. A three-minute average increase across 166 daily Concourse D departures consumes roughly eight gate-hours per day. The fleet is simultaneously upgauging from 143-seat 737-700s to 175-seat MAX 8s — a 22% increase in passengers per gate cycle on infrastructure sized before the shift. The system-average turn that had sat at 25 minutes for most of the carrier’s history was 49 minutes by 2024. The company’s own target is 44.</w:t>
      </w:r>
    </w:p>
    <w:p>
      <w:pPr>
        <w:spacing w:after="180" w:line="320"/>
        <w:jc w:val="left"/>
      </w:pPr>
      <w:r>
        <w:rPr>
          <w:rFonts w:ascii="Calibri" w:cs="Calibri" w:eastAsia="Calibri" w:hAnsi="Calibri"/>
          <w:b/>
          <w:bCs/>
          <w:sz w:val="22"/>
          <w:szCs w:val="22"/>
        </w:rPr>
        <w:t xml:space="preserve">The airport’s financials are tightening in the same window. </w:t>
      </w:r>
      <w:r>
        <w:rPr>
          <w:rFonts w:ascii="Calibri" w:cs="Calibri" w:eastAsia="Calibri" w:hAnsi="Calibri"/>
          <w:sz w:val="22"/>
          <w:szCs w:val="22"/>
        </w:rPr>
        <w:t xml:space="preserve">BNA’s cost per enplanement is projected to rise from $8.49 in FY2024 to $17.48 by FY2032, nearly doubling. The increase is driven almost entirely by debt service on New Horizon. Senior debt service coverage is projected to fall from 5.95x in FY2025 to 1.80x in FY2030 against a covenant floor of 1.25x. Southwest’s January 2025 letter to MNAA asking the Authority to keep cost increases to a reasonable level is the revealed-preference data point that matters. Carriers send letters like that eighteen months before they begin diverting growth to cheaper stations.</w:t>
      </w:r>
    </w:p>
    <w:p>
      <w:pPr>
        <w:spacing w:after="180" w:line="320"/>
        <w:jc w:val="left"/>
      </w:pPr>
      <w:r>
        <w:rPr>
          <w:rFonts w:ascii="Calibri" w:cs="Calibri" w:eastAsia="Calibri" w:hAnsi="Calibri"/>
          <w:b/>
          <w:bCs/>
          <w:sz w:val="22"/>
          <w:szCs w:val="22"/>
        </w:rPr>
        <w:t xml:space="preserve">The airline use agreement executed in July 2023 is the hinge. </w:t>
      </w:r>
      <w:r>
        <w:rPr>
          <w:rFonts w:ascii="Calibri" w:cs="Calibri" w:eastAsia="Calibri" w:hAnsi="Calibri"/>
          <w:sz w:val="22"/>
          <w:szCs w:val="22"/>
        </w:rPr>
        <w:t xml:space="preserve">It eliminated Southwest’s majority-in-interest veto over terminal capital — a generational shift for MNAA — but locked terminal rental rates through June 30, 2031. Southwest signed it a year before Elliott Management’s stake became public and fifteen months before the September 2024 Investor Day announced the transformation. Both sides got what they wanted from the negotiation. One side knew more about what was coming.</w:t>
      </w:r>
    </w:p>
    <w:p>
      <w:pPr>
        <w:pBdr>
          <w:bottom w:val="single" w:color="BFBFBF" w:sz="4" w:space="4"/>
        </w:pBdr>
        <w:spacing w:after="160" w:before="280"/>
      </w:pPr>
      <w:r>
        <w:rPr>
          <w:rFonts w:ascii="Calibri" w:cs="Calibri" w:eastAsia="Calibri" w:hAnsi="Calibri"/>
          <w:b/>
          <w:bCs/>
          <w:color w:val="1F2937"/>
          <w:spacing w:val="40"/>
          <w:sz w:val="22"/>
          <w:szCs w:val="22"/>
        </w:rPr>
        <w:t xml:space="preserve">THE COUNTER-CASE, HONESTLY</w:t>
      </w:r>
    </w:p>
    <w:p>
      <w:pPr>
        <w:spacing w:after="180" w:line="320"/>
        <w:jc w:val="left"/>
      </w:pPr>
      <w:r>
        <w:rPr>
          <w:rFonts w:ascii="Calibri" w:cs="Calibri" w:eastAsia="Calibri" w:hAnsi="Calibri"/>
          <w:sz w:val="22"/>
          <w:szCs w:val="22"/>
        </w:rPr>
        <w:t xml:space="preserve">The strongest version of the opposing view is that BNA Vision was scaled to metropolitan demand growth, not to any specific carrier’s boarding process, and that Southwest’s transformation is a revenue-side phenomenon that should not move airport capital decisions. Nashville remains one of the fastest-growing mid-size markets in the country. Southwest is setting departure records, not reducing them. Historical airport bets on carrier behavior — at Memphis, at Cincinnati, at Pittsburgh — produced abandoned terminals; historical bets on demand held their value through the next carrier’s arrival.</w:t>
      </w:r>
    </w:p>
    <w:p>
      <w:pPr>
        <w:spacing w:after="180" w:line="320"/>
        <w:jc w:val="left"/>
      </w:pPr>
      <w:r>
        <w:rPr>
          <w:rFonts w:ascii="Calibri" w:cs="Calibri" w:eastAsia="Calibri" w:hAnsi="Calibri"/>
          <w:sz w:val="22"/>
          <w:szCs w:val="22"/>
        </w:rPr>
        <w:t xml:space="preserve">That argument is honest, and it is not sufficient. Demand volume is one planning input. The per-passenger infrastructure profile is a second — larger aircraft, longer dwell, more checked bags, more premium square footage — and it has changed. Continental’s 1995 reduction of service at Denver after a CPE spike is the cleaner precedent than the dehubbings: a carrier with network commitment shifting where growth went once the cost curve crossed a threshold. The January 2025 letter suggests Southwest’s finance team is already watching that curve.</w:t>
      </w:r>
    </w:p>
    <w:p>
      <w:pPr>
        <w:pBdr>
          <w:bottom w:val="single" w:color="BFBFBF" w:sz="4" w:space="4"/>
        </w:pBdr>
        <w:spacing w:after="160" w:before="280"/>
      </w:pPr>
      <w:r>
        <w:rPr>
          <w:rFonts w:ascii="Calibri" w:cs="Calibri" w:eastAsia="Calibri" w:hAnsi="Calibri"/>
          <w:b/>
          <w:bCs/>
          <w:color w:val="1F2937"/>
          <w:spacing w:val="40"/>
          <w:sz w:val="22"/>
          <w:szCs w:val="22"/>
        </w:rPr>
        <w:t xml:space="preserve">WHAT THIS MEANS FOR MNAA</w:t>
      </w:r>
    </w:p>
    <w:p>
      <w:pPr>
        <w:spacing w:after="180" w:line="320"/>
        <w:jc w:val="left"/>
      </w:pPr>
      <w:r>
        <w:rPr>
          <w:rFonts w:ascii="Calibri" w:cs="Calibri" w:eastAsia="Calibri" w:hAnsi="Calibri"/>
          <w:sz w:val="22"/>
          <w:szCs w:val="22"/>
        </w:rPr>
        <w:t xml:space="preserve">Three capital decisions carry load-bearing weight before 2028. The Concourse A reconstruction — 16 gates, 374,000 square feet, $855 million, target July 2028 — has not fully locked its design. Hold room sizing, podium configuration, premium queuing geometry, and lounge adjacencies are each still adjustable within the Hensel Phelps contract. The baggage handling system expansion commissions in October 2028; its load case against a checked-bag mix reflecting the new fee structure, a behavioral shift of 25 to 30 percent of carry-on passengers to the hold, and a 215-departure peak is a load case the systems integrator should already have in its model — and if it has not been re-run since the May 2025 bag-fee rollout, it needs to be. The Central Ramp Expansion’s September 2027 hookup configuration for seven remain-overnight and deicing positions is the hardest decision to reverse: concrete pours last forty years, and the power, data, preconditioned-air, and ground-power-unit density for a carrier running a redeye fleet with premium passenger expectations is different from the density for a carrier that turned aircraft quickly and kept overnight counts low.</w:t>
      </w:r>
    </w:p>
    <w:p>
      <w:pPr>
        <w:spacing w:after="180" w:line="320"/>
        <w:jc w:val="left"/>
      </w:pPr>
      <w:r>
        <w:rPr>
          <w:rFonts w:ascii="Calibri" w:cs="Calibri" w:eastAsia="Calibri" w:hAnsi="Calibri"/>
          <w:sz w:val="22"/>
          <w:szCs w:val="22"/>
        </w:rPr>
        <w:t xml:space="preserve">Underneath these three, the 2031 use agreement renewal is the pressure point. The fixed rental rate through 2031 means the airport cannot pass through rising debt service to Southwest during the contract term. The leverage for 2031 is built between now and 2030, in how Concourse A lands, in how Southwest’s CPE at BNA compares to peer airports the carrier has added capacity to, and in whether the Oasis lounge is meeting its traffic and revenue targets two years into operation. MNAA should start positioning for that renegotiation now, not in 2030. The lounge terms already under discussion are the leading edge.</w:t>
      </w:r>
    </w:p>
    <w:p>
      <w:pPr>
        <w:pBdr>
          <w:bottom w:val="single" w:color="BFBFBF" w:sz="4" w:space="4"/>
        </w:pBdr>
        <w:spacing w:after="160" w:before="280"/>
      </w:pPr>
      <w:r>
        <w:rPr>
          <w:rFonts w:ascii="Calibri" w:cs="Calibri" w:eastAsia="Calibri" w:hAnsi="Calibri"/>
          <w:b/>
          <w:bCs/>
          <w:color w:val="1F2937"/>
          <w:spacing w:val="40"/>
          <w:sz w:val="22"/>
          <w:szCs w:val="22"/>
        </w:rPr>
        <w:t xml:space="preserve">THE QUESTION, STATED ONCE</w:t>
      </w:r>
    </w:p>
    <w:p>
      <w:pPr>
        <w:spacing w:after="240" w:line="320"/>
        <w:jc w:val="left"/>
      </w:pPr>
      <w:r>
        <w:rPr>
          <w:rFonts w:ascii="Calibri" w:cs="Calibri" w:eastAsia="Calibri" w:hAnsi="Calibri"/>
          <w:sz w:val="22"/>
          <w:szCs w:val="22"/>
        </w:rPr>
        <w:t xml:space="preserve">The question MNAA’s planners should ask at their next capital planning meeting is not whether Southwest will still be at BNA in 2030. That has an easy answer. The question is this: what does each remaining New Horizon tranche look like if Southwest’s 2030 operation runs 49-minute turns on 175-seat aircraft, banks four connections daily at Nashville, operates a 30,000-square-foot premium lounge above the lobby, and charges $55 for a checked bag? Every element of that sentence is a fact already established by Southwest’s own filings and operating record. None of them requires a forecast.</w:t>
      </w:r>
    </w:p>
    <w:p>
      <w:pPr>
        <w:pBdr>
          <w:top w:val="single" w:color="BFBFBF" w:sz="4" w:space="8"/>
        </w:pBdr>
        <w:spacing w:before="240" w:line="300"/>
      </w:pPr>
      <w:r>
        <w:rPr>
          <w:rFonts w:ascii="Calibri" w:cs="Calibri" w:eastAsia="Calibri" w:hAnsi="Calibri"/>
          <w:i/>
          <w:iCs/>
          <w:color w:val="6B7280"/>
          <w:sz w:val="18"/>
          <w:szCs w:val="18"/>
        </w:rPr>
        <w:t xml:space="preserve">Executive summary of an 8,200-word report produced by the Transform Airports AI Council. Every numerical claim traces to a primary research brief or a disclosed analyst construction. The full report and methodology appendix are available under separate cover.</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Executive Summary  ·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Airport Southwest Was, The Airport Southwest Is Becoming — Executive Summary</dc:title>
  <dc:creator>Transform Airports AI Council</dc:creator>
  <dc:description>Three-page executive summary of the full report</dc:description>
  <cp:lastModifiedBy>Un-named</cp:lastModifiedBy>
  <cp:revision>1</cp:revision>
  <dcterms:created xsi:type="dcterms:W3CDTF">2026-04-21T15:32:58.432Z</dcterms:created>
  <dcterms:modified xsi:type="dcterms:W3CDTF">2026-04-21T15:32:58.433Z</dcterms:modified>
</cp:coreProperties>
</file>

<file path=docProps/custom.xml><?xml version="1.0" encoding="utf-8"?>
<Properties xmlns="http://schemas.openxmlformats.org/officeDocument/2006/custom-properties" xmlns:vt="http://schemas.openxmlformats.org/officeDocument/2006/docPropsVTypes"/>
</file>