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BAGGAGE HANDLING BEST PRACTICES</w:t>
      </w:r>
    </w:p>
    <w:p>
      <w:pPr>
        <w:jc w:val="center"/>
      </w:pPr>
      <w:r>
        <w:rPr>
          <w:rFonts w:ascii="Calibri" w:hAnsi="Calibri"/>
          <w:color w:val="555555"/>
          <w:sz w:val="22"/>
        </w:rPr>
        <w:t>EXECUTIVE  SUMMARY</w:t>
      </w:r>
    </w:p>
    <w:p>
      <w:pPr>
        <w:jc w:val="center"/>
      </w:pPr>
      <w:r>
        <w:rPr>
          <w:rFonts w:ascii="Calibri" w:hAnsi="Calibri"/>
          <w:color w:val="777777"/>
          <w:sz w:val="20"/>
        </w:rPr>
        <w:t>June 2026  ·  Transform Airports AI Council</w:t>
      </w:r>
    </w:p>
    <w:p/>
    <w:p>
      <w:pPr>
        <w:pStyle w:val="Heading1"/>
      </w:pPr>
      <w:r>
        <w:rPr>
          <w:rFonts w:ascii="Calibri" w:hAnsi="Calibri"/>
          <w:sz w:val="32"/>
        </w:rPr>
        <w:t>The Filter Nobody Removed: BHS Failure Is a Governance Problem, and MWAA's Capital Program Is the Place to Prove Otherwise</w:t>
      </w:r>
    </w:p>
    <w:p>
      <w:r>
        <w:rPr>
          <w:rFonts w:ascii="Calibri" w:hAnsi="Calibri"/>
          <w:b/>
          <w:sz w:val="22"/>
        </w:rPr>
        <w:t>Council Run:</w:t>
      </w:r>
      <w:r>
        <w:rPr>
          <w:rFonts w:ascii="Calibri" w:hAnsi="Calibri"/>
          <w:sz w:val="22"/>
        </w:rPr>
        <w:t xml:space="preserve"> Baggage Handling Best Practices </w:t>
      </w:r>
      <w:r>
        <w:rPr>
          <w:rFonts w:ascii="Calibri" w:hAnsi="Calibri"/>
          <w:b/>
          <w:sz w:val="22"/>
        </w:rPr>
        <w:t>Stage 3 — Final Draft (post fact-check)</w:t>
      </w:r>
      <w:r>
        <w:rPr>
          <w:rFonts w:ascii="Calibri" w:hAnsi="Calibri"/>
          <w:sz w:val="22"/>
        </w:rPr>
        <w:t xml:space="preserve"> </w:t>
      </w:r>
      <w:r>
        <w:rPr>
          <w:rFonts w:ascii="Calibri" w:hAnsi="Calibri"/>
          <w:b/>
          <w:sz w:val="22"/>
        </w:rPr>
        <w:t>Date:</w:t>
      </w:r>
      <w:r>
        <w:rPr>
          <w:rFonts w:ascii="Calibri" w:hAnsi="Calibri"/>
          <w:sz w:val="22"/>
        </w:rPr>
        <w:t xml:space="preserve"> June 3, 2026</w:t>
      </w:r>
    </w:p>
    <w:p>
      <w:pPr>
        <w:pStyle w:val="Heading2"/>
      </w:pPr>
      <w:r>
        <w:rPr>
          <w:rFonts w:ascii="Calibri" w:hAnsi="Calibri"/>
          <w:sz w:val="28"/>
        </w:rPr>
        <w:t>I. Opening</w:t>
      </w:r>
    </w:p>
    <w:p>
      <w:r>
        <w:rPr>
          <w:rFonts w:ascii="Calibri" w:hAnsi="Calibri"/>
          <w:sz w:val="22"/>
        </w:rPr>
        <w:t>Early on the morning of March 27, 2008, the first British Airways flight cleared the gate at Heathrow Terminal 5 and pushed back toward the runway. It carried no checked bags.</w:t>
      </w:r>
    </w:p>
    <w:p>
      <w:pPr>
        <w:pStyle w:val="Heading2"/>
      </w:pPr>
      <w:r>
        <w:rPr>
          <w:rFonts w:ascii="Calibri" w:hAnsi="Calibri"/>
          <w:sz w:val="28"/>
        </w:rPr>
        <w:t>II. Executive Summary</w:t>
      </w:r>
    </w:p>
    <w:p>
      <w:r>
        <w:rPr>
          <w:rFonts w:ascii="Calibri" w:hAnsi="Calibri"/>
          <w:sz w:val="22"/>
        </w:rPr>
        <w:t>Eight claims, each grounded in the evidence below.</w:t>
      </w:r>
    </w:p>
    <w:p>
      <w:pPr>
        <w:pStyle w:val="Heading2"/>
      </w:pPr>
      <w:r>
        <w:rPr>
          <w:rFonts w:ascii="Calibri" w:hAnsi="Calibri"/>
          <w:sz w:val="28"/>
        </w:rPr>
        <w:t>III. The Argument</w:t>
      </w:r>
    </w:p>
    <w:p>
      <w:r>
        <w:rPr>
          <w:rFonts w:ascii="Calibri" w:hAnsi="Calibri"/>
          <w:sz w:val="22"/>
        </w:rPr>
        <w:t>Walk through the four canonical cases as the engineers themselves saw them at the time, and the structural similarity is hard to dismiss.</w:t>
      </w:r>
    </w:p>
    <w:p>
      <w:r>
        <w:rPr>
          <w:rFonts w:ascii="Calibri" w:hAnsi="Calibri"/>
          <w:sz w:val="22"/>
        </w:rPr>
        <w:t>The newer risk has migrated from the iron to the code. The 2025 ransomware attack on Collins Aerospace took down outsourced check-in and BHS software at Berlin Brandenburg for days [UNVERIFIED — HUMAN REVIEW: the attack's reach to multiple European airports beyond BER is not confirmed in the Stage 1 evidence; verify scope before public publication]. This is a maturity gap in the software supply chain — and the failure mode the U.S. industry has done the least preparation for.</w:t>
      </w:r>
    </w:p>
    <w:p>
      <w:pPr>
        <w:pStyle w:val="Heading2"/>
      </w:pPr>
      <w:r>
        <w:rPr>
          <w:rFonts w:ascii="Calibri" w:hAnsi="Calibri"/>
          <w:sz w:val="28"/>
        </w:rPr>
        <w:t>IV. The Counter-Case</w:t>
      </w:r>
    </w:p>
    <w:p>
      <w:r>
        <w:rPr>
          <w:rFonts w:ascii="Calibri" w:hAnsi="Calibri"/>
          <w:sz w:val="22"/>
        </w:rPr>
        <w:t>The strongest argument against the governance thesis is not that the governance failures didn't happen. It is that the governance framing, applied to airports whose problem is something else, becomes a distraction. The case has weight and deserves to be stated at full strength.</w:t>
      </w:r>
    </w:p>
    <w:p>
      <w:pPr>
        <w:pStyle w:val="Heading2"/>
      </w:pPr>
      <w:r>
        <w:rPr>
          <w:rFonts w:ascii="Calibri" w:hAnsi="Calibri"/>
          <w:sz w:val="28"/>
        </w:rPr>
        <w:t>V. Why the Counter-Case Is Insufficient</w:t>
      </w:r>
    </w:p>
    <w:p>
      <w:r>
        <w:rPr>
          <w:rFonts w:ascii="Calibri" w:hAnsi="Calibri"/>
          <w:sz w:val="22"/>
        </w:rPr>
        <w:t>Some of those counter-arguments are conceded directly. Some are dissolved.</w:t>
      </w:r>
    </w:p>
    <w:p>
      <w:pPr>
        <w:pStyle w:val="Heading2"/>
      </w:pPr>
      <w:r>
        <w:rPr>
          <w:rFonts w:ascii="Calibri" w:hAnsi="Calibri"/>
          <w:sz w:val="28"/>
        </w:rPr>
        <w:t>VI. Implications for MWAA</w:t>
      </w:r>
    </w:p>
    <w:p>
      <w:r>
        <w:rPr>
          <w:rFonts w:ascii="Calibri" w:hAnsi="Calibri"/>
          <w:sz w:val="22"/>
        </w:rPr>
        <w:t>The conditions that produce a Denver-shaped or T5-shaped outcome are not hypothetical at IAD. They are the operating environment of the next thirty months.</w:t>
      </w:r>
    </w:p>
    <w:p>
      <w:r>
        <w:rPr>
          <w:rFonts w:ascii="Calibri" w:hAnsi="Calibri"/>
          <w:b/>
          <w:sz w:val="22"/>
        </w:rPr>
        <w:t>Write the redundant sortation path into the schematic-design RFP.</w:t>
      </w:r>
      <w:r>
        <w:rPr>
          <w:rFonts w:ascii="Calibri" w:hAnsi="Calibri"/>
          <w:sz w:val="22"/>
        </w:rPr>
        <w:t xml:space="preserve"> Conditional on the counter-case being conceded, this is the most important single recommendation in this report. If the redundant secondary sortation path is not specified in the RFP before tunnel cross-sections are fixed, no governance protocol can produce a non-degraded recovery from a sortation loop failure. The cost of designing a redundant path in at schematic is small. The cost of retrofitting one after the concrete is poured is, in the published experience of Seattle-Tacoma and Melbourne, ten to twenty times the design-phase figure [UNVERIFIED — HUMAN REVIEW: the specific 10–20× retrofit multiplier is a planning rule-of-thumb not directly cited in Stage 1 briefs; replace with sourced figure or remove before publication]. The Pittsburgh lesson sharpens the recommendation: a redundant sortation path that is carrier-agnostic — common-use matrix, contractual reassignability — is also the hedge against the dehubbing scenario the dominant-carrier configuration creates. Two arguments converge on the same physical specification.</w:t>
      </w:r>
    </w:p>
    <w:p>
      <w:pPr>
        <w:pStyle w:val="Heading2"/>
      </w:pPr>
      <w:r>
        <w:rPr>
          <w:rFonts w:ascii="Calibri" w:hAnsi="Calibri"/>
          <w:sz w:val="28"/>
        </w:rPr>
        <w:t>VII. Coda</w:t>
      </w:r>
    </w:p>
    <w:p>
      <w:r>
        <w:rPr>
          <w:rFonts w:ascii="Calibri" w:hAnsi="Calibri"/>
          <w:sz w:val="22"/>
        </w:rPr>
        <w:t>There is a moment at every airport, on the first day of operations at a new facility, when the first bag rides the first belt for the first time. At Heathrow Terminal 5 in the early hours of March 27, 2008, that bag never reached its aircraft, because a software filter from rehearsal had not been removed, and because no one at the company that built the system or the carrier that occupied it or the airport that owned it was empowered to delay the morning long enough to find out. The filter cost almost nothing to remove. The direct loss to British Airways was £16 million, with industry-side damage including BAA settlements and reputational costs substantially larger — and a decade of institutional memory loss whose true cost is the next airport that opens with a filter still in place.</w:t>
      </w:r>
    </w:p>
    <w:p>
      <w:r>
        <w:rPr>
          <w:rFonts w:ascii="Calibri" w:hAnsi="Calibri"/>
          <w:i/>
          <w:sz w:val="22"/>
        </w:rPr>
        <w:t>Stage 3 — Final draft after fact-check pass on Strategist v3 and Editor pass, June 3, 2026. Two passages tagged `[UNVERIFIED — HUMAN REVIEW]` for source confirmation prior to publication; see `outputs/stage3/fact-check-report.md` for the verification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