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22222"/>
          <w:sz w:val="40"/>
        </w:rPr>
        <w:t>INDOOR SIGNAGE BEST PRACTICES</w:t>
      </w:r>
    </w:p>
    <w:p>
      <w:pPr>
        <w:jc w:val="center"/>
      </w:pPr>
      <w:r>
        <w:rPr>
          <w:rFonts w:ascii="Calibri" w:hAnsi="Calibri"/>
          <w:color w:val="555555"/>
          <w:sz w:val="22"/>
        </w:rPr>
        <w:t>EXECUTIVE  SUMMARY</w:t>
      </w:r>
    </w:p>
    <w:p>
      <w:pPr>
        <w:jc w:val="center"/>
      </w:pPr>
      <w:r>
        <w:rPr>
          <w:rFonts w:ascii="Calibri" w:hAnsi="Calibri"/>
          <w:color w:val="777777"/>
          <w:sz w:val="20"/>
        </w:rPr>
        <w:t>June 2026  ·  Transform Airports AI Council</w:t>
      </w:r>
    </w:p>
    <w:p/>
    <w:p>
      <w:pPr>
        <w:pStyle w:val="Heading1"/>
      </w:pPr>
      <w:r>
        <w:rPr>
          <w:rFonts w:ascii="Calibri" w:hAnsi="Calibri"/>
          <w:sz w:val="32"/>
        </w:rPr>
        <w:t>The Cheapest Lever</w:t>
      </w:r>
    </w:p>
    <w:p>
      <w:pPr>
        <w:pStyle w:val="Heading2"/>
      </w:pPr>
      <w:r>
        <w:rPr>
          <w:rFonts w:ascii="Calibri" w:hAnsi="Calibri"/>
          <w:sz w:val="28"/>
        </w:rPr>
        <w:t>A Report on Airport Wayfinding as a Governance Discipline</w:t>
      </w:r>
    </w:p>
    <w:p>
      <w:r>
        <w:rPr>
          <w:rFonts w:ascii="Calibri" w:hAnsi="Calibri"/>
          <w:i/>
          <w:sz w:val="22"/>
        </w:rPr>
        <w:t>Transform Airports AI Council — Indoor Signage Best Practices Run</w:t>
      </w:r>
      <w:r>
        <w:rPr>
          <w:rFonts w:ascii="Calibri" w:hAnsi="Calibri"/>
          <w:sz w:val="22"/>
        </w:rPr>
        <w:t xml:space="preserve"> </w:t>
      </w:r>
      <w:r>
        <w:rPr>
          <w:rFonts w:ascii="Calibri" w:hAnsi="Calibri"/>
          <w:i/>
          <w:sz w:val="22"/>
        </w:rPr>
        <w:t>Stage 3 — Final Draft (Editor + Fact-Check)</w:t>
      </w:r>
      <w:r>
        <w:rPr>
          <w:rFonts w:ascii="Calibri" w:hAnsi="Calibri"/>
          <w:sz w:val="22"/>
        </w:rPr>
        <w:t xml:space="preserve"> </w:t>
      </w:r>
      <w:r>
        <w:rPr>
          <w:rFonts w:ascii="Calibri" w:hAnsi="Calibri"/>
          <w:i/>
          <w:sz w:val="22"/>
        </w:rPr>
        <w:t>June 3, 2026</w:t>
      </w:r>
    </w:p>
    <w:p>
      <w:pPr>
        <w:pStyle w:val="Heading2"/>
      </w:pPr>
      <w:r>
        <w:rPr>
          <w:rFonts w:ascii="Calibri" w:hAnsi="Calibri"/>
          <w:sz w:val="28"/>
        </w:rPr>
        <w:t>Handoff notes</w:t>
      </w:r>
    </w:p>
    <w:p>
      <w:r>
        <w:rPr>
          <w:rFonts w:ascii="Calibri" w:hAnsi="Calibri"/>
          <w:sz w:val="22"/>
        </w:rPr>
        <w:t>Weaknesses retained in this draft, and why:</w:t>
      </w:r>
    </w:p>
    <w:p>
      <w:pPr>
        <w:pStyle w:val="ListBullet"/>
      </w:pPr>
      <w:r>
        <w:rPr>
          <w:rFonts w:ascii="Calibri" w:hAnsi="Calibri"/>
          <w:b/>
          <w:sz w:val="22"/>
        </w:rPr>
        <w:t>The Section VI cost range is an order-of-magnitude estimate.</w:t>
      </w:r>
      <w:r>
        <w:rPr>
          <w:rFonts w:ascii="Calibri" w:hAnsi="Calibri"/>
          <w:sz w:val="22"/>
        </w:rPr>
        <w:t xml:space="preserve"> The briefs do not contain clean Tampa, Denver, or PANYNJ implementation cost numbers at program scale. The honest move is to label the figure a range and tell the reader what it rests on. - </w:t>
      </w:r>
      <w:r>
        <w:rPr>
          <w:rFonts w:ascii="Calibri" w:hAnsi="Calibri"/>
          <w:b/>
          <w:sz w:val="22"/>
        </w:rPr>
        <w:t>The eye-tracking evidence base is thin.</w:t>
      </w:r>
      <w:r>
        <w:rPr>
          <w:rFonts w:ascii="Calibri" w:hAnsi="Calibri"/>
          <w:sz w:val="22"/>
        </w:rPr>
        <w:t xml:space="preserve"> Heathrow n=108, the 2025 lab study n=60, Munich four days of data. The argument leans on convergence across the three studies; if a reader rejects the evidence base on small-n grounds, the case for wayfinding-as-governance still holds on institutional and historical grounds alone. - </w:t>
      </w:r>
      <w:r>
        <w:rPr>
          <w:rFonts w:ascii="Calibri" w:hAnsi="Calibri"/>
          <w:b/>
          <w:sz w:val="22"/>
        </w:rPr>
        <w:t>The $700M concession-loss figure is cited once, in Section V, framed as a number to set aside.</w:t>
      </w:r>
      <w:r>
        <w:rPr>
          <w:rFonts w:ascii="Calibri" w:hAnsi="Calibri"/>
          <w:sz w:val="22"/>
        </w:rPr>
        <w:t xml:space="preserve"> Cutting it entirely would have been cleaner; it is retained once because readers will have heard it from vendor decks, and explicit dismissal is more useful than silent absence. - </w:t>
      </w:r>
      <w:r>
        <w:rPr>
          <w:rFonts w:ascii="Calibri" w:hAnsi="Calibri"/>
          <w:b/>
          <w:sz w:val="22"/>
        </w:rPr>
        <w:t>The opening IAD scene is illustrative.</w:t>
      </w:r>
      <w:r>
        <w:rPr>
          <w:rFonts w:ascii="Calibri" w:hAnsi="Calibri"/>
          <w:sz w:val="22"/>
        </w:rPr>
        <w:t xml:space="preserve"> The briefs do not give a misconnect probability for D-gate connections at IAD [UNVERIFIED — HUMAN REVIEW]. The scene is framed with "Imagine"; the eye-tracking and decision-point research carry the empirical load. - </w:t>
      </w:r>
      <w:r>
        <w:rPr>
          <w:rFonts w:ascii="Calibri" w:hAnsi="Calibri"/>
          <w:b/>
          <w:sz w:val="22"/>
        </w:rPr>
        <w:t>Frankfurt 1972 is supporting evidence, with the new-terminal qualifier stated.</w:t>
      </w:r>
      <w:r>
        <w:rPr>
          <w:rFonts w:ascii="Calibri" w:hAnsi="Calibri"/>
          <w:sz w:val="22"/>
        </w:rPr>
        <w:t xml:space="preserve"> PANYNJ is the present-day retrofit case the argument actually depends on.</w:t>
      </w:r>
    </w:p>
    <w:p>
      <w:pPr>
        <w:pStyle w:val="Heading2"/>
      </w:pPr>
      <w:r>
        <w:rPr>
          <w:rFonts w:ascii="Calibri" w:hAnsi="Calibri"/>
          <w:sz w:val="28"/>
        </w:rPr>
        <w:t>I. The Decision Point</w:t>
      </w:r>
    </w:p>
    <w:p>
      <w:r>
        <w:rPr>
          <w:rFonts w:ascii="Calibri" w:hAnsi="Calibri"/>
          <w:sz w:val="22"/>
        </w:rPr>
        <w:t>Imagine six in the morning at Washington Dulles. A passenger steps off a United mainline aircraft at Concourse C with a connection to Concourse D. She has thirty-five minutes — United's published minimum, the same number Delta promises at Atlanta. She has never been to IAD before. She walks up the jet bridge into the holdroom, past gate signs branded in United blue, and looks for the sign that will tell her what to do next.</w:t>
      </w:r>
    </w:p>
    <w:p>
      <w:pPr>
        <w:pStyle w:val="Heading2"/>
      </w:pPr>
      <w:r>
        <w:rPr>
          <w:rFonts w:ascii="Calibri" w:hAnsi="Calibri"/>
          <w:sz w:val="28"/>
        </w:rPr>
        <w:t>II. Executive Summary</w:t>
      </w:r>
    </w:p>
    <w:p>
      <w:r>
        <w:rPr>
          <w:rFonts w:ascii="Calibri" w:hAnsi="Calibri"/>
          <w:sz w:val="22"/>
        </w:rPr>
        <w:t>Start with the asymmetry. MWAA's 2025–2039 Capital Construction Program totals $9 billion — roughly $600 million per year [Infrastructure Economist Brief]. A wayfinding program scaled to MWAA's traffic, derived from Heathrow's 2013 framework and inflated to 2026 dollars, sits at $8 to $13 million for a one-time effort — one to two percent of a single year's capital spend [Infrastructure Economist Brief; analyst calculation; derivation in Section VI]. That is the cost of governing how legible every square foot the rest of the program builds will be to the passenger walking through it.</w:t>
      </w:r>
    </w:p>
    <w:p>
      <w:pPr>
        <w:pStyle w:val="Heading2"/>
      </w:pPr>
      <w:r>
        <w:rPr>
          <w:rFonts w:ascii="Calibri" w:hAnsi="Calibri"/>
          <w:sz w:val="28"/>
        </w:rPr>
        <w:t>III. The Argument</w:t>
      </w:r>
    </w:p>
    <w:p>
      <w:r>
        <w:rPr>
          <w:rFonts w:ascii="Calibri" w:hAnsi="Calibri"/>
          <w:sz w:val="22"/>
        </w:rPr>
        <w:t xml:space="preserve">The fundamental act of bad airport signage is to answer a question the passenger is not asking. Romedi Passini, the Canadian environmental psychologist who wrote </w:t>
      </w:r>
      <w:r>
        <w:rPr>
          <w:rFonts w:ascii="Calibri" w:hAnsi="Calibri"/>
          <w:i/>
          <w:sz w:val="22"/>
        </w:rPr>
        <w:t>Wayfinding in Architecture</w:t>
      </w:r>
      <w:r>
        <w:rPr>
          <w:rFonts w:ascii="Calibri" w:hAnsi="Calibri"/>
          <w:sz w:val="22"/>
        </w:rPr>
        <w:t xml:space="preserve"> in 1984, framed it precisely. A passenger entering a terminal is not executing a pre-loaded route. She is solving a series of nested problems. Each requires information at a specific moment and a specific place. The job of the sign system is not to publish the airport's full directory; it is to answer the next question.</w:t>
      </w:r>
    </w:p>
    <w:p>
      <w:pPr>
        <w:pStyle w:val="Heading2"/>
      </w:pPr>
      <w:r>
        <w:rPr>
          <w:rFonts w:ascii="Calibri" w:hAnsi="Calibri"/>
          <w:sz w:val="28"/>
        </w:rPr>
        <w:t>IV. The Counter-Case, Honestly Presented</w:t>
      </w:r>
    </w:p>
    <w:p>
      <w:r>
        <w:rPr>
          <w:rFonts w:ascii="Calibri" w:hAnsi="Calibri"/>
          <w:sz w:val="22"/>
        </w:rPr>
        <w:t>A good thesis does not benefit from straw-man opposition. The strongest case against the cheapest-lever argument deserves to be stated at full strength. The case combines three claims that mutually reinforce. A reader who accepts them is entitled to conclude that the cheapest-lever framing is, at best, an essay in the wrong decade.</w:t>
      </w:r>
    </w:p>
    <w:p>
      <w:pPr>
        <w:pStyle w:val="Heading2"/>
      </w:pPr>
      <w:r>
        <w:rPr>
          <w:rFonts w:ascii="Calibri" w:hAnsi="Calibri"/>
          <w:sz w:val="28"/>
        </w:rPr>
        <w:t>V. Why the Counter-Case Is Insufficient</w:t>
      </w:r>
    </w:p>
    <w:p>
      <w:r>
        <w:rPr>
          <w:rFonts w:ascii="Calibri" w:hAnsi="Calibri"/>
          <w:sz w:val="22"/>
        </w:rPr>
        <w:t>The counter-case is partly right. It is not right enough to overturn the thesis.</w:t>
      </w:r>
    </w:p>
    <w:p>
      <w:pPr>
        <w:pStyle w:val="Heading2"/>
      </w:pPr>
      <w:r>
        <w:rPr>
          <w:rFonts w:ascii="Calibri" w:hAnsi="Calibri"/>
          <w:sz w:val="28"/>
        </w:rPr>
        <w:t>VI. Implications for MWAA</w:t>
      </w:r>
    </w:p>
    <w:p>
      <w:r>
        <w:rPr>
          <w:rFonts w:ascii="Calibri" w:hAnsi="Calibri"/>
          <w:sz w:val="22"/>
        </w:rPr>
        <w:t>A council writing for MWAA owes specific recommendations. What MWAA has, today, is two airports under a single authority operating across the most stratified signage history in the US large-hub inventory. IAD carries six construction eras and two ground-transport modes serving the same connection use case. DCA is fresh off Project Journey's $1 billion capital program, including the five-day, 1,000-sign renaming, and is operating new American Airlines concourses built to American's specifications. The 2025–2039 Airport Use and Lease Agreement is a hybrid residual structure with a 1.40x debt service coverage target and a 1.25x bond covenant floor. Moody's projects MWAA's adjusted debt per O&amp;D enplanement will peak at approximately $400 in 2028, with net revenue DSCR declining from 1.63x in 2024 to roughly 1.3x over the next five years [Infrastructure Economist Brief]. United carries approximately two-thirds of IAD enplanements including United Express; American controls 53 percent of DCA flights. The $9 billion capital program is set. The $514,000 IAD Masterplan budget and the $4.87 million DCA equivalent are study budgets, not implementation programs [Chief Engineer Brief].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