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22222"/>
          <w:sz w:val="40"/>
        </w:rPr>
        <w:t>IOT DESIGN BEST PRACTICES</w:t>
      </w:r>
    </w:p>
    <w:p>
      <w:pPr>
        <w:jc w:val="center"/>
      </w:pPr>
      <w:r>
        <w:rPr>
          <w:rFonts w:ascii="Calibri" w:hAnsi="Calibri"/>
          <w:color w:val="555555"/>
          <w:sz w:val="22"/>
        </w:rPr>
        <w:t>EXECUTIVE  SUMMARY</w:t>
      </w:r>
    </w:p>
    <w:p>
      <w:pPr>
        <w:jc w:val="center"/>
      </w:pPr>
      <w:r>
        <w:rPr>
          <w:rFonts w:ascii="Calibri" w:hAnsi="Calibri"/>
          <w:color w:val="777777"/>
          <w:sz w:val="20"/>
        </w:rPr>
        <w:t>June 2026  ·  Transform Airports AI Council</w:t>
      </w:r>
    </w:p>
    <w:p/>
    <w:p>
      <w:pPr>
        <w:pStyle w:val="Heading1"/>
      </w:pPr>
      <w:r>
        <w:rPr>
          <w:rFonts w:ascii="Calibri" w:hAnsi="Calibri"/>
          <w:sz w:val="32"/>
        </w:rPr>
        <w:t>The Sensor Outlives the System</w:t>
      </w:r>
    </w:p>
    <w:p>
      <w:r>
        <w:rPr>
          <w:rFonts w:ascii="Calibri" w:hAnsi="Calibri"/>
          <w:i/>
          <w:sz w:val="22"/>
        </w:rPr>
        <w:t>Transform Airports AI Council — IoT Design Best Practices</w:t>
      </w:r>
      <w:r>
        <w:rPr>
          <w:rFonts w:ascii="Calibri" w:hAnsi="Calibri"/>
          <w:sz w:val="22"/>
        </w:rPr>
        <w:t xml:space="preserve"> </w:t>
      </w:r>
      <w:r>
        <w:rPr>
          <w:rFonts w:ascii="Calibri" w:hAnsi="Calibri"/>
          <w:i/>
          <w:sz w:val="22"/>
        </w:rPr>
        <w:t>June 2026</w:t>
      </w:r>
    </w:p>
    <w:p>
      <w:pPr>
        <w:pStyle w:val="Heading2"/>
      </w:pPr>
      <w:r>
        <w:rPr>
          <w:rFonts w:ascii="Calibri" w:hAnsi="Calibri"/>
          <w:sz w:val="28"/>
        </w:rPr>
        <w:t>Executive Summary</w:t>
      </w:r>
    </w:p>
    <w:p>
      <w:r>
        <w:rPr>
          <w:rFonts w:ascii="Calibri" w:hAnsi="Calibri"/>
          <w:b/>
          <w:sz w:val="22"/>
        </w:rPr>
        <w:t>1. The dominant failure mode in airport IoT is not sensor failure — it is platform discontinuation, protocol obsolescence, and schema lock, arriving on a schedule the vendor never put in the sales deck.</w:t>
      </w:r>
      <w:r>
        <w:rPr>
          <w:rFonts w:ascii="Calibri" w:hAnsi="Calibri"/>
          <w:sz w:val="22"/>
        </w:rPr>
        <w:t xml:space="preserve"> Three extinction events landed inside eighteen months: Cisco wound down its Kinetic IoT platform (final order date May 2021) after exiting the smart-cities market in 2020; Sigfox, a low-power network operator with roughly ten million devices across seventy-plus countries, filed for bankruptcy in January 2022; and the US carriers completed their 3G shutdown by December 2022. No airport made any of those three decisions. Each stranded equipment that was working perfectly the day before.</w:t>
      </w:r>
    </w:p>
    <w:p>
      <w:pPr>
        <w:pStyle w:val="Heading2"/>
      </w:pPr>
      <w:r>
        <w:rPr>
          <w:rFonts w:ascii="Calibri" w:hAnsi="Calibri"/>
          <w:sz w:val="28"/>
        </w:rPr>
        <w:t>The Argument</w:t>
      </w:r>
    </w:p>
    <w:p>
      <w:r>
        <w:rPr>
          <w:rFonts w:ascii="Calibri" w:hAnsi="Calibri"/>
          <w:sz w:val="22"/>
        </w:rPr>
        <w:t>The most persuasive evidence for this thesis is not a forecast. It is a casualty list. Three cases are worth telling slowly, because the slow ones carry the mechanism. The rest are variations.</w:t>
      </w:r>
    </w:p>
    <w:p>
      <w:pPr>
        <w:pStyle w:val="Heading2"/>
      </w:pPr>
      <w:r>
        <w:rPr>
          <w:rFonts w:ascii="Calibri" w:hAnsi="Calibri"/>
          <w:sz w:val="28"/>
        </w:rPr>
        <w:t>The Counter-Case, Honestly Presented</w:t>
      </w:r>
    </w:p>
    <w:p>
      <w:r>
        <w:rPr>
          <w:rFonts w:ascii="Calibri" w:hAnsi="Calibri"/>
          <w:sz w:val="22"/>
        </w:rPr>
        <w:t>The strongest argument against everything above is that it is a consultant's product — complexity sold by people whose revenue scales with the complexity they recommend — and that it misdiagnoses the disease. That case is not a strawman. In several places it is correct.</w:t>
      </w:r>
    </w:p>
    <w:p>
      <w:pPr>
        <w:pStyle w:val="Heading2"/>
      </w:pPr>
      <w:r>
        <w:rPr>
          <w:rFonts w:ascii="Calibri" w:hAnsi="Calibri"/>
          <w:sz w:val="28"/>
        </w:rPr>
        <w:t>Why the Counter-Case Is Insufficient</w:t>
      </w:r>
    </w:p>
    <w:p>
      <w:r>
        <w:rPr>
          <w:rFonts w:ascii="Calibri" w:hAnsi="Calibri"/>
          <w:sz w:val="22"/>
        </w:rPr>
        <w:t>Concede the real points, once and by name. The cloud graveyard is real; an airport that built a serious pipeline on Google Cloud IoT Core or IBM Watson IoT is stranded today. Most programs die before architecture matters, and the killer at that stage is unclear purpose, not protocol — iFlow proves a system can have architecture and still be abandoned. Open and multi-vendor stacks add real seam cost, and consolidation can genuinely cut spend. BACnet and Modbus have outlasted every cloud IoT platform. The physical layer comes first; staffing binds; open APIs widen the attack surface; "two network upgrades" is aspirational; the dominant carrier may own a better dataset and refuse to feed the airport's; organizational misalignment renders the best contract inert; the capital structure starves the durable layers. None of these is a quibble. The thesis survives all of them — because the counter-case has mostly refuted a claim the thesis does not make.</w:t>
      </w:r>
    </w:p>
    <w:p>
      <w:pPr>
        <w:pStyle w:val="Heading2"/>
      </w:pPr>
      <w:r>
        <w:rPr>
          <w:rFonts w:ascii="Calibri" w:hAnsi="Calibri"/>
          <w:sz w:val="28"/>
        </w:rPr>
        <w:t>Implications for MWAA and Washington Dulles</w:t>
      </w:r>
    </w:p>
    <w:p>
      <w:r>
        <w:rPr>
          <w:rFonts w:ascii="Calibri" w:hAnsi="Calibri"/>
          <w:sz w:val="22"/>
        </w:rPr>
        <w:t>This is not an abstract debate for the Metropolitan Washington Airports Authority. It is a decision being poured in concrete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