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148840" cy="838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ncil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838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80"/>
      </w:pPr>
      <w:r>
        <w:rPr>
          <w:rFonts w:ascii="Georgia" w:hAnsi="Georgia"/>
          <w:b/>
          <w:color w:val="0B2D4D"/>
          <w:sz w:val="46"/>
        </w:rPr>
        <w:t>Quiet-by-Design Standards for MWAA Terminals</w:t>
      </w:r>
    </w:p>
    <w:p>
      <w:pPr>
        <w:spacing w:after="200"/>
      </w:pPr>
      <w:r>
        <w:rPr>
          <w:rFonts w:ascii="Aptos" w:hAnsi="Aptos"/>
          <w:color w:val="415669"/>
          <w:sz w:val="18"/>
        </w:rPr>
        <w:t>August 2026  •  Transform Airports AI Research Council  •  Decision brief</w:t>
      </w:r>
    </w:p>
    <w:p>
      <w:pPr>
        <w:spacing w:before="120" w:after="160"/>
        <w:ind w:left="320" w:right="160"/>
        <w:shd w:fill="EDF3F6"/>
        <w:pBdr>
          <w:left w:val="single" w:sz="18" w:space="8" w:color="2E84A5"/>
        </w:pBdr>
      </w:pPr>
      <w:r>
        <w:rPr>
          <w:rFonts w:ascii="Aptos" w:hAnsi="Aptos"/>
          <w:color w:val="415669"/>
          <w:sz w:val="17"/>
        </w:rPr>
        <w:t>This decision-support document was generated with assistance from a multi-model AI research system. A named human decision owner remains responsible for verifying the evidence, judging local applicability, and approving any action.</w:t>
      </w:r>
    </w:p>
    <w:p>
      <w:pPr>
        <w:pStyle w:val="Heading1"/>
        <w:spacing w:after="160"/>
      </w:pPr>
      <w:r>
        <w:t>Executive decision brief</w:t>
      </w:r>
    </w:p>
    <w:p>
      <w:pPr>
        <w:keepNext/>
        <w:spacing w:before="180" w:after="80"/>
      </w:pPr>
      <w:r>
        <w:rPr>
          <w:rFonts w:ascii="Aptos" w:hAnsi="Aptos"/>
          <w:b/>
          <w:color w:val="2E84A5"/>
          <w:sz w:val="17"/>
        </w:rPr>
        <w:t>BOTTOM LINE</w:t>
      </w:r>
    </w:p>
    <w:p>
      <w:pPr>
        <w:spacing w:after="160" w:before="120"/>
        <w:shd w:fill="EDF3F6"/>
        <w:pBdr>
          <w:left w:val="single" w:sz="18" w:space="8" w:color="2E84A5"/>
        </w:pBdr>
        <w:ind w:left="320" w:right="160"/>
      </w:pPr>
      <w:r>
        <w:rPr>
          <w:rFonts w:ascii="Georgia" w:hAnsi="Georgia"/>
          <w:color w:val="0B2D4D"/>
          <w:sz w:val="24"/>
        </w:rPr>
        <w:t>Decision-critical unknown: the run prompt specifies no requested decision. The verified draft frames the choice as whether MWAA adds a tiered communications-integrity standard to the Design Manual this capital cycle — mandatory intelligibility, accessibility, and governance floors at both airports, context-dependent tiers by terminal — before the committed ~$9B AUL capital program and the provisional $20B+ Dulles transformation pass through design.</w:t>
      </w:r>
    </w:p>
    <w:p>
      <w:pPr>
        <w:keepNext/>
        <w:spacing w:before="180" w:after="80"/>
      </w:pPr>
      <w:r>
        <w:rPr>
          <w:rFonts w:ascii="Aptos" w:hAnsi="Aptos"/>
          <w:b/>
          <w:color w:val="2E84A5"/>
          <w:sz w:val="17"/>
        </w:rPr>
        <w:t>DECISION OWNERSHIP AND EXECUTION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shd w:fill="0B2D4D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Decision owner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Decision-critical unknown: the run prompt names no accountable executive. The verified draft identifies the MWAA Office of Engineering as the issuing authority under its delegated Design Manual standards-setting role, with Board visibility; the delegation's exact scope was not verified from primary MWAA governance documents in this research pass.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shd w:fill="0B2D4D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Approval route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shd w:fill="EDF3F6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Decision-critical unknown: the run prompt specifies no approval path. The verified draft proposes: Office of Engineering issues the Design Manual amendment under delegated standards-setting authority; taken to the MWAA Board as an information item; escalated to a Board resolution only if airline consultation surfaces material objection. Tenant-audio reach is contingent on verification of the 2025 Airline Use and Lease Agreement's majority-in-interest provisions, which no agent read in primary text.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shd w:fill="0B2D4D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First 90-day action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Direct the Office of Engineering to (1) verify the current Design Manual's acoustic, PA-zoning, and STI content and the 2025 AUL's majority-in-interest and cost-recovery provisions from primary text, and (2) commission the IAD Concourse E intelligibility and ambient baseline — STI measured per IEC 60268-16:2020 under representative traffic, not empty-building conditions — at the fall 2026 opening, establishing the reference number every future MWAA facility is measured against.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shd w:fill="0B2D4D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Success measures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shd w:fill="EDF3F6"/>
          </w:tcPr>
          <w:p>
            <w:pPr>
              <w:pStyle w:val="ListBullet"/>
              <w:spacing w:after="40"/>
            </w:pPr>
            <w:r>
              <w:rPr>
                <w:rFonts w:ascii="Aptos" w:hAnsi="Aptos"/>
                <w:sz w:val="19"/>
              </w:rPr>
              <w:t>Acceptance: Concourse E commissioning baseline achieves STI &gt;= 0.45 (CIS &gt;= 0.65) at &gt;= 90% of measurement locations within each acoustically distinguishable space, average STI &gt;= 0.50 (CIS &gt;= 0.70), measured per IEC 60268-16:2020 under representative traffic — the NFPA 72 emergency-voice floor applied as the facility acceptance test.</w:t>
            </w:r>
          </w:p>
          <w:p>
            <w:pPr>
              <w:pStyle w:val="ListBullet"/>
              <w:spacing w:after="40"/>
            </w:pPr>
            <w:r>
              <w:rPr>
                <w:rFonts w:ascii="Aptos" w:hAnsi="Aptos"/>
                <w:sz w:val="19"/>
              </w:rPr>
              <w:t>Within 90 days, primary-text verification of the Design Manual's current acoustic/PA content and the 2025 AUL majority-in-interest provisions is complete and documented; stop condition: if the Manual already contains equivalent tiers, re-scope the amendment to gap-fill only; if MII review shows tenant-audio reach requires airline consent, escalate to Board resolution rather than issue as an information item.</w:t>
            </w:r>
          </w:p>
          <w:p>
            <w:pPr>
              <w:pStyle w:val="ListBullet"/>
              <w:spacing w:after="40"/>
            </w:pPr>
            <w:r>
              <w:rPr>
                <w:rFonts w:ascii="Aptos" w:hAnsi="Aptos"/>
                <w:sz w:val="19"/>
              </w:rPr>
              <w:t>Every new or substantially renovated terminal design package after amendment issuance includes an acoustically-distinguishable-space map as a milestone design deliverable, with commissioning verification under representative traffic treated as verification-with-cure-period, not an occupancy condition.</w:t>
            </w:r>
          </w:p>
          <w:p>
            <w:pPr>
              <w:pStyle w:val="ListBullet"/>
              <w:spacing w:after="40"/>
            </w:pPr>
            <w:r>
              <w:rPr>
                <w:rFonts w:ascii="Aptos" w:hAnsi="Aptos"/>
                <w:sz w:val="19"/>
              </w:rPr>
              <w:t>Announcement governance operational within the first amended project: audit-logged broadcasts, templated multi-language delivery, and a named Airport Duty Manager IROPS override with post-event reconciliation of every deviation.</w:t>
            </w:r>
          </w:p>
        </w:tc>
      </w:tr>
    </w:tbl>
    <w:p>
      <w:pPr>
        <w:keepNext/>
        <w:spacing w:before="180" w:after="80"/>
      </w:pPr>
      <w:r>
        <w:rPr>
          <w:rFonts w:ascii="Aptos" w:hAnsi="Aptos"/>
          <w:b/>
          <w:color w:val="2E84A5"/>
          <w:sz w:val="17"/>
        </w:rPr>
        <w:t>WHY THIS MATTERS NOW</w:t>
      </w:r>
    </w:p>
    <w:p>
      <w:pPr>
        <w:pStyle w:val="ListBullet"/>
        <w:spacing w:after="80"/>
      </w:pPr>
      <w:r>
        <w:rPr>
          <w:rFonts w:ascii="Aptos" w:hAnsi="Aptos"/>
          <w:sz w:val="21"/>
        </w:rPr>
        <w:t>MWAA holds a committed capital construction program of approximately $6.99 billion at IAD and $2.39 billion at DCA — roughly $9 billion together — under the fifteen-year Airline Use and Lease Agreement effective January 1, 2025.</w:t>
      </w:r>
      <w:r>
        <w:rPr>
          <w:rFonts w:ascii="Aptos" w:hAnsi="Aptos"/>
          <w:sz w:val="17"/>
          <w:vertAlign w:val="superscript"/>
        </w:rPr>
        <w:t>1</w:t>
      </w:r>
      <w:r>
        <w:rPr>
          <w:rFonts w:ascii="Aptos" w:hAnsi="Aptos"/>
          <w:sz w:val="21"/>
        </w:rPr>
        <w:t xml:space="preserve"> On July 29, 2026, the President, the U.S.</w:t>
      </w:r>
    </w:p>
    <w:p>
      <w:pPr>
        <w:pStyle w:val="ListBullet"/>
        <w:spacing w:after="80"/>
      </w:pPr>
      <w:r>
        <w:rPr>
          <w:rFonts w:ascii="Aptos" w:hAnsi="Aptos"/>
          <w:sz w:val="21"/>
        </w:rPr>
        <w:t>Keep "quiet-by-design" internal; externally, say "communications-integrity standard." After the January 29, 2025 midair collision and the NTSB's final report, no board member should sign a policy paraphrasable as "reduced safety broadcasts."</w:t>
      </w:r>
      <w:r>
        <w:rPr>
          <w:rFonts w:ascii="Aptos" w:hAnsi="Aptos"/>
          <w:sz w:val="17"/>
          <w:vertAlign w:val="superscript"/>
        </w:rPr>
        <w:t>5</w:t>
      </w:r>
    </w:p>
    <w:p>
      <w:pPr>
        <w:keepNext/>
        <w:spacing w:before="180" w:after="80"/>
      </w:pPr>
      <w:r>
        <w:rPr>
          <w:rFonts w:ascii="Aptos" w:hAnsi="Aptos"/>
          <w:b/>
          <w:color w:val="2E84A5"/>
          <w:sz w:val="17"/>
        </w:rPr>
        <w:t>EVIDENCE THAT SHOULD DRIVE THE DECISION</w:t>
      </w:r>
    </w:p>
    <w:p>
      <w:pPr>
        <w:pStyle w:val="ListBullet"/>
        <w:spacing w:after="80"/>
      </w:pPr>
      <w:r>
        <w:rPr>
          <w:rFonts w:ascii="Aptos" w:hAnsi="Aptos"/>
          <w:sz w:val="21"/>
        </w:rPr>
        <w:t>Three propositions carry the case. Acoustic treatment specified at design time costs a fraction of retrofit treatment at commercial benchmarks.</w:t>
      </w:r>
      <w:r>
        <w:rPr>
          <w:rFonts w:ascii="Aptos" w:hAnsi="Aptos"/>
          <w:sz w:val="17"/>
          <w:vertAlign w:val="superscript"/>
        </w:rPr>
        <w:t>9</w:t>
      </w:r>
    </w:p>
    <w:p>
      <w:pPr>
        <w:keepNext/>
        <w:spacing w:before="180" w:after="80"/>
      </w:pPr>
      <w:r>
        <w:rPr>
          <w:rFonts w:ascii="Aptos" w:hAnsi="Aptos"/>
          <w:b/>
          <w:color w:val="2E84A5"/>
          <w:sz w:val="17"/>
        </w:rPr>
        <w:t>RECOMMENDED 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0B2D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5083"/>
            <w:shd w:fill="0B2D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Action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20"/>
              </w:rPr>
              <w:t>1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sz w:val="19"/>
              </w:rPr>
              <w:t>a tiered communications-integrity standard added to the Design Manual this capital cycle, issued by the Office of Engineering under its delegated standards-setting authority, taken to the Board as an information item, and escalated to a resolution only if airline consultation surfaces material objection.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shd w:fill="EDF3F6"/>
          </w:tcPr>
          <w:p>
            <w:pPr>
              <w:jc w:val="center"/>
            </w:pPr>
            <w:r>
              <w:rPr>
                <w:rFonts w:ascii="Aptos" w:hAnsi="Aptos"/>
                <w:sz w:val="20"/>
              </w:rPr>
              <w:t>2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shd w:fill="EDF3F6"/>
          </w:tcPr>
          <w:p>
            <w:r>
              <w:rPr>
                <w:rFonts w:ascii="Aptos" w:hAnsi="Aptos"/>
                <w:sz w:val="19"/>
              </w:rPr>
              <w:t>Reference application, subject to phase verification: the DCA Terminal 1 concourse replacement.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20"/>
              </w:rPr>
              <w:t>3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sz w:val="19"/>
              </w:rPr>
              <w:t>Concourse E, opening this fall, carries the first commissioned intelligibility and ambient baseline under representative traffic.</w:t>
            </w:r>
            <w:r>
              <w:rPr>
                <w:rFonts w:ascii="Aptos" w:hAnsi="Aptos"/>
                <w:sz w:val="15"/>
                <w:vertAlign w:val="superscript"/>
              </w:rPr>
              <w:t>4</w:t>
            </w:r>
          </w:p>
        </w:tc>
      </w:tr>
    </w:tbl>
    <w:p>
      <w:pPr>
        <w:keepNext/>
        <w:spacing w:before="180" w:after="80"/>
      </w:pPr>
      <w:r>
        <w:rPr>
          <w:rFonts w:ascii="Aptos" w:hAnsi="Aptos"/>
          <w:b/>
          <w:color w:val="2E84A5"/>
          <w:sz w:val="17"/>
        </w:rPr>
        <w:t>DECISION-BRIEF NOTES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tcMar>
              <w:top w:w="35" w:type="dxa"/>
              <w:start w:w="55" w:type="dxa"/>
              <w:bottom w:w="45" w:type="dxa"/>
              <w:end w:w="90" w:type="dxa"/>
            </w:tcMar>
          </w:tcPr>
          <w:p>
            <w:pPr>
              <w:spacing w:after="0"/>
            </w:pPr>
            <w:r>
              <w:rPr>
                <w:color w:val="415669"/>
                <w:sz w:val="16"/>
                <w:vertAlign w:val="superscript"/>
              </w:rPr>
              <w:t>4</w:t>
            </w:r>
            <w:r>
              <w:rPr>
                <w:color w:val="415669"/>
              </w:rPr>
              <w:t xml:space="preserve">  </w:t>
            </w:r>
            <w:r>
              <w:rPr>
                <w:rFonts w:ascii="Aptos" w:hAnsi="Aptos"/>
                <w:color w:val="415669"/>
                <w:sz w:val="17"/>
              </w:rPr>
              <w:t>MWAA, Concourse E project disclosures (flydulles.com): approximately 435,000 square feet, 14 gates, initial phase opening fall 2026. Verified against the project page August 11, 2026.</w:t>
            </w:r>
          </w:p>
        </w:tc>
        <w:tc>
          <w:tcPr>
            <w:tcW w:type="dxa" w:w="5083"/>
            <w:tcMar>
              <w:top w:w="35" w:type="dxa"/>
              <w:start w:w="55" w:type="dxa"/>
              <w:bottom w:w="45" w:type="dxa"/>
              <w:end w:w="90" w:type="dxa"/>
            </w:tcMar>
          </w:tcPr>
          <w:p>
            <w:pPr>
              <w:spacing w:after="0"/>
            </w:pPr>
            <w:r>
              <w:rPr>
                <w:color w:val="415669"/>
                <w:sz w:val="16"/>
                <w:vertAlign w:val="superscript"/>
              </w:rPr>
              <w:t>1</w:t>
            </w:r>
            <w:r>
              <w:rPr>
                <w:color w:val="415669"/>
              </w:rPr>
              <w:t xml:space="preserve">  </w:t>
            </w:r>
            <w:r>
              <w:rPr>
                <w:rFonts w:ascii="Aptos" w:hAnsi="Aptos"/>
                <w:color w:val="415669"/>
                <w:sz w:val="17"/>
              </w:rPr>
              <w:t>MWAA, "Metropolitan Washington Airports Authority Completes Negotiations for New Use and Lease Agreement with Airlines" (2024), mwaa.com: 15-year agreement effective January 1, 2025; capital construction program of approximately $6.99 billion at IAD and $2.39 billion at DCA — approximately $9 billion together; airline-funded debt-service coverage to at least a 140-percent target ratio. Majority-in-interest thresholds and cost-recovery categorization not verified from primary agreement text.</w:t>
            </w:r>
          </w:p>
        </w:tc>
      </w:tr>
      <w:tr>
        <w:trPr>
          <w:cantSplit/>
        </w:trPr>
        <w:tc>
          <w:tcPr>
            <w:tcW w:type="dxa" w:w="5083"/>
            <w:tcMar>
              <w:top w:w="35" w:type="dxa"/>
              <w:start w:w="55" w:type="dxa"/>
              <w:bottom w:w="45" w:type="dxa"/>
              <w:end w:w="90" w:type="dxa"/>
            </w:tcMar>
          </w:tcPr>
          <w:p>
            <w:pPr>
              <w:spacing w:after="0"/>
            </w:pPr>
            <w:r>
              <w:rPr>
                <w:color w:val="415669"/>
                <w:sz w:val="16"/>
                <w:vertAlign w:val="superscript"/>
              </w:rPr>
              <w:t>5</w:t>
            </w:r>
            <w:r>
              <w:rPr>
                <w:color w:val="415669"/>
              </w:rPr>
              <w:t xml:space="preserve">  </w:t>
            </w:r>
            <w:r>
              <w:rPr>
                <w:rFonts w:ascii="Aptos" w:hAnsi="Aptos"/>
                <w:color w:val="415669"/>
                <w:sz w:val="17"/>
              </w:rPr>
              <w:t xml:space="preserve">National Transportation Safety Board, Aircraft Accident Report NTSB/AIR-26/02, </w:t>
            </w:r>
            <w:r>
              <w:rPr>
                <w:rFonts w:ascii="Aptos" w:hAnsi="Aptos"/>
                <w:i/>
                <w:color w:val="415669"/>
                <w:sz w:val="17"/>
              </w:rPr>
              <w:t>Midair Collision over the Potomac River — PSA Airlines Flight 5342</w:t>
            </w:r>
            <w:r>
              <w:rPr>
                <w:rFonts w:ascii="Aptos" w:hAnsi="Aptos"/>
                <w:color w:val="415669"/>
                <w:sz w:val="17"/>
              </w:rPr>
              <w:t xml:space="preserve"> (final, 2026, ntsb.gov). The January 29, 2025 collision and its 67 fatalities were documented in contemporaneous coverage: CNN, "DCA midair collision first responders, others remembered by victims' families as heroes" (cnn.com).</w:t>
            </w:r>
          </w:p>
        </w:tc>
        <w:tc>
          <w:tcPr>
            <w:tcW w:type="dxa" w:w="5083"/>
            <w:tcMar>
              <w:top w:w="35" w:type="dxa"/>
              <w:start w:w="55" w:type="dxa"/>
              <w:bottom w:w="45" w:type="dxa"/>
              <w:end w:w="90" w:type="dxa"/>
            </w:tcMar>
          </w:tcPr>
          <w:p>
            <w:pPr>
              <w:spacing w:after="0"/>
            </w:pPr>
            <w:r>
              <w:rPr>
                <w:color w:val="415669"/>
                <w:sz w:val="16"/>
                <w:vertAlign w:val="superscript"/>
              </w:rPr>
              <w:t>9</w:t>
            </w:r>
            <w:r>
              <w:rPr>
                <w:color w:val="415669"/>
              </w:rPr>
              <w:t xml:space="preserve">  </w:t>
            </w:r>
            <w:r>
              <w:rPr>
                <w:rFonts w:ascii="Aptos" w:hAnsi="Aptos"/>
                <w:color w:val="415669"/>
                <w:sz w:val="17"/>
              </w:rPr>
              <w:t>Commercial pricing guides: new-construction acoustic ceiling installation $5–$15 per square foot (designtransitionstudio.com, "Acoustical Ceiling Cost Per Square Foot: Price Guide 2026," which also quotes lower typical bands and premium tiers to $22); retrofit acoustic panel treatment $18–$45 per square foot (acousticmod.com, "Acoustic Retrofit vs. New Construction: Cost &amp; Time Guide," as captured in research; page since relocated). Non-airport, medium-confidence directional benchmarks; airside premiums would raise both ranges.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936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415669"/>
        <w:sz w:val="15"/>
      </w:rPr>
      <w:t xml:space="preserve">CONFIDENTIAL WORKING PAPER  •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415669"/>
        <w:sz w:val="15"/>
      </w:rPr>
      <w:t>TRANSFORM AIRPORTS  /  AI RESEARCH COUNCIL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8" w:lineRule="auto"/>
    </w:pPr>
    <w:rPr>
      <w:rFonts w:ascii="Aptos" w:hAnsi="Aptos"/>
      <w:color w:val="17232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Georgia" w:hAnsi="Georgia"/>
      <w:b/>
      <w:bCs/>
      <w:color w:val="0B2D4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 w:ascii="Georgia" w:hAnsi="Georgia"/>
      <w:b/>
      <w:bCs/>
      <w:color w:val="0B2D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Georgia" w:hAnsi="Georgia"/>
      <w:b/>
      <w:bCs/>
      <w:color w:val="0B2D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Theme="majorHAnsi" w:eastAsiaTheme="majorEastAsia" w:hAnsiTheme="majorHAnsi" w:cstheme="majorBidi" w:ascii="Georgia" w:hAnsi="Georgia"/>
      <w:b/>
      <w:bCs/>
      <w:i/>
      <w:iCs/>
      <w:color w:val="0B2D4D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