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22222"/>
          <w:sz w:val="40"/>
        </w:rPr>
        <w:t>FROM COMPLIANCE TO CAPABILITY: A STRATEGIC REVIEW OF THE MWAA CONTRACTING MANUAL</w:t>
      </w:r>
    </w:p>
    <w:p>
      <w:pPr>
        <w:jc w:val="center"/>
      </w:pPr>
      <w:r>
        <w:rPr>
          <w:rFonts w:ascii="Calibri" w:hAnsi="Calibri"/>
          <w:color w:val="555555"/>
          <w:sz w:val="22"/>
        </w:rPr>
        <w:t>EXECUTIVE  SUMMARY</w:t>
      </w:r>
    </w:p>
    <w:p>
      <w:pPr>
        <w:jc w:val="center"/>
      </w:pPr>
      <w:r>
        <w:rPr>
          <w:rFonts w:ascii="Calibri" w:hAnsi="Calibri"/>
          <w:color w:val="777777"/>
          <w:sz w:val="20"/>
        </w:rPr>
        <w:t>June 2026  ·  Transform Airports AI Council</w:t>
      </w:r>
    </w:p>
    <w:p/>
    <w:p>
      <w:pPr>
        <w:pStyle w:val="Heading1"/>
      </w:pPr>
      <w:r>
        <w:rPr>
          <w:rFonts w:ascii="Calibri" w:hAnsi="Calibri"/>
          <w:sz w:val="32"/>
        </w:rPr>
        <w:t>From Compliance to Capability: A Strategic Review of the MWAA Contracting Manual</w:t>
      </w:r>
    </w:p>
    <w:p>
      <w:r>
        <w:rPr>
          <w:rFonts w:ascii="Calibri" w:hAnsi="Calibri"/>
          <w:i/>
          <w:sz w:val="22"/>
        </w:rPr>
        <w:t>Transform Airports AI Council — Stage 3 final fact-checked draft</w:t>
      </w:r>
    </w:p>
    <w:p>
      <w:pPr>
        <w:pStyle w:val="Heading2"/>
      </w:pPr>
      <w:r>
        <w:rPr>
          <w:rFonts w:ascii="Calibri" w:hAnsi="Calibri"/>
          <w:sz w:val="28"/>
        </w:rPr>
        <w:t>I. The clock the manual forgot to keep</w:t>
      </w:r>
    </w:p>
    <w:p>
      <w:r>
        <w:rPr>
          <w:rFonts w:ascii="Calibri" w:hAnsi="Calibri"/>
          <w:sz w:val="22"/>
        </w:rPr>
        <w:t>On August 25, 2025, the Metropolitan Washington Airports Authority issued a request for proposals for work worth about $4.9 million. Bids closed December 10. The contract was awarded May 22, 2026 — nine months after the solicitation hit the street, more than five months after the last proposal landed [Source: deep-research-brief]. At $4.9 million this was an ordinary proposal-based buy, not a major capital action on new ground — a nine-month round trip too short to have carried a multi-year environmental review or federal grant concurrence. What stood between requirement and award was the Authority's own process — the Contracting Manual, Sixth Edition 6.0, effective May 20, 2026, roughly 130 pages of it. The manual does not contain a single sentence saying how long an award is supposed to take.</w:t>
      </w:r>
    </w:p>
    <w:p>
      <w:pPr>
        <w:pStyle w:val="Heading2"/>
      </w:pPr>
      <w:r>
        <w:rPr>
          <w:rFonts w:ascii="Calibri" w:hAnsi="Calibri"/>
          <w:sz w:val="28"/>
        </w:rPr>
        <w:t>II. Executive summary</w:t>
      </w:r>
    </w:p>
    <w:p>
      <w:pPr>
        <w:pStyle w:val="ListNumber"/>
      </w:pPr>
      <w:r>
        <w:rPr>
          <w:rFonts w:ascii="Calibri" w:hAnsi="Calibri"/>
          <w:b/>
          <w:sz w:val="22"/>
        </w:rPr>
        <w:t>The toolkit is already modern; the deficit is dormancy, not absence.</w:t>
      </w:r>
      <w:r>
        <w:rPr>
          <w:rFonts w:ascii="Calibri" w:hAnsi="Calibri"/>
          <w:sz w:val="22"/>
        </w:rPr>
        <w:t xml:space="preserve"> Edition 6.0 authorizes construction manager-at-risk, all three flavors of design-build including progressive design-build, Multiple Award Construction Contracts, two-step IFB, qualifications-based selection, best-value tradeoff, pilot programs, unsolicited proposals, stipends, and cooperative purchasing off other governments' competed contracts [Source: chief-engineer-brief, §6.2.1; operations-analyst-brief, §§3.4.3, 3.5, 3.7, 3.8.7, 3.8.8]. A 2026 manual that names progressive design-build by name is ahead of most public owners [Source: chief-engineer-brief]. The reform target is how these tools get selected and defaulted, not whether they exist.</w:t>
      </w:r>
    </w:p>
    <w:p>
      <w:pPr>
        <w:pStyle w:val="Heading2"/>
      </w:pPr>
      <w:r>
        <w:rPr>
          <w:rFonts w:ascii="Calibri" w:hAnsi="Calibri"/>
          <w:sz w:val="28"/>
        </w:rPr>
        <w:t>III. The argument</w:t>
      </w:r>
    </w:p>
    <w:p>
      <w:r>
        <w:rPr>
          <w:rFonts w:ascii="Calibri" w:hAnsi="Calibri"/>
          <w:sz w:val="22"/>
        </w:rPr>
        <w:t>Read the manual the way an operator reads a new jet-bridge spec — looking for the place it fails at 5:45 a.m., not the place it reads well in a board binder — and the first surprise is how little is missing. Edition 6.0 carries the full alternative-delivery menu, task-order IDIQs, pilot programs, unsolicited proposals, stipends to keep losing bidders at the table, qualifications-based selection, and best-value-with-tradeoff [Source: airport-coo-brief, §§6.2.1, 3.6.2.2]. Its thresholds are current: micro-purchase tracks "the then-current threshold established by the FAR" — now $15,000 after the October 1, 2025 inflation adjustment — and simplified acquisition runs to $350,000, matching the federal Simplified Acquisition Threshold to the dollar [Source: operations-analyst-brief, §§3.2, 3.3]. On thresholds, MWAA sits at the federal frontier, not behind it.</w:t>
      </w:r>
    </w:p>
    <w:p>
      <w:pPr>
        <w:pStyle w:val="Heading2"/>
      </w:pPr>
      <w:r>
        <w:rPr>
          <w:rFonts w:ascii="Calibri" w:hAnsi="Calibri"/>
          <w:sz w:val="28"/>
        </w:rPr>
        <w:t>IV. The counter-case, honestly presented</w:t>
      </w:r>
    </w:p>
    <w:p>
      <w:r>
        <w:rPr>
          <w:rFonts w:ascii="Calibri" w:hAnsi="Calibri"/>
          <w:sz w:val="22"/>
        </w:rPr>
        <w:t>There is a serious argument that this entire diagnosis is naive. It deserves full strength before it is answered.</w:t>
      </w:r>
    </w:p>
    <w:p>
      <w:pPr>
        <w:pStyle w:val="Heading2"/>
      </w:pPr>
      <w:r>
        <w:rPr>
          <w:rFonts w:ascii="Calibri" w:hAnsi="Calibri"/>
          <w:sz w:val="28"/>
        </w:rPr>
        <w:t>V. Why the counter-case is insufficient</w:t>
      </w:r>
    </w:p>
    <w:p>
      <w:r>
        <w:rPr>
          <w:rFonts w:ascii="Calibri" w:hAnsi="Calibri"/>
          <w:sz w:val="22"/>
        </w:rPr>
        <w:t xml:space="preserve">Concede what must be conceded. The 2012 controls are earned and several of them </w:t>
      </w:r>
      <w:r>
        <w:rPr>
          <w:rFonts w:ascii="Calibri" w:hAnsi="Calibri"/>
          <w:i/>
          <w:sz w:val="22"/>
        </w:rPr>
        <w:t>prevent</w:t>
      </w:r>
      <w:r>
        <w:rPr>
          <w:rFonts w:ascii="Calibri" w:hAnsi="Calibri"/>
          <w:sz w:val="22"/>
        </w:rPr>
        <w:t xml:space="preserve"> a protest from landing rather than merely sequence the work [Source: operations-analyst-brief]. The credit risk is real: a $5.5 billion issuance program makes an overrun dearer than ever [Source: airport-ceo-brief]. The Great Hall lesson is real. The reverse-auction and CPARS records are real: technology amplifies a process, it does not fix one [Source: technology-scout-brief]. And the manual cannot reach the airline agreement or the federal lease — anyone selling manual reform as a fix for MWAA's commercial position is overpromising [Source: airport-ceo-brief].</w:t>
      </w:r>
    </w:p>
    <w:p>
      <w:pPr>
        <w:pStyle w:val="Heading2"/>
      </w:pPr>
      <w:r>
        <w:rPr>
          <w:rFonts w:ascii="Calibri" w:hAnsi="Calibri"/>
          <w:sz w:val="28"/>
        </w:rPr>
        <w:t>VI. Implications for MWAA: a ranked agenda</w:t>
      </w:r>
    </w:p>
    <w:p>
      <w:r>
        <w:rPr>
          <w:rFonts w:ascii="Calibri" w:hAnsi="Calibri"/>
          <w:sz w:val="22"/>
        </w:rPr>
        <w:t>The run asked for a prioritized roadmap with each item scored on Potential Impact, Implementation Effort (lower is easier), and Strategic Innovation, 1–10. The scores below are analyst judgment derived from the briefs — a way to sort the agenda, not a measurement. Priority is Impact + Innovation + (10 − Effort), so high-impact, low-effort, high-innovation items rise. Every recommendation is anchored to authority MWAA already holds and to the facts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