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94C1A" w14:textId="77777777" w:rsidR="005A09DE" w:rsidRDefault="005A09DE"/>
    <w:p w14:paraId="305361F7" w14:textId="77777777" w:rsidR="005A09DE" w:rsidRDefault="005A09DE"/>
    <w:p w14:paraId="09E1FC74" w14:textId="77777777" w:rsidR="005A09DE" w:rsidRDefault="005A09DE"/>
    <w:p w14:paraId="3D9E98B3" w14:textId="77777777" w:rsidR="005A09DE" w:rsidRDefault="005A09DE"/>
    <w:p w14:paraId="0854EB77" w14:textId="77777777" w:rsidR="005A09DE" w:rsidRDefault="005A09DE"/>
    <w:p w14:paraId="3CD9DEF1" w14:textId="77777777" w:rsidR="005A09DE" w:rsidRDefault="00000000">
      <w:pPr>
        <w:spacing w:after="200"/>
        <w:jc w:val="center"/>
      </w:pPr>
      <w:r>
        <w:rPr>
          <w:b/>
          <w:bCs/>
          <w:color w:val="111111"/>
          <w:sz w:val="48"/>
          <w:szCs w:val="48"/>
        </w:rPr>
        <w:t>The Airport Southwest Was,</w:t>
      </w:r>
    </w:p>
    <w:p w14:paraId="0D4A8B8F" w14:textId="77777777" w:rsidR="005A09DE" w:rsidRDefault="00000000">
      <w:pPr>
        <w:spacing w:after="360"/>
        <w:jc w:val="center"/>
      </w:pPr>
      <w:r>
        <w:rPr>
          <w:b/>
          <w:bCs/>
          <w:color w:val="111111"/>
          <w:sz w:val="48"/>
          <w:szCs w:val="48"/>
        </w:rPr>
        <w:t>The Airport Southwest Is Becoming</w:t>
      </w:r>
    </w:p>
    <w:p w14:paraId="7FD8B5C7" w14:textId="77777777" w:rsidR="005A09DE" w:rsidRDefault="00000000">
      <w:pPr>
        <w:spacing w:after="720"/>
        <w:jc w:val="center"/>
      </w:pPr>
      <w:r>
        <w:rPr>
          <w:i/>
          <w:iCs/>
          <w:color w:val="4B5563"/>
          <w:sz w:val="30"/>
          <w:szCs w:val="30"/>
        </w:rPr>
        <w:t>Nashville’s Capital Program and a Carrier in Mid-Transformation</w:t>
      </w:r>
    </w:p>
    <w:p w14:paraId="37C2826A" w14:textId="3E9B9C69" w:rsidR="005A09DE" w:rsidRDefault="00000000">
      <w:pPr>
        <w:spacing w:after="120"/>
        <w:jc w:val="center"/>
      </w:pPr>
      <w:bookmarkStart w:id="0" w:name="OLE_LINK3"/>
      <w:r>
        <w:rPr>
          <w:color w:val="374151"/>
          <w:sz w:val="26"/>
          <w:szCs w:val="26"/>
        </w:rPr>
        <w:t>Transform Airports AI Council</w:t>
      </w:r>
      <w:r w:rsidR="00ED55EA">
        <w:rPr>
          <w:color w:val="374151"/>
          <w:sz w:val="26"/>
          <w:szCs w:val="26"/>
        </w:rPr>
        <w:t xml:space="preserve"> </w:t>
      </w:r>
      <w:bookmarkEnd w:id="0"/>
      <w:r w:rsidR="00ED55EA">
        <w:rPr>
          <w:color w:val="374151"/>
          <w:sz w:val="26"/>
          <w:szCs w:val="26"/>
        </w:rPr>
        <w:t>(V1.</w:t>
      </w:r>
      <w:r w:rsidR="00521415">
        <w:rPr>
          <w:color w:val="374151"/>
          <w:sz w:val="26"/>
          <w:szCs w:val="26"/>
        </w:rPr>
        <w:t>1</w:t>
      </w:r>
      <w:r w:rsidR="00ED55EA">
        <w:rPr>
          <w:color w:val="374151"/>
          <w:sz w:val="26"/>
          <w:szCs w:val="26"/>
        </w:rPr>
        <w:t>)</w:t>
      </w:r>
    </w:p>
    <w:p w14:paraId="148CAF64" w14:textId="12A7D762" w:rsidR="005A09DE" w:rsidRDefault="00000000" w:rsidP="008B3EC4">
      <w:pPr>
        <w:spacing w:after="720"/>
        <w:jc w:val="center"/>
      </w:pPr>
      <w:r>
        <w:rPr>
          <w:color w:val="6B7280"/>
          <w:sz w:val="22"/>
          <w:szCs w:val="22"/>
        </w:rPr>
        <w:t>April 21, 2026</w:t>
      </w:r>
    </w:p>
    <w:p w14:paraId="7E978925" w14:textId="77777777" w:rsidR="008B3EC4" w:rsidRDefault="008B3EC4"/>
    <w:p w14:paraId="2E2AB589" w14:textId="7BC9181B" w:rsidR="008B3EC4" w:rsidRDefault="008B3EC4" w:rsidP="008B3EC4">
      <w:pPr>
        <w:jc w:val="center"/>
      </w:pPr>
      <w:r>
        <w:rPr>
          <w:noProof/>
        </w:rPr>
        <w:drawing>
          <wp:inline distT="0" distB="0" distL="0" distR="0" wp14:anchorId="6CAEC9B4" wp14:editId="4983F7E1">
            <wp:extent cx="2807855" cy="2807855"/>
            <wp:effectExtent l="0" t="0" r="0" b="0"/>
            <wp:docPr id="2010760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60472" name="Picture 20107604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26451" cy="2826451"/>
                    </a:xfrm>
                    <a:prstGeom prst="rect">
                      <a:avLst/>
                    </a:prstGeom>
                  </pic:spPr>
                </pic:pic>
              </a:graphicData>
            </a:graphic>
          </wp:inline>
        </w:drawing>
      </w:r>
    </w:p>
    <w:p w14:paraId="3C7A705A" w14:textId="77777777" w:rsidR="008B3EC4" w:rsidRDefault="008B3EC4"/>
    <w:p w14:paraId="3490BF57" w14:textId="77777777" w:rsidR="005A09DE" w:rsidRDefault="005A09DE"/>
    <w:p w14:paraId="30093583" w14:textId="77777777" w:rsidR="005A09DE" w:rsidRDefault="005A09DE"/>
    <w:p w14:paraId="6C56B250" w14:textId="7EAC8BD0" w:rsidR="005A09DE" w:rsidRDefault="00E82832">
      <w:pPr>
        <w:pBdr>
          <w:top w:val="single" w:sz="6" w:space="6" w:color="888888"/>
          <w:bottom w:val="single" w:sz="6" w:space="6" w:color="888888"/>
        </w:pBdr>
        <w:jc w:val="center"/>
      </w:pPr>
      <w:r>
        <w:rPr>
          <w:b/>
          <w:bCs/>
          <w:color w:val="333333"/>
          <w:sz w:val="20"/>
          <w:szCs w:val="20"/>
        </w:rPr>
        <w:t>For</w:t>
      </w:r>
      <w:r w:rsidR="00000000">
        <w:rPr>
          <w:b/>
          <w:bCs/>
          <w:color w:val="333333"/>
          <w:sz w:val="20"/>
          <w:szCs w:val="20"/>
        </w:rPr>
        <w:t xml:space="preserve"> internal review. Not for external distribution until human review is complete.</w:t>
      </w:r>
    </w:p>
    <w:p w14:paraId="55038B17" w14:textId="77777777" w:rsidR="005A09DE" w:rsidRDefault="00000000">
      <w:r>
        <w:br w:type="page"/>
      </w:r>
    </w:p>
    <w:p w14:paraId="03FBDE15" w14:textId="77777777" w:rsidR="005A09DE" w:rsidRDefault="005A09DE">
      <w:pPr>
        <w:sectPr w:rsidR="005A09DE">
          <w:pgSz w:w="12240" w:h="15840"/>
          <w:pgMar w:top="1440" w:right="1440" w:bottom="1440" w:left="1440" w:header="708" w:footer="708" w:gutter="0"/>
          <w:cols w:space="720"/>
          <w:titlePg/>
          <w:docGrid w:linePitch="360"/>
        </w:sectPr>
      </w:pPr>
    </w:p>
    <w:p w14:paraId="70836E3E" w14:textId="77777777" w:rsidR="005A09DE" w:rsidRDefault="00000000">
      <w:pPr>
        <w:pStyle w:val="Heading1"/>
      </w:pPr>
      <w:bookmarkStart w:id="1" w:name="_Toc227663837"/>
      <w:r>
        <w:lastRenderedPageBreak/>
        <w:t>Table of Contents</w:t>
      </w:r>
      <w:bookmarkEnd w:id="1"/>
    </w:p>
    <w:sdt>
      <w:sdtPr>
        <w:alias w:val="Contents"/>
        <w:id w:val="1995378431"/>
      </w:sdtPr>
      <w:sdtContent>
        <w:p w14:paraId="322C36C0" w14:textId="6E33DE92" w:rsidR="00E158B3" w:rsidRDefault="00000000">
          <w:pPr>
            <w:pStyle w:val="TOC1"/>
            <w:tabs>
              <w:tab w:val="right" w:leader="dot" w:pos="9350"/>
            </w:tabs>
            <w:rPr>
              <w:noProof/>
            </w:rPr>
          </w:pPr>
          <w:r>
            <w:fldChar w:fldCharType="begin"/>
          </w:r>
          <w:r>
            <w:instrText>TOC \h \o "1-2"</w:instrText>
          </w:r>
          <w:r>
            <w:fldChar w:fldCharType="separate"/>
          </w:r>
          <w:hyperlink w:anchor="_Toc227663837" w:history="1">
            <w:r w:rsidR="00E158B3" w:rsidRPr="004314A5">
              <w:rPr>
                <w:rStyle w:val="Hyperlink"/>
                <w:noProof/>
              </w:rPr>
              <w:t>Table of Contents</w:t>
            </w:r>
            <w:r w:rsidR="00E158B3">
              <w:rPr>
                <w:noProof/>
              </w:rPr>
              <w:tab/>
            </w:r>
            <w:r w:rsidR="00E158B3">
              <w:rPr>
                <w:noProof/>
              </w:rPr>
              <w:fldChar w:fldCharType="begin"/>
            </w:r>
            <w:r w:rsidR="00E158B3">
              <w:rPr>
                <w:noProof/>
              </w:rPr>
              <w:instrText xml:space="preserve"> PAGEREF _Toc227663837 \h </w:instrText>
            </w:r>
            <w:r w:rsidR="00E158B3">
              <w:rPr>
                <w:noProof/>
              </w:rPr>
            </w:r>
            <w:r w:rsidR="00E158B3">
              <w:rPr>
                <w:noProof/>
              </w:rPr>
              <w:fldChar w:fldCharType="separate"/>
            </w:r>
            <w:r w:rsidR="00521415">
              <w:rPr>
                <w:noProof/>
              </w:rPr>
              <w:t>1</w:t>
            </w:r>
            <w:r w:rsidR="00E158B3">
              <w:rPr>
                <w:noProof/>
              </w:rPr>
              <w:fldChar w:fldCharType="end"/>
            </w:r>
          </w:hyperlink>
        </w:p>
        <w:p w14:paraId="653D3173" w14:textId="15AD9F62" w:rsidR="00E158B3" w:rsidRDefault="00E158B3">
          <w:pPr>
            <w:pStyle w:val="TOC1"/>
            <w:tabs>
              <w:tab w:val="right" w:leader="dot" w:pos="9350"/>
            </w:tabs>
            <w:rPr>
              <w:noProof/>
            </w:rPr>
          </w:pPr>
          <w:hyperlink w:anchor="_Toc227663838" w:history="1">
            <w:r w:rsidRPr="004314A5">
              <w:rPr>
                <w:rStyle w:val="Hyperlink"/>
                <w:noProof/>
              </w:rPr>
              <w:t>I. Gate D6, a Morning on Concourse D</w:t>
            </w:r>
            <w:r>
              <w:rPr>
                <w:noProof/>
              </w:rPr>
              <w:tab/>
            </w:r>
            <w:r>
              <w:rPr>
                <w:noProof/>
              </w:rPr>
              <w:fldChar w:fldCharType="begin"/>
            </w:r>
            <w:r>
              <w:rPr>
                <w:noProof/>
              </w:rPr>
              <w:instrText xml:space="preserve"> PAGEREF _Toc227663838 \h </w:instrText>
            </w:r>
            <w:r>
              <w:rPr>
                <w:noProof/>
              </w:rPr>
            </w:r>
            <w:r>
              <w:rPr>
                <w:noProof/>
              </w:rPr>
              <w:fldChar w:fldCharType="separate"/>
            </w:r>
            <w:r w:rsidR="00521415">
              <w:rPr>
                <w:noProof/>
              </w:rPr>
              <w:t>2</w:t>
            </w:r>
            <w:r>
              <w:rPr>
                <w:noProof/>
              </w:rPr>
              <w:fldChar w:fldCharType="end"/>
            </w:r>
          </w:hyperlink>
        </w:p>
        <w:p w14:paraId="779EF07A" w14:textId="59D9B9E4" w:rsidR="00E158B3" w:rsidRDefault="00E158B3">
          <w:pPr>
            <w:pStyle w:val="TOC1"/>
            <w:tabs>
              <w:tab w:val="right" w:leader="dot" w:pos="9350"/>
            </w:tabs>
            <w:rPr>
              <w:noProof/>
            </w:rPr>
          </w:pPr>
          <w:hyperlink w:anchor="_Toc227663839" w:history="1">
            <w:r w:rsidRPr="004314A5">
              <w:rPr>
                <w:rStyle w:val="Hyperlink"/>
                <w:noProof/>
              </w:rPr>
              <w:t>II. Executive Summary</w:t>
            </w:r>
            <w:r>
              <w:rPr>
                <w:noProof/>
              </w:rPr>
              <w:tab/>
            </w:r>
            <w:r>
              <w:rPr>
                <w:noProof/>
              </w:rPr>
              <w:fldChar w:fldCharType="begin"/>
            </w:r>
            <w:r>
              <w:rPr>
                <w:noProof/>
              </w:rPr>
              <w:instrText xml:space="preserve"> PAGEREF _Toc227663839 \h </w:instrText>
            </w:r>
            <w:r>
              <w:rPr>
                <w:noProof/>
              </w:rPr>
            </w:r>
            <w:r>
              <w:rPr>
                <w:noProof/>
              </w:rPr>
              <w:fldChar w:fldCharType="separate"/>
            </w:r>
            <w:r w:rsidR="00521415">
              <w:rPr>
                <w:noProof/>
              </w:rPr>
              <w:t>4</w:t>
            </w:r>
            <w:r>
              <w:rPr>
                <w:noProof/>
              </w:rPr>
              <w:fldChar w:fldCharType="end"/>
            </w:r>
          </w:hyperlink>
        </w:p>
        <w:p w14:paraId="277C6126" w14:textId="4AF1D1E6" w:rsidR="00E158B3" w:rsidRDefault="00E158B3">
          <w:pPr>
            <w:pStyle w:val="TOC1"/>
            <w:tabs>
              <w:tab w:val="right" w:leader="dot" w:pos="9350"/>
            </w:tabs>
            <w:rPr>
              <w:noProof/>
            </w:rPr>
          </w:pPr>
          <w:hyperlink w:anchor="_Toc227663840" w:history="1">
            <w:r w:rsidRPr="004314A5">
              <w:rPr>
                <w:rStyle w:val="Hyperlink"/>
                <w:noProof/>
              </w:rPr>
              <w:t>III. The Argument</w:t>
            </w:r>
            <w:r>
              <w:rPr>
                <w:noProof/>
              </w:rPr>
              <w:tab/>
            </w:r>
            <w:r>
              <w:rPr>
                <w:noProof/>
              </w:rPr>
              <w:fldChar w:fldCharType="begin"/>
            </w:r>
            <w:r>
              <w:rPr>
                <w:noProof/>
              </w:rPr>
              <w:instrText xml:space="preserve"> PAGEREF _Toc227663840 \h </w:instrText>
            </w:r>
            <w:r>
              <w:rPr>
                <w:noProof/>
              </w:rPr>
            </w:r>
            <w:r>
              <w:rPr>
                <w:noProof/>
              </w:rPr>
              <w:fldChar w:fldCharType="separate"/>
            </w:r>
            <w:r w:rsidR="00521415">
              <w:rPr>
                <w:noProof/>
              </w:rPr>
              <w:t>6</w:t>
            </w:r>
            <w:r>
              <w:rPr>
                <w:noProof/>
              </w:rPr>
              <w:fldChar w:fldCharType="end"/>
            </w:r>
          </w:hyperlink>
        </w:p>
        <w:p w14:paraId="69A7A6C6" w14:textId="4FCA16DF" w:rsidR="00E158B3" w:rsidRDefault="00E158B3">
          <w:pPr>
            <w:pStyle w:val="TOC2"/>
            <w:tabs>
              <w:tab w:val="right" w:leader="dot" w:pos="9350"/>
            </w:tabs>
            <w:rPr>
              <w:noProof/>
            </w:rPr>
          </w:pPr>
          <w:hyperlink w:anchor="_Toc227663841" w:history="1">
            <w:r w:rsidRPr="004314A5">
              <w:rPr>
                <w:rStyle w:val="Hyperlink"/>
                <w:noProof/>
              </w:rPr>
              <w:t>a. The 54-year policy that ended with commemorative bag tags</w:t>
            </w:r>
            <w:r>
              <w:rPr>
                <w:noProof/>
              </w:rPr>
              <w:tab/>
            </w:r>
            <w:r>
              <w:rPr>
                <w:noProof/>
              </w:rPr>
              <w:fldChar w:fldCharType="begin"/>
            </w:r>
            <w:r>
              <w:rPr>
                <w:noProof/>
              </w:rPr>
              <w:instrText xml:space="preserve"> PAGEREF _Toc227663841 \h </w:instrText>
            </w:r>
            <w:r>
              <w:rPr>
                <w:noProof/>
              </w:rPr>
            </w:r>
            <w:r>
              <w:rPr>
                <w:noProof/>
              </w:rPr>
              <w:fldChar w:fldCharType="separate"/>
            </w:r>
            <w:r w:rsidR="00521415">
              <w:rPr>
                <w:noProof/>
              </w:rPr>
              <w:t>6</w:t>
            </w:r>
            <w:r>
              <w:rPr>
                <w:noProof/>
              </w:rPr>
              <w:fldChar w:fldCharType="end"/>
            </w:r>
          </w:hyperlink>
        </w:p>
        <w:p w14:paraId="5FB5EE11" w14:textId="1B7ED10D" w:rsidR="00E158B3" w:rsidRDefault="00E158B3">
          <w:pPr>
            <w:pStyle w:val="TOC2"/>
            <w:tabs>
              <w:tab w:val="right" w:leader="dot" w:pos="9350"/>
            </w:tabs>
            <w:rPr>
              <w:noProof/>
            </w:rPr>
          </w:pPr>
          <w:hyperlink w:anchor="_Toc227663842" w:history="1">
            <w:r w:rsidRPr="004314A5">
              <w:rPr>
                <w:rStyle w:val="Hyperlink"/>
                <w:noProof/>
              </w:rPr>
              <w:t>b. The compression question</w:t>
            </w:r>
            <w:r>
              <w:rPr>
                <w:noProof/>
              </w:rPr>
              <w:tab/>
            </w:r>
            <w:r>
              <w:rPr>
                <w:noProof/>
              </w:rPr>
              <w:fldChar w:fldCharType="begin"/>
            </w:r>
            <w:r>
              <w:rPr>
                <w:noProof/>
              </w:rPr>
              <w:instrText xml:space="preserve"> PAGEREF _Toc227663842 \h </w:instrText>
            </w:r>
            <w:r>
              <w:rPr>
                <w:noProof/>
              </w:rPr>
            </w:r>
            <w:r>
              <w:rPr>
                <w:noProof/>
              </w:rPr>
              <w:fldChar w:fldCharType="separate"/>
            </w:r>
            <w:r w:rsidR="00521415">
              <w:rPr>
                <w:noProof/>
              </w:rPr>
              <w:t>7</w:t>
            </w:r>
            <w:r>
              <w:rPr>
                <w:noProof/>
              </w:rPr>
              <w:fldChar w:fldCharType="end"/>
            </w:r>
          </w:hyperlink>
        </w:p>
        <w:p w14:paraId="617AF0D8" w14:textId="42CCF2FC" w:rsidR="00E158B3" w:rsidRDefault="00E158B3">
          <w:pPr>
            <w:pStyle w:val="TOC2"/>
            <w:tabs>
              <w:tab w:val="right" w:leader="dot" w:pos="9350"/>
            </w:tabs>
            <w:rPr>
              <w:noProof/>
            </w:rPr>
          </w:pPr>
          <w:hyperlink w:anchor="_Toc227663843" w:history="1">
            <w:r w:rsidRPr="004314A5">
              <w:rPr>
                <w:rStyle w:val="Hyperlink"/>
                <w:noProof/>
              </w:rPr>
              <w:t>c. What Concourse D was built for</w:t>
            </w:r>
            <w:r>
              <w:rPr>
                <w:noProof/>
              </w:rPr>
              <w:tab/>
            </w:r>
            <w:r>
              <w:rPr>
                <w:noProof/>
              </w:rPr>
              <w:fldChar w:fldCharType="begin"/>
            </w:r>
            <w:r>
              <w:rPr>
                <w:noProof/>
              </w:rPr>
              <w:instrText xml:space="preserve"> PAGEREF _Toc227663843 \h </w:instrText>
            </w:r>
            <w:r>
              <w:rPr>
                <w:noProof/>
              </w:rPr>
            </w:r>
            <w:r>
              <w:rPr>
                <w:noProof/>
              </w:rPr>
              <w:fldChar w:fldCharType="separate"/>
            </w:r>
            <w:r w:rsidR="00521415">
              <w:rPr>
                <w:noProof/>
              </w:rPr>
              <w:t>7</w:t>
            </w:r>
            <w:r>
              <w:rPr>
                <w:noProof/>
              </w:rPr>
              <w:fldChar w:fldCharType="end"/>
            </w:r>
          </w:hyperlink>
        </w:p>
        <w:p w14:paraId="4476732C" w14:textId="4C86937C" w:rsidR="00E158B3" w:rsidRDefault="00E158B3">
          <w:pPr>
            <w:pStyle w:val="TOC2"/>
            <w:tabs>
              <w:tab w:val="right" w:leader="dot" w:pos="9350"/>
            </w:tabs>
            <w:rPr>
              <w:noProof/>
            </w:rPr>
          </w:pPr>
          <w:hyperlink w:anchor="_Toc227663844" w:history="1">
            <w:r w:rsidRPr="004314A5">
              <w:rPr>
                <w:rStyle w:val="Hyperlink"/>
                <w:noProof/>
              </w:rPr>
              <w:t>d. The Oasis, and what it costs to carve a lounge out of a mezzanine</w:t>
            </w:r>
            <w:r>
              <w:rPr>
                <w:noProof/>
              </w:rPr>
              <w:tab/>
            </w:r>
            <w:r>
              <w:rPr>
                <w:noProof/>
              </w:rPr>
              <w:fldChar w:fldCharType="begin"/>
            </w:r>
            <w:r>
              <w:rPr>
                <w:noProof/>
              </w:rPr>
              <w:instrText xml:space="preserve"> PAGEREF _Toc227663844 \h </w:instrText>
            </w:r>
            <w:r>
              <w:rPr>
                <w:noProof/>
              </w:rPr>
            </w:r>
            <w:r>
              <w:rPr>
                <w:noProof/>
              </w:rPr>
              <w:fldChar w:fldCharType="separate"/>
            </w:r>
            <w:r w:rsidR="00521415">
              <w:rPr>
                <w:noProof/>
              </w:rPr>
              <w:t>8</w:t>
            </w:r>
            <w:r>
              <w:rPr>
                <w:noProof/>
              </w:rPr>
              <w:fldChar w:fldCharType="end"/>
            </w:r>
          </w:hyperlink>
        </w:p>
        <w:p w14:paraId="0F2D3D9F" w14:textId="3EB0A508" w:rsidR="00E158B3" w:rsidRDefault="00E158B3">
          <w:pPr>
            <w:pStyle w:val="TOC2"/>
            <w:tabs>
              <w:tab w:val="right" w:leader="dot" w:pos="9350"/>
            </w:tabs>
            <w:rPr>
              <w:noProof/>
            </w:rPr>
          </w:pPr>
          <w:hyperlink w:anchor="_Toc227663845" w:history="1">
            <w:r w:rsidRPr="004314A5">
              <w:rPr>
                <w:rStyle w:val="Hyperlink"/>
                <w:noProof/>
              </w:rPr>
              <w:t>e. The banking hub Southwest will not call a hub</w:t>
            </w:r>
            <w:r>
              <w:rPr>
                <w:noProof/>
              </w:rPr>
              <w:tab/>
            </w:r>
            <w:r>
              <w:rPr>
                <w:noProof/>
              </w:rPr>
              <w:fldChar w:fldCharType="begin"/>
            </w:r>
            <w:r>
              <w:rPr>
                <w:noProof/>
              </w:rPr>
              <w:instrText xml:space="preserve"> PAGEREF _Toc227663845 \h </w:instrText>
            </w:r>
            <w:r>
              <w:rPr>
                <w:noProof/>
              </w:rPr>
            </w:r>
            <w:r>
              <w:rPr>
                <w:noProof/>
              </w:rPr>
              <w:fldChar w:fldCharType="separate"/>
            </w:r>
            <w:r w:rsidR="00521415">
              <w:rPr>
                <w:noProof/>
              </w:rPr>
              <w:t>9</w:t>
            </w:r>
            <w:r>
              <w:rPr>
                <w:noProof/>
              </w:rPr>
              <w:fldChar w:fldCharType="end"/>
            </w:r>
          </w:hyperlink>
        </w:p>
        <w:p w14:paraId="55A1C00C" w14:textId="42439D6C" w:rsidR="00E158B3" w:rsidRDefault="00E158B3">
          <w:pPr>
            <w:pStyle w:val="TOC2"/>
            <w:tabs>
              <w:tab w:val="right" w:leader="dot" w:pos="9350"/>
            </w:tabs>
            <w:rPr>
              <w:noProof/>
            </w:rPr>
          </w:pPr>
          <w:hyperlink w:anchor="_Toc227663846" w:history="1">
            <w:r w:rsidRPr="004314A5">
              <w:rPr>
                <w:rStyle w:val="Hyperlink"/>
                <w:noProof/>
              </w:rPr>
              <w:t>f. What bag fees do to a conveyor belt designed for free bags</w:t>
            </w:r>
            <w:r>
              <w:rPr>
                <w:noProof/>
              </w:rPr>
              <w:tab/>
            </w:r>
            <w:r>
              <w:rPr>
                <w:noProof/>
              </w:rPr>
              <w:fldChar w:fldCharType="begin"/>
            </w:r>
            <w:r>
              <w:rPr>
                <w:noProof/>
              </w:rPr>
              <w:instrText xml:space="preserve"> PAGEREF _Toc227663846 \h </w:instrText>
            </w:r>
            <w:r>
              <w:rPr>
                <w:noProof/>
              </w:rPr>
            </w:r>
            <w:r>
              <w:rPr>
                <w:noProof/>
              </w:rPr>
              <w:fldChar w:fldCharType="separate"/>
            </w:r>
            <w:r w:rsidR="00521415">
              <w:rPr>
                <w:noProof/>
              </w:rPr>
              <w:t>10</w:t>
            </w:r>
            <w:r>
              <w:rPr>
                <w:noProof/>
              </w:rPr>
              <w:fldChar w:fldCharType="end"/>
            </w:r>
          </w:hyperlink>
        </w:p>
        <w:p w14:paraId="39516A8C" w14:textId="57AF430F" w:rsidR="00E158B3" w:rsidRDefault="00E158B3">
          <w:pPr>
            <w:pStyle w:val="TOC2"/>
            <w:tabs>
              <w:tab w:val="right" w:leader="dot" w:pos="9350"/>
            </w:tabs>
            <w:rPr>
              <w:noProof/>
            </w:rPr>
          </w:pPr>
          <w:hyperlink w:anchor="_Toc227663847" w:history="1">
            <w:r w:rsidRPr="004314A5">
              <w:rPr>
                <w:rStyle w:val="Hyperlink"/>
                <w:noProof/>
              </w:rPr>
              <w:t>g. The cost per enplanement trajectory Southwest is already modeling</w:t>
            </w:r>
            <w:r>
              <w:rPr>
                <w:noProof/>
              </w:rPr>
              <w:tab/>
            </w:r>
            <w:r>
              <w:rPr>
                <w:noProof/>
              </w:rPr>
              <w:fldChar w:fldCharType="begin"/>
            </w:r>
            <w:r>
              <w:rPr>
                <w:noProof/>
              </w:rPr>
              <w:instrText xml:space="preserve"> PAGEREF _Toc227663847 \h </w:instrText>
            </w:r>
            <w:r>
              <w:rPr>
                <w:noProof/>
              </w:rPr>
            </w:r>
            <w:r>
              <w:rPr>
                <w:noProof/>
              </w:rPr>
              <w:fldChar w:fldCharType="separate"/>
            </w:r>
            <w:r w:rsidR="00521415">
              <w:rPr>
                <w:noProof/>
              </w:rPr>
              <w:t>11</w:t>
            </w:r>
            <w:r>
              <w:rPr>
                <w:noProof/>
              </w:rPr>
              <w:fldChar w:fldCharType="end"/>
            </w:r>
          </w:hyperlink>
        </w:p>
        <w:p w14:paraId="03713CB4" w14:textId="67795742" w:rsidR="00E158B3" w:rsidRDefault="00E158B3">
          <w:pPr>
            <w:pStyle w:val="TOC2"/>
            <w:tabs>
              <w:tab w:val="right" w:leader="dot" w:pos="9350"/>
            </w:tabs>
            <w:rPr>
              <w:noProof/>
            </w:rPr>
          </w:pPr>
          <w:hyperlink w:anchor="_Toc227663848" w:history="1">
            <w:r w:rsidRPr="004314A5">
              <w:rPr>
                <w:rStyle w:val="Hyperlink"/>
                <w:noProof/>
              </w:rPr>
              <w:t>h. The airline use agreement that both sides got what they wanted from</w:t>
            </w:r>
            <w:r>
              <w:rPr>
                <w:noProof/>
              </w:rPr>
              <w:tab/>
            </w:r>
            <w:r>
              <w:rPr>
                <w:noProof/>
              </w:rPr>
              <w:fldChar w:fldCharType="begin"/>
            </w:r>
            <w:r>
              <w:rPr>
                <w:noProof/>
              </w:rPr>
              <w:instrText xml:space="preserve"> PAGEREF _Toc227663848 \h </w:instrText>
            </w:r>
            <w:r>
              <w:rPr>
                <w:noProof/>
              </w:rPr>
            </w:r>
            <w:r>
              <w:rPr>
                <w:noProof/>
              </w:rPr>
              <w:fldChar w:fldCharType="separate"/>
            </w:r>
            <w:r w:rsidR="00521415">
              <w:rPr>
                <w:noProof/>
              </w:rPr>
              <w:t>12</w:t>
            </w:r>
            <w:r>
              <w:rPr>
                <w:noProof/>
              </w:rPr>
              <w:fldChar w:fldCharType="end"/>
            </w:r>
          </w:hyperlink>
        </w:p>
        <w:p w14:paraId="2A326F94" w14:textId="143E5F13" w:rsidR="00E158B3" w:rsidRDefault="00E158B3">
          <w:pPr>
            <w:pStyle w:val="TOC2"/>
            <w:tabs>
              <w:tab w:val="right" w:leader="dot" w:pos="9350"/>
            </w:tabs>
            <w:rPr>
              <w:noProof/>
            </w:rPr>
          </w:pPr>
          <w:hyperlink w:anchor="_Toc227663849" w:history="1">
            <w:r w:rsidRPr="004314A5">
              <w:rPr>
                <w:rStyle w:val="Hyperlink"/>
                <w:noProof/>
              </w:rPr>
              <w:t>i. Governance that is not quite settled</w:t>
            </w:r>
            <w:r>
              <w:rPr>
                <w:noProof/>
              </w:rPr>
              <w:tab/>
            </w:r>
            <w:r>
              <w:rPr>
                <w:noProof/>
              </w:rPr>
              <w:fldChar w:fldCharType="begin"/>
            </w:r>
            <w:r>
              <w:rPr>
                <w:noProof/>
              </w:rPr>
              <w:instrText xml:space="preserve"> PAGEREF _Toc227663849 \h </w:instrText>
            </w:r>
            <w:r>
              <w:rPr>
                <w:noProof/>
              </w:rPr>
            </w:r>
            <w:r>
              <w:rPr>
                <w:noProof/>
              </w:rPr>
              <w:fldChar w:fldCharType="separate"/>
            </w:r>
            <w:r w:rsidR="00521415">
              <w:rPr>
                <w:noProof/>
              </w:rPr>
              <w:t>13</w:t>
            </w:r>
            <w:r>
              <w:rPr>
                <w:noProof/>
              </w:rPr>
              <w:fldChar w:fldCharType="end"/>
            </w:r>
          </w:hyperlink>
        </w:p>
        <w:p w14:paraId="6BEF3E5B" w14:textId="14C0DE94" w:rsidR="00E158B3" w:rsidRDefault="00E158B3">
          <w:pPr>
            <w:pStyle w:val="TOC1"/>
            <w:tabs>
              <w:tab w:val="right" w:leader="dot" w:pos="9350"/>
            </w:tabs>
            <w:rPr>
              <w:noProof/>
            </w:rPr>
          </w:pPr>
          <w:hyperlink w:anchor="_Toc227663850" w:history="1">
            <w:r w:rsidRPr="004314A5">
              <w:rPr>
                <w:rStyle w:val="Hyperlink"/>
                <w:noProof/>
              </w:rPr>
              <w:t>IV. The Counter-Case, Honestly Presented</w:t>
            </w:r>
            <w:r>
              <w:rPr>
                <w:noProof/>
              </w:rPr>
              <w:tab/>
            </w:r>
            <w:r>
              <w:rPr>
                <w:noProof/>
              </w:rPr>
              <w:fldChar w:fldCharType="begin"/>
            </w:r>
            <w:r>
              <w:rPr>
                <w:noProof/>
              </w:rPr>
              <w:instrText xml:space="preserve"> PAGEREF _Toc227663850 \h </w:instrText>
            </w:r>
            <w:r>
              <w:rPr>
                <w:noProof/>
              </w:rPr>
            </w:r>
            <w:r>
              <w:rPr>
                <w:noProof/>
              </w:rPr>
              <w:fldChar w:fldCharType="separate"/>
            </w:r>
            <w:r w:rsidR="00521415">
              <w:rPr>
                <w:noProof/>
              </w:rPr>
              <w:t>14</w:t>
            </w:r>
            <w:r>
              <w:rPr>
                <w:noProof/>
              </w:rPr>
              <w:fldChar w:fldCharType="end"/>
            </w:r>
          </w:hyperlink>
        </w:p>
        <w:p w14:paraId="54380EBC" w14:textId="7958FAB4" w:rsidR="00E158B3" w:rsidRDefault="00E158B3">
          <w:pPr>
            <w:pStyle w:val="TOC1"/>
            <w:tabs>
              <w:tab w:val="right" w:leader="dot" w:pos="9350"/>
            </w:tabs>
            <w:rPr>
              <w:noProof/>
            </w:rPr>
          </w:pPr>
          <w:hyperlink w:anchor="_Toc227663851" w:history="1">
            <w:r w:rsidRPr="004314A5">
              <w:rPr>
                <w:rStyle w:val="Hyperlink"/>
                <w:noProof/>
              </w:rPr>
              <w:t>V. Why the Counter-Case Is Insufficient</w:t>
            </w:r>
            <w:r>
              <w:rPr>
                <w:noProof/>
              </w:rPr>
              <w:tab/>
            </w:r>
            <w:r>
              <w:rPr>
                <w:noProof/>
              </w:rPr>
              <w:fldChar w:fldCharType="begin"/>
            </w:r>
            <w:r>
              <w:rPr>
                <w:noProof/>
              </w:rPr>
              <w:instrText xml:space="preserve"> PAGEREF _Toc227663851 \h </w:instrText>
            </w:r>
            <w:r>
              <w:rPr>
                <w:noProof/>
              </w:rPr>
            </w:r>
            <w:r>
              <w:rPr>
                <w:noProof/>
              </w:rPr>
              <w:fldChar w:fldCharType="separate"/>
            </w:r>
            <w:r w:rsidR="00521415">
              <w:rPr>
                <w:noProof/>
              </w:rPr>
              <w:t>16</w:t>
            </w:r>
            <w:r>
              <w:rPr>
                <w:noProof/>
              </w:rPr>
              <w:fldChar w:fldCharType="end"/>
            </w:r>
          </w:hyperlink>
        </w:p>
        <w:p w14:paraId="059A2EDF" w14:textId="654115A3" w:rsidR="00E158B3" w:rsidRDefault="00E158B3">
          <w:pPr>
            <w:pStyle w:val="TOC1"/>
            <w:tabs>
              <w:tab w:val="right" w:leader="dot" w:pos="9350"/>
            </w:tabs>
            <w:rPr>
              <w:noProof/>
            </w:rPr>
          </w:pPr>
          <w:hyperlink w:anchor="_Toc227663852" w:history="1">
            <w:r w:rsidRPr="004314A5">
              <w:rPr>
                <w:rStyle w:val="Hyperlink"/>
                <w:noProof/>
              </w:rPr>
              <w:t>VI. Implications for MNAA</w:t>
            </w:r>
            <w:r>
              <w:rPr>
                <w:noProof/>
              </w:rPr>
              <w:tab/>
            </w:r>
            <w:r>
              <w:rPr>
                <w:noProof/>
              </w:rPr>
              <w:fldChar w:fldCharType="begin"/>
            </w:r>
            <w:r>
              <w:rPr>
                <w:noProof/>
              </w:rPr>
              <w:instrText xml:space="preserve"> PAGEREF _Toc227663852 \h </w:instrText>
            </w:r>
            <w:r>
              <w:rPr>
                <w:noProof/>
              </w:rPr>
            </w:r>
            <w:r>
              <w:rPr>
                <w:noProof/>
              </w:rPr>
              <w:fldChar w:fldCharType="separate"/>
            </w:r>
            <w:r w:rsidR="00521415">
              <w:rPr>
                <w:noProof/>
              </w:rPr>
              <w:t>20</w:t>
            </w:r>
            <w:r>
              <w:rPr>
                <w:noProof/>
              </w:rPr>
              <w:fldChar w:fldCharType="end"/>
            </w:r>
          </w:hyperlink>
        </w:p>
        <w:p w14:paraId="0704DC0F" w14:textId="391A031C" w:rsidR="00E158B3" w:rsidRDefault="00E158B3">
          <w:pPr>
            <w:pStyle w:val="TOC1"/>
            <w:tabs>
              <w:tab w:val="right" w:leader="dot" w:pos="9350"/>
            </w:tabs>
            <w:rPr>
              <w:noProof/>
            </w:rPr>
          </w:pPr>
          <w:hyperlink w:anchor="_Toc227663853" w:history="1">
            <w:r w:rsidRPr="004314A5">
              <w:rPr>
                <w:rStyle w:val="Hyperlink"/>
                <w:noProof/>
              </w:rPr>
              <w:t>Methodology</w:t>
            </w:r>
            <w:r>
              <w:rPr>
                <w:noProof/>
              </w:rPr>
              <w:tab/>
            </w:r>
            <w:r>
              <w:rPr>
                <w:noProof/>
              </w:rPr>
              <w:fldChar w:fldCharType="begin"/>
            </w:r>
            <w:r>
              <w:rPr>
                <w:noProof/>
              </w:rPr>
              <w:instrText xml:space="preserve"> PAGEREF _Toc227663853 \h </w:instrText>
            </w:r>
            <w:r>
              <w:rPr>
                <w:noProof/>
              </w:rPr>
            </w:r>
            <w:r>
              <w:rPr>
                <w:noProof/>
              </w:rPr>
              <w:fldChar w:fldCharType="separate"/>
            </w:r>
            <w:r w:rsidR="00521415">
              <w:rPr>
                <w:noProof/>
              </w:rPr>
              <w:t>23</w:t>
            </w:r>
            <w:r>
              <w:rPr>
                <w:noProof/>
              </w:rPr>
              <w:fldChar w:fldCharType="end"/>
            </w:r>
          </w:hyperlink>
        </w:p>
        <w:p w14:paraId="607AE405" w14:textId="77777777" w:rsidR="005A09DE" w:rsidRDefault="00000000">
          <w:r>
            <w:fldChar w:fldCharType="end"/>
          </w:r>
        </w:p>
      </w:sdtContent>
    </w:sdt>
    <w:p w14:paraId="658A72F9" w14:textId="77777777" w:rsidR="005A09DE" w:rsidRDefault="00000000">
      <w:r>
        <w:br w:type="page"/>
      </w:r>
    </w:p>
    <w:p w14:paraId="0B69AE86" w14:textId="77777777" w:rsidR="005A09DE" w:rsidRDefault="00000000">
      <w:pPr>
        <w:pStyle w:val="Heading1"/>
        <w:pageBreakBefore/>
      </w:pPr>
      <w:bookmarkStart w:id="2" w:name="_Toc227663838"/>
      <w:r>
        <w:lastRenderedPageBreak/>
        <w:t>I. Gate D6, a Morning on Concourse D</w:t>
      </w:r>
      <w:bookmarkEnd w:id="2"/>
    </w:p>
    <w:p w14:paraId="70590C04" w14:textId="77777777" w:rsidR="005A09DE" w:rsidRDefault="00000000">
      <w:pPr>
        <w:spacing w:after="200" w:line="320" w:lineRule="auto"/>
      </w:pPr>
      <w:r>
        <w:t>A Tuesday morning at Gate D6, on Concourse D — the 11-gate facility that is Southwest's exclusive territory at Nashville International. A MAX 8 is being turned. The aircraft carries 175 seats, roughly 22% more than the 143-seat 737-700 the gates were designed around. A ramp supervisor checks a tablet. Passengers queue not in the A/B/C corral of open-seating memory but in eight numbered boarding groups — Business Select, Preferred, A-List Preferred, Extra Legroom, A-List, Rapid Rewards cardholders, and the last two groups, which include the Basic fare passengers whose tickets do not change, do not refund, and whose seat was assigned by the computer the night before. Eight groups, where for fifty-four years there were three.</w:t>
      </w:r>
    </w:p>
    <w:p w14:paraId="232EDE48" w14:textId="77777777" w:rsidR="005A09DE" w:rsidRDefault="00000000">
      <w:pPr>
        <w:spacing w:after="200" w:line="320" w:lineRule="auto"/>
      </w:pPr>
      <w:r>
        <w:t>The bin-stow problem has a predictable geography. Forward bins fill first as Groups 1 and 2 load. Later groups walk forward through the boarding stream to stow carry-ons above rows they do not sit in. The result is the overhead-bin congestion Southwest has been publicly working through since the bag-fee and assigned-seat rollouts collided in mid-2025. The Transport Workers Union filed a formal grievance in February 2026 — not about passenger bin congestion directly, but about the relocation of crew bag stowage areas to accommodate passenger bin overflow. The grievance is about space. The space is the symptom.</w:t>
      </w:r>
    </w:p>
    <w:p w14:paraId="58122820" w14:textId="77777777" w:rsidR="005A09DE" w:rsidRDefault="00000000">
      <w:pPr>
        <w:spacing w:after="200" w:line="320" w:lineRule="auto"/>
      </w:pPr>
      <w:r>
        <w:t>Southwest's system-average turn, 25 minutes or less at the model's historical peak, had risen to 49 minutes by 2024. The goal now is 44 minutes — a five-minute reclamation that Southwest's own planners say would be worth the equivalent of sixteen additional aircraft's worth of flying. The goal sits one level above the legacy carriers and three above Spirit.</w:t>
      </w:r>
    </w:p>
    <w:p w14:paraId="4B9A47C3" w14:textId="77777777" w:rsidR="005A09DE" w:rsidRDefault="00000000">
      <w:pPr>
        <w:spacing w:after="200" w:line="320" w:lineRule="auto"/>
      </w:pPr>
      <w:r>
        <w:t xml:space="preserve">Above the Concourse D ramp, at the central mezzanine, the Acme Feed &amp; Seed restaurant is still open. It will not be. Its lease is ending. The 30,000 square feet it occupies, above the lobby, will be demolished to accommodate a 30,000-square-foot Southwest lounge called The Oasis, fit-out cost $53 million, permit filed February 2026, the largest single lounge in Southwest's corporate pipeline. The lounge is </w:t>
      </w:r>
      <w:proofErr w:type="gramStart"/>
      <w:r>
        <w:t>carrier-funded</w:t>
      </w:r>
      <w:proofErr w:type="gramEnd"/>
      <w:r>
        <w:t>. It sits inside airport-controlled real estate. It is being built to anchor a Chase co-branded credit card projected at $500–$600 per year — a product whose natural benchmark is Delta's Reserve card at $650. In concrete and drywall, The Oasis is the physical evidence that the airline whose name still hangs above Concourse D is not the airline that designed Concourse D.</w:t>
      </w:r>
    </w:p>
    <w:p w14:paraId="78BFF281" w14:textId="77777777" w:rsidR="005A09DE" w:rsidRDefault="00000000">
      <w:pPr>
        <w:spacing w:after="200" w:line="320" w:lineRule="auto"/>
      </w:pPr>
      <w:r>
        <w:t>This essay argues three things. First, Southwest is completing a decade-compressed transformation from the highest-productivity point-to-point carrier in U.S. aviation history to a hybrid revenue-</w:t>
      </w:r>
      <w:r>
        <w:lastRenderedPageBreak/>
        <w:t>optimization carrier, and the transformation is structurally irreversible. Second, Nashville International's capital program — $4.5 billion committed since 2017, with the uncommitted tranches of New Horizon still to be design-locked — was scoped against the Southwest that existed when ground broke, not against the Southwest that will be flying in 2030. Third, the gap between those two airlines is narrow enough to be invisible from a glance at the gate chart, and wide enough that MNAA's next three capital decisions should be pressure-tested against the new model before they are committed, not after.</w:t>
      </w:r>
    </w:p>
    <w:p w14:paraId="76C749ED" w14:textId="77777777" w:rsidR="005A09DE" w:rsidRDefault="00000000">
      <w:pPr>
        <w:spacing w:after="200" w:line="320" w:lineRule="auto"/>
      </w:pPr>
      <w:r>
        <w:t>The argument is not that Southwest is leaving. It is not. The argument is that Southwest is staying, and that what "staying" means has changed.</w:t>
      </w:r>
    </w:p>
    <w:p w14:paraId="566C0E18" w14:textId="77777777" w:rsidR="005A09DE" w:rsidRDefault="00000000">
      <w:pPr>
        <w:pStyle w:val="Heading1"/>
        <w:pageBreakBefore/>
      </w:pPr>
      <w:bookmarkStart w:id="3" w:name="_Toc227663839"/>
      <w:r>
        <w:lastRenderedPageBreak/>
        <w:t>II. Executive Summary</w:t>
      </w:r>
      <w:bookmarkEnd w:id="3"/>
    </w:p>
    <w:p w14:paraId="0A659872" w14:textId="77777777" w:rsidR="005A09DE" w:rsidRDefault="00000000">
      <w:pPr>
        <w:pStyle w:val="ListParagraph"/>
        <w:numPr>
          <w:ilvl w:val="0"/>
          <w:numId w:val="2"/>
        </w:numPr>
      </w:pPr>
      <w:r>
        <w:rPr>
          <w:b/>
          <w:bCs/>
        </w:rPr>
        <w:t>Southwest's transformation has moved past the point of reversal.</w:t>
      </w:r>
      <w:r>
        <w:t xml:space="preserve"> Between September 2024 and January 2026, the carrier eliminated open seating, introduced checked-bag fees in a two-step escalation ($35/$45 in May 2025, rising to $45/$55 by late 2025), launched basic economy, joined major OTAs for the first time in nineteen years, began redeye flying, and committed to premium extra-legroom retrofits on one-third of its fleet. Each change carries sunk capital, contractual commitment, or FAA-certified modification. None can be walked back without material cost.</w:t>
      </w:r>
    </w:p>
    <w:p w14:paraId="76960C33" w14:textId="77777777" w:rsidR="005A09DE" w:rsidRDefault="00000000">
      <w:pPr>
        <w:pStyle w:val="ListParagraph"/>
        <w:numPr>
          <w:ilvl w:val="0"/>
          <w:numId w:val="2"/>
        </w:numPr>
      </w:pPr>
      <w:r>
        <w:rPr>
          <w:b/>
          <w:bCs/>
        </w:rPr>
        <w:t>Southwest's presence at BNA is deepening even as its operating character changes.</w:t>
      </w:r>
      <w:r>
        <w:t xml:space="preserve"> The carrier controls 54% of total BNA traffic and 60% of seat capacity, opened its 12th crew base at BNA in May 2024 (500–700 flight attendants and 150–250 pilots, a combined 650–950 employees), operates 166 daily departures today, 190 in spring 2026, and a planned 215 by fall 2026. Nashville is one of four coordinating connection banks alongside Midway, Denver, and St. Louis. This is the opposite of a departure signal. It is also the opposite of the high-frequency, quick-turn, point-to-point relationship that Concourse D was designed around.</w:t>
      </w:r>
    </w:p>
    <w:p w14:paraId="755F08F8" w14:textId="77777777" w:rsidR="005A09DE" w:rsidRDefault="00000000">
      <w:pPr>
        <w:pStyle w:val="ListParagraph"/>
        <w:numPr>
          <w:ilvl w:val="0"/>
          <w:numId w:val="2"/>
        </w:numPr>
      </w:pPr>
      <w:r>
        <w:rPr>
          <w:b/>
          <w:bCs/>
        </w:rPr>
        <w:t>The operational math runs against gate productivity in the short term.</w:t>
      </w:r>
      <w:r>
        <w:t xml:space="preserve"> Southwest's own 2006 internal testing showed assigned seating adds 1–4 minutes of boarding time. A 3-minute average increase across 166 daily Concourse D departures consumes roughly 8 gate-hours per day (analyst calculation: 166 × 3 ÷ 60 = 8.3 hours). The fleet is simultaneously </w:t>
      </w:r>
      <w:proofErr w:type="spellStart"/>
      <w:r>
        <w:t>upgauging</w:t>
      </w:r>
      <w:proofErr w:type="spellEnd"/>
      <w:r>
        <w:t xml:space="preserve"> from 143-seat 737-700s to 175-seat MAX 8s, a 22.4% increase in passengers per gate cycle on infrastructure sized before the shift.</w:t>
      </w:r>
    </w:p>
    <w:p w14:paraId="59E80974" w14:textId="77777777" w:rsidR="005A09DE" w:rsidRDefault="00000000">
      <w:pPr>
        <w:pStyle w:val="ListParagraph"/>
        <w:numPr>
          <w:ilvl w:val="0"/>
          <w:numId w:val="2"/>
        </w:numPr>
      </w:pPr>
      <w:r>
        <w:rPr>
          <w:b/>
          <w:bCs/>
        </w:rPr>
        <w:t>BNA's cost per enplanement is projected to rise from $8.49 in FY2024 to $17.48 by FY2032 — a 106% increase over eight years, or 91% from the FY2025 base of $9.16.</w:t>
      </w:r>
      <w:r>
        <w:t xml:space="preserve"> The increase is driven almost entirely by debt service on New Horizon. Southwest's January 2025 letter to MNAA asking the Authority to "keep cost increases to a reasonable level" is the revealed-preference data point that matters. Carriers send letters like that 18 months before they begin diverting growth.</w:t>
      </w:r>
    </w:p>
    <w:p w14:paraId="35BF8E9E" w14:textId="77777777" w:rsidR="005A09DE" w:rsidRDefault="00000000">
      <w:pPr>
        <w:pStyle w:val="ListParagraph"/>
        <w:numPr>
          <w:ilvl w:val="0"/>
          <w:numId w:val="2"/>
        </w:numPr>
      </w:pPr>
      <w:r>
        <w:rPr>
          <w:b/>
          <w:bCs/>
        </w:rPr>
        <w:t>Senior debt service coverage is projected to fall from 19.11x in FY2024 to 1.80x in FY2030 — but the steeper portion of that fall is the roll-off of federal pandemic-relief funds between FY2024 and FY2025, not the debt-service program itself.</w:t>
      </w:r>
      <w:r>
        <w:t xml:space="preserve"> The cleaner comparison is FY2025's 5.95x against the FY2030 trough of 1.80x, a 3.3x decline against a covenant floor of 1.25x. That leaves 0.55 of a coverage ratio above the floor at the trough — not 55 basis points, which is a unit-mismatch the bond disclosures and the Economist brief both use, and which should be read as a coverage-ratio margin rather than as an interest-rate spread.</w:t>
      </w:r>
    </w:p>
    <w:p w14:paraId="10CF1752" w14:textId="77777777" w:rsidR="005A09DE" w:rsidRDefault="00000000">
      <w:pPr>
        <w:pStyle w:val="ListParagraph"/>
        <w:numPr>
          <w:ilvl w:val="0"/>
          <w:numId w:val="2"/>
        </w:numPr>
      </w:pPr>
      <w:r>
        <w:rPr>
          <w:b/>
          <w:bCs/>
        </w:rPr>
        <w:t>The airline use agreement executed in July 2023 eliminated Southwest's majority-in-interest veto over terminal capital — a generational shift for MNAA — but locked terminal rental rates through June 30, 2031.</w:t>
      </w:r>
      <w:r>
        <w:t xml:space="preserve"> Southwest signed it in mid-2023, a year before Elliott Management's stake became public and fifteen months before the September 2024 Investor Day announced the transformation. The airline that negotiated fixed rental rates is not the airline that emerged from Investor Day. Both sides got what they wanted. One side knew more about what was coming.</w:t>
      </w:r>
    </w:p>
    <w:p w14:paraId="73BE690C" w14:textId="77777777" w:rsidR="005A09DE" w:rsidRDefault="00000000">
      <w:pPr>
        <w:pStyle w:val="ListParagraph"/>
        <w:numPr>
          <w:ilvl w:val="0"/>
          <w:numId w:val="2"/>
        </w:numPr>
      </w:pPr>
      <w:r>
        <w:rPr>
          <w:b/>
          <w:bCs/>
        </w:rPr>
        <w:t>The historical analogies are imperfect.</w:t>
      </w:r>
      <w:r>
        <w:t xml:space="preserve"> Pittsburgh, Cincinnati, and Memphis are dehubbing stories; Southwest is not dehubbing Nashville. The closest in kind is US Airways / America West (2005–2013), where the LCC-to-legacy drift was visible only in retrospect. The closest </w:t>
      </w:r>
      <w:r>
        <w:lastRenderedPageBreak/>
        <w:t>in the other direction is what Midway absorbed as Southwest grew through the 1980s and 1990s, at a different scale and with the arrow of change pointed the other way. Continental at Denver in 1995 is the cleanest precedent for a carrier reducing service because airport costs rose, regardless of network commitment — a mechanism the January 2025 letter suggests is live at BNA.</w:t>
      </w:r>
    </w:p>
    <w:p w14:paraId="6AD0DD67" w14:textId="77777777" w:rsidR="005A09DE" w:rsidRDefault="00000000">
      <w:pPr>
        <w:pStyle w:val="ListParagraph"/>
        <w:numPr>
          <w:ilvl w:val="0"/>
          <w:numId w:val="2"/>
        </w:numPr>
      </w:pPr>
      <w:r>
        <w:rPr>
          <w:b/>
          <w:bCs/>
        </w:rPr>
        <w:t>The single most important finding of this analysis is what the public record does not show.</w:t>
      </w:r>
      <w:r>
        <w:t xml:space="preserve"> The uncommitted tranches of New Horizon — the Concourse A reconstruction (16 gates, $855M, July 2028), the baggage handling system expansion (40M passengers, October 2028), and the central ramp expansion (7 RON and deicing positions, September 2027) — were scoped before the carrier's transformation. Whether the design assumptions have been re-analyzed against a Southwest that turns aircraft in 49 minutes, charges for bags, stocks a lounge, and schedules connecting banks is a question the public record does not answer. That is not yet a finding. It is the diligence posture MNAA's board should demand before the tranches close their design gates.</w:t>
      </w:r>
    </w:p>
    <w:p w14:paraId="69CAB5C5" w14:textId="77777777" w:rsidR="005A09DE" w:rsidRDefault="00000000">
      <w:pPr>
        <w:pStyle w:val="Heading1"/>
        <w:pageBreakBefore/>
      </w:pPr>
      <w:bookmarkStart w:id="4" w:name="_Toc227663840"/>
      <w:r>
        <w:lastRenderedPageBreak/>
        <w:t>III. The Argument</w:t>
      </w:r>
      <w:bookmarkEnd w:id="4"/>
    </w:p>
    <w:p w14:paraId="20AC426D" w14:textId="77777777" w:rsidR="005A09DE" w:rsidRDefault="00000000">
      <w:pPr>
        <w:pStyle w:val="Heading2"/>
      </w:pPr>
      <w:bookmarkStart w:id="5" w:name="_Toc227663841"/>
      <w:r>
        <w:t>a. The 54-year policy that ended with commemorative bag tags</w:t>
      </w:r>
      <w:bookmarkEnd w:id="5"/>
    </w:p>
    <w:p w14:paraId="0B7D0CBE" w14:textId="77777777" w:rsidR="005A09DE" w:rsidRDefault="00000000">
      <w:pPr>
        <w:spacing w:after="200" w:line="320" w:lineRule="auto"/>
      </w:pPr>
      <w:r>
        <w:t>On January 26, 2026, Southwest flight WN 1971 departed Honolulu for Los Angeles. The flight number was a tribute. The gate agents applauded. A flight attendant told CNBC after landing that she was "so happy she wanted to cry" because having customers roam the aisle looking for seats had been stressful for crew. WN 1971 was the last Southwest flight to operate with open seating.</w:t>
      </w:r>
    </w:p>
    <w:p w14:paraId="575E90E4" w14:textId="77777777" w:rsidR="005A09DE" w:rsidRDefault="00000000">
      <w:pPr>
        <w:spacing w:after="200" w:line="320" w:lineRule="auto"/>
      </w:pPr>
      <w:r>
        <w:t>Fifty-four years of a policy every competitor had tried to replicate and failed, ended with applause.</w:t>
      </w:r>
    </w:p>
    <w:p w14:paraId="61E959B0" w14:textId="77777777" w:rsidR="005A09DE" w:rsidRDefault="00000000">
      <w:pPr>
        <w:spacing w:after="200" w:line="320" w:lineRule="auto"/>
      </w:pPr>
      <w:r>
        <w:t>Those bag tags commemorated more than a boarding system. The 10-minute turn — invented in 1972, when Southwest was operating with three planes on a schedule designed for four, and the ground crew achieved 22 minutes, which was enough — was not a trick. The Historian brief calls it an operational expedient that became a cost-structure discipline. Every piece of Southwest's commercial model — the single aircraft type, the two free bags, the point-to-point network without banks, the open seating — became "the mechanical interlocking parts of a cost structure that let Southwest earn money in markets where legacy carriers bled." The model built thirty-five consecutive profitable years through deregulation, September 11, and the Great Recession.</w:t>
      </w:r>
    </w:p>
    <w:p w14:paraId="50228D21" w14:textId="77777777" w:rsidR="005A09DE" w:rsidRDefault="00000000">
      <w:pPr>
        <w:spacing w:after="200" w:line="320" w:lineRule="auto"/>
      </w:pPr>
      <w:r>
        <w:t>The machine began to fail under cost pressure that ground time alone could not absorb. Full-year 2024 CASM-X grew 7.8% against a full-year operating margin of 1.2% — $321 million in operating income on $27.5 billion in revenue. Delta posted 10% that year. United cleared 8%. In June 2024, Elliott Management disclosed a roughly $2 billion stake and demanded board change. By October, Elliott had five directors on the Southwest board. The longest-tenured member of Southwest's senior leadership, Executive Chairman Gary Kelly, left the same day. Twelve weeks later, the September 2024 Investor Day announced the transformation.</w:t>
      </w:r>
    </w:p>
    <w:p w14:paraId="588CFCCF" w14:textId="77777777" w:rsidR="005A09DE" w:rsidRDefault="00000000">
      <w:pPr>
        <w:spacing w:after="200" w:line="320" w:lineRule="auto"/>
      </w:pPr>
      <w:r>
        <w:t>The Investor Day targets were not marketing. They were obligations. Assigned seating beginning H2 2025, operating H1 2026. Premium extra-legroom across a third of the fleet. Redeye flying. International codeshare, beginning with Icelandair at BWI. A $500 million cost reduction program. A target of $4 billion in cumulative incremental EBIT by 2027 and 15%-plus after-tax ROIC.</w:t>
      </w:r>
    </w:p>
    <w:p w14:paraId="33CB7887" w14:textId="77777777" w:rsidR="005A09DE" w:rsidRDefault="00000000">
      <w:pPr>
        <w:spacing w:after="200" w:line="320" w:lineRule="auto"/>
      </w:pPr>
      <w:r>
        <w:t>In February 2025, Southwest conducted its first mass layoff in 53 years — 1,750 corporate positions, 15% of the corporate workforce. That number carries a cultural weight CASM calculations cannot express. Nine months later, COO Andrew Watterson, explaining bag fees on the same day the carrier announced them, said five words that would have been unthinkable at any Investor Day before 2024: "We need more revenue to cover our costs."</w:t>
      </w:r>
    </w:p>
    <w:p w14:paraId="1FDB9907" w14:textId="77777777" w:rsidR="005A09DE" w:rsidRDefault="00000000">
      <w:pPr>
        <w:pStyle w:val="Heading2"/>
      </w:pPr>
      <w:bookmarkStart w:id="6" w:name="_Toc227663842"/>
      <w:r>
        <w:lastRenderedPageBreak/>
        <w:t>b. The compression question</w:t>
      </w:r>
      <w:bookmarkEnd w:id="6"/>
    </w:p>
    <w:p w14:paraId="468A6E0B" w14:textId="77777777" w:rsidR="005A09DE" w:rsidRDefault="00000000">
      <w:pPr>
        <w:spacing w:after="200" w:line="320" w:lineRule="auto"/>
      </w:pPr>
      <w:r>
        <w:t>The Investor Day targets matter because of a fact the Airline brief flags as "the core analytical uncertainty" of the transformation. Delta ran its own "de-commoditization" strategy for roughly 15 years. Ed Bastian described it in those terms. By Q4 2025, Delta's premium cabin revenue — $5.70 billion — exceeded its main cabin revenue for the first time in the carrier's 100-year history. Delta built that architecture with an American Express partnership that grew from $500 million in 1996 to more than $8 billion by 2025, with a wide-body fleet, with international joint ventures, and with hub fortresses at Atlanta, Detroit, Minneapolis, and Salt Lake.</w:t>
      </w:r>
    </w:p>
    <w:p w14:paraId="47AC874B" w14:textId="77777777" w:rsidR="005A09DE" w:rsidRDefault="00000000">
      <w:pPr>
        <w:spacing w:after="200" w:line="320" w:lineRule="auto"/>
      </w:pPr>
      <w:r>
        <w:t>Southwest is attempting the same trajectory in 18 to 36 months — a compression ratio of roughly eight to one against Delta's 15-year arc — without any of those structural advantages, under activist pressure, and while the operational disruption and the revenue capture are hitting simultaneously rather than sequentially. Full-year 2025 adjusted EPS was $0.93; 2026 guidance is "at least $4.00" — a 330% step-up that the transformation must deliver through ancillary fees, premium-seat premiums, and eventually lounge membership card revenue. Full-year 2025 adjusted EBIT came in at $574 million against guidance of $500 million — ahead of target, but still meaningfully short of the trajectory required to reach the $4 billion cumulative figure by 2027.</w:t>
      </w:r>
    </w:p>
    <w:p w14:paraId="40CF2648" w14:textId="77777777" w:rsidR="005A09DE" w:rsidRDefault="00000000">
      <w:pPr>
        <w:spacing w:after="200" w:line="320" w:lineRule="auto"/>
      </w:pPr>
      <w:r>
        <w:t>Compression is the mechanism by which the carrier's cost pressure passes through to the airport. If the transformation's revenue targets materialize on schedule, Southwest's finance team has room to absorb a rising CPE at Nashville. If they do not — if premium seat sales come in softer than Investor Day promised, if the bag-fee market-share defection runs higher than the $1.5 billion revenue upside the carrier modeled against a possible $1.8 billion loss — the cost pressure does not disappear. It shifts to somewhere Southwest still has discretion. Airport cost at a station where the CPE is rising 91% over seven years is where that discretion lives.</w:t>
      </w:r>
    </w:p>
    <w:p w14:paraId="65FC706B" w14:textId="77777777" w:rsidR="005A09DE" w:rsidRDefault="00000000">
      <w:pPr>
        <w:pStyle w:val="Heading2"/>
      </w:pPr>
      <w:bookmarkStart w:id="7" w:name="_Toc227663843"/>
      <w:r>
        <w:t>c. What Concourse D was built for</w:t>
      </w:r>
      <w:bookmarkEnd w:id="7"/>
    </w:p>
    <w:p w14:paraId="2071B807" w14:textId="77777777" w:rsidR="005A09DE" w:rsidRDefault="00000000">
      <w:pPr>
        <w:spacing w:after="200" w:line="320" w:lineRule="auto"/>
      </w:pPr>
      <w:r>
        <w:t>BNA Vision — the predecessor program to New Horizon — launched in 2017 with a $1.2 billion budget and delivered in February 2024 at $1.5 billion, a 25% escalation that is modest by global airport-megaproject standards (Berlin Brandenburg ran triple; LAX APM is on track for roughly double), and that MNAA has not publicly characterized as a scope change, an overrun, or a construction-inflation artifact. The program delivered a new terminal lobby, an international arrivals facility, an expanded central checkpoint, three parking garages, an on-site hotel, and — the centerpiece of the Southwest story — a purpose-built six-gate concourse for the carrier, Concourse D, opened to a Southwest flight to Denver from Gate D1.</w:t>
      </w:r>
    </w:p>
    <w:p w14:paraId="45ADA162" w14:textId="77777777" w:rsidR="005A09DE" w:rsidRDefault="00000000">
      <w:pPr>
        <w:spacing w:after="200" w:line="320" w:lineRule="auto"/>
      </w:pPr>
      <w:r>
        <w:lastRenderedPageBreak/>
        <w:t>Concourse D was designed around Southwest's 2017 operating model. Eleven gates now, after the July 2025 extension added five more at $247 million all-in (within which $229.6 million is the Hensel Phelps progressive design-build contract; the $17.4M delta reflects soft costs, contingencies, or non-contract scope not captured in the contract value). Every planning assumption in that concrete — the hold room sizing, the gate podium configuration, the absence of lounge space, the minimal premium-queue infrastructure, the baggage-system sizing downstream — reflected the Southwest arriving in 2017. That carrier turned aircraft in 25 minutes, carried 143 passengers on a 737-700 with no checked bag fees, boarded in three groups with no assigned seats, and needed no lounge because Southwest had no lounges.</w:t>
      </w:r>
    </w:p>
    <w:p w14:paraId="31151953" w14:textId="77777777" w:rsidR="005A09DE" w:rsidRDefault="00000000">
      <w:pPr>
        <w:spacing w:after="200" w:line="320" w:lineRule="auto"/>
      </w:pPr>
      <w:r>
        <w:t>By the time Concourse D's extension opened in July 2025, that Southwest was already gone. The carrier had announced Investor Day in September 2024. It had announced bag fees in March 2025, effective May 28. It had started redeye operations in February 2025. It had sold its first assigned-seat ticket on July 29, 2025 — three weeks after the extension's ribbon cutting. The gates opened to a carrier whose fleet composition had shifted substantially toward MAX 8s at 175 seats, a 22.4% increase in passenger density per turn. ACRP Report 25's Level of Service B/C hold room planning factor of 10–13 square feet per waiting passenger means a fully boarded MAX 8 requires 1,750 to 2,275 square feet of hold room at peak occupancy — more than a 737-700 required under the prior fleet mix. Whether the new extension's hold rooms were sized to the old or the new throughput model is a question the program record should answer but does not.</w:t>
      </w:r>
    </w:p>
    <w:p w14:paraId="11794E23" w14:textId="77777777" w:rsidR="005A09DE" w:rsidRDefault="00000000">
      <w:pPr>
        <w:pStyle w:val="Heading2"/>
      </w:pPr>
      <w:bookmarkStart w:id="8" w:name="_Toc227663844"/>
      <w:r>
        <w:t>d. The Oasis, and what it costs to carve a lounge out of a mezzanine</w:t>
      </w:r>
      <w:bookmarkEnd w:id="8"/>
    </w:p>
    <w:p w14:paraId="75B7450A" w14:textId="77777777" w:rsidR="005A09DE" w:rsidRDefault="00000000">
      <w:pPr>
        <w:spacing w:after="200" w:line="320" w:lineRule="auto"/>
      </w:pPr>
      <w:r>
        <w:t xml:space="preserve">The permit filing for The Oasis arrived in February 2026. Thirty thousand square feet, central mezzanine, fit-out cost $53 million, demolition of the space currently occupied above and around the Acme Feed &amp; Seed. The arithmetic: $53 million across 30,000 square feet is $1,766 per square foot, the upper edge of modest airport lounges and below the premium-grade line. A lounge inside a live terminal mezzanine is almost never </w:t>
      </w:r>
      <w:proofErr w:type="gramStart"/>
      <w:r>
        <w:t>fit-out</w:t>
      </w:r>
      <w:proofErr w:type="gramEnd"/>
      <w:r>
        <w:t xml:space="preserve"> only.</w:t>
      </w:r>
    </w:p>
    <w:p w14:paraId="12E096E8" w14:textId="77777777" w:rsidR="005A09DE" w:rsidRDefault="00000000">
      <w:pPr>
        <w:spacing w:after="200" w:line="320" w:lineRule="auto"/>
      </w:pPr>
      <w:r>
        <w:t>The precedent to hold up against The Oasis is the Delta Sky Club at Atlanta: 20,000 square feet, budgeted at $33 million in 2021, actual $92 million by 2022. A 179% cost increase within a year. It did not come from furniture. It came from the concourse-related scope — the structural, mechanical, and utility work required when you turn a food-and-beverage mezzanine into a climate-controlled, plumbed, high-occupancy lounge with a commercial kitchen, fire suppression zoning that matches its new occupancy classification, and an egress path calculation that redoes the entire floor's crowd dynamics.</w:t>
      </w:r>
    </w:p>
    <w:p w14:paraId="4D0A08F0" w14:textId="77777777" w:rsidR="005A09DE" w:rsidRDefault="00000000">
      <w:pPr>
        <w:spacing w:after="200" w:line="320" w:lineRule="auto"/>
      </w:pPr>
      <w:r>
        <w:lastRenderedPageBreak/>
        <w:t xml:space="preserve">Swinerton, which has delivered over $200 million in lounge projects at fifty airports, describes this work as "performing surgery mid-flight." Ceiling plenums shared with active mechanical systems. Air conditioning supply rerouted above passengers walking below. Plumbing tapped into a building that did not plan for it. Every one of those conflicts </w:t>
      </w:r>
      <w:proofErr w:type="gramStart"/>
      <w:r>
        <w:t>has to</w:t>
      </w:r>
      <w:proofErr w:type="gramEnd"/>
      <w:r>
        <w:t xml:space="preserve"> be negotiated against BNA's simultaneous Central Core Enhancement — a $40 million, 18-month overhaul running June 2026 through December 2027 that expands escalator count from 6 to 16 across the same vertical circulation core the lounge will depend on.</w:t>
      </w:r>
    </w:p>
    <w:p w14:paraId="1505C40B" w14:textId="77777777" w:rsidR="005A09DE" w:rsidRDefault="00000000">
      <w:pPr>
        <w:spacing w:after="200" w:line="320" w:lineRule="auto"/>
      </w:pPr>
      <w:r>
        <w:t>The Oasis is one of five or more lounges in Southwest's pipeline: Honolulu (12,241 square feet, $20 million minimum improvement, $1.91M annual rent), Nashville, Denver, Austin, and Dallas Love Field, with reporting suggesting the internal target is 7 to 20 stations. Nashville is the largest. It is the proof of concept for the credit-card product. If it works — if it drives Chase co-brand card acquisition at the rate Southwest's internal models require, if it generates the lounge-access revenue that funds the $500–$600 annual fee card's economics — Nashville demonstrates the template for the rest of the network. If it fails, Nashville absorbs a $53 million write-off and Southwest reconsiders the pipeline. The airport benefits either way from the capital investment. But only the success scenario produces the strategic depth the capital program's revenue assumptions are calibrated against. A failed lounge in the central mezzanine is a vacancy at the geographic heart of the terminal, above the lobby, through which every connecting passenger passes.</w:t>
      </w:r>
    </w:p>
    <w:p w14:paraId="193EA035" w14:textId="77777777" w:rsidR="005A09DE" w:rsidRDefault="00000000">
      <w:pPr>
        <w:pStyle w:val="Heading2"/>
      </w:pPr>
      <w:bookmarkStart w:id="9" w:name="_Toc227663845"/>
      <w:r>
        <w:t>e. The banking hub Southwest will not call a hub</w:t>
      </w:r>
      <w:bookmarkEnd w:id="9"/>
    </w:p>
    <w:p w14:paraId="1294CC4D" w14:textId="77777777" w:rsidR="005A09DE" w:rsidRDefault="00000000">
      <w:pPr>
        <w:spacing w:after="200" w:line="320" w:lineRule="auto"/>
      </w:pPr>
      <w:r>
        <w:t xml:space="preserve">In August 2025, the Cranky Flier identified Nashville as one of four "coordinating banks" in Southwest's restructured schedule, alongside Chicago Midway, Denver, and St. Louis. Each </w:t>
      </w:r>
      <w:proofErr w:type="gramStart"/>
      <w:r>
        <w:t>runs</w:t>
      </w:r>
      <w:proofErr w:type="gramEnd"/>
      <w:r>
        <w:t xml:space="preserve"> four connecting banks daily, two morning and two evening. Nashville converted its evening arrivals bank to redeye service, extending the carrier's connecting reach into the Pacific Northwest. Seattle–Nashville redeye is a Pacific Time connection that Southwest's network could not offer when the carrier had no redeyes at all.</w:t>
      </w:r>
    </w:p>
    <w:p w14:paraId="716E5E8A" w14:textId="77777777" w:rsidR="005A09DE" w:rsidRDefault="00000000">
      <w:pPr>
        <w:spacing w:after="200" w:line="320" w:lineRule="auto"/>
      </w:pPr>
      <w:r>
        <w:t xml:space="preserve">Southwest does not use the word "hub." The silence matters. A carrier that uses the word opens itself to majority-in-interest arguments, slot-like regulatory scrutiny, different labor contract provisions, and the political baggage that hub status carries. A carrier that builds hub economics without declaring hub status preserves optionality. Southwest has been doing this at Nashville for years. The crew base — the 12th in the network, opened May 2024, housing roughly 650 to 950 combined pilots and flight attendants — is hub-scale infrastructure. Crew bases require training </w:t>
      </w:r>
      <w:r>
        <w:lastRenderedPageBreak/>
        <w:t>facilities, scheduling infrastructure, domicile hotel arrangements, and union agreements that take years to unwind.</w:t>
      </w:r>
    </w:p>
    <w:p w14:paraId="322DD9A8" w14:textId="77777777" w:rsidR="005A09DE" w:rsidRDefault="00000000">
      <w:pPr>
        <w:spacing w:after="200" w:line="320" w:lineRule="auto"/>
      </w:pPr>
      <w:r>
        <w:t>But a banking hub, even one that is not called one, needs what a point-to-point operation does not. Precise gate scheduling during bank peaks. Lounge space for connecting passengers with layovers in the two- to four-hour range, where the revenue premium lives. Premium amenities that justify a connecting fare the passenger could otherwise get nonstop from Atlanta or Charlotte. Concourse geometry that minimizes connection walk times. And, increasingly, remain-overnight parking positions for the redeye aircraft that arrive in the morning and depart the same evening.</w:t>
      </w:r>
    </w:p>
    <w:p w14:paraId="2403CFBC" w14:textId="77777777" w:rsidR="005A09DE" w:rsidRDefault="00000000">
      <w:pPr>
        <w:spacing w:after="200" w:line="320" w:lineRule="auto"/>
      </w:pPr>
      <w:r>
        <w:t xml:space="preserve">Concourse D was not designed for any of that. Its gate geometry is linear — a single corridor optimized for quick in-and-out turns, not for connecting passengers moving between gates with checked bags and overhead </w:t>
      </w:r>
      <w:proofErr w:type="spellStart"/>
      <w:r>
        <w:t>rollerboards</w:t>
      </w:r>
      <w:proofErr w:type="spellEnd"/>
      <w:r>
        <w:t>. There is no lounge in its original design. There is no premium-lane queuing infrastructure at the gate podium. The remain-overnight positions being added under the Central Ramp Expansion — seven positions, targeted September 2027 — were scoped before Southwest's redeye network's overnight aircraft counts were set. That mismatch is the banking-hub argument in its unresolved form.</w:t>
      </w:r>
    </w:p>
    <w:p w14:paraId="414520A2" w14:textId="77777777" w:rsidR="005A09DE" w:rsidRDefault="00000000">
      <w:pPr>
        <w:pStyle w:val="Heading2"/>
      </w:pPr>
      <w:bookmarkStart w:id="10" w:name="_Toc227663846"/>
      <w:r>
        <w:t>f. What bag fees do to a conveyor belt designed for free bags</w:t>
      </w:r>
      <w:bookmarkEnd w:id="10"/>
    </w:p>
    <w:p w14:paraId="1401CFAE" w14:textId="77777777" w:rsidR="005A09DE" w:rsidRDefault="00000000">
      <w:pPr>
        <w:spacing w:after="200" w:line="320" w:lineRule="auto"/>
      </w:pPr>
      <w:r>
        <w:t>Southwest's first-checked-bag fee went into effect May 28, 2025, at $35 (second bag $45). It rose to $45 (second bag $55) by late 2025. The carrier's own pre-announcement modeling projected $1 to $1.5 billion in annual revenue upside against a potential $1.8 billion market share loss — a range that made the decision genuinely uncertain. Southwest moved forward anyway. By Q2 2025 earnings, the carrier was projecting $1 billion in annualized bag-fee revenue at full run-rate.</w:t>
      </w:r>
    </w:p>
    <w:p w14:paraId="2488FE1C" w14:textId="77777777" w:rsidR="005A09DE" w:rsidRDefault="00000000">
      <w:pPr>
        <w:spacing w:after="200" w:line="320" w:lineRule="auto"/>
      </w:pPr>
      <w:r>
        <w:t>BNA's New Horizon baggage handling system expansion — three miles of conveyor, capacity for 40 million annual passengers, target completion October 2028 — was scoped when Southwest carried two bags free. The design assumed a certain proportion of checked bags per enplanement, derived from historical Southwest load data. That assumption is now wrong in both directions.</w:t>
      </w:r>
    </w:p>
    <w:p w14:paraId="36893EFB" w14:textId="77777777" w:rsidR="005A09DE" w:rsidRDefault="00000000">
      <w:pPr>
        <w:spacing w:after="200" w:line="320" w:lineRule="auto"/>
      </w:pPr>
      <w:r>
        <w:t xml:space="preserve">The bag-fee regime is pushing some passengers toward carry-on, which creates overhead-bin pressure at the gate and slows boarding — the phenomenon the TWU documented, and the one Southwest is addressing at the aircraft level, not the terminal level. The carrier is retrofitting seven of every ten aircraft with 50%-larger overhead bins, targeted for end of 2026. That retrofit is the specific mitigation. It is also incomplete by design: 30% of the fleet will not receive the larger bins. On those aircraft, the bin-stow congestion slowing boarding today is the bin-stow congestion still </w:t>
      </w:r>
      <w:r>
        <w:lastRenderedPageBreak/>
        <w:t>slowing boarding in 2027. The physical cause is being addressed at seven-tenths of the fleet on a multi-year schedule. The operational problem is not going to resolve before Concourse D's gate-use patterns harden around it.</w:t>
      </w:r>
    </w:p>
    <w:p w14:paraId="4A41EF9C" w14:textId="77777777" w:rsidR="005A09DE" w:rsidRDefault="00000000">
      <w:pPr>
        <w:spacing w:after="200" w:line="320" w:lineRule="auto"/>
      </w:pPr>
      <w:r>
        <w:t xml:space="preserve">Simultaneously, the premium segment Southwest is building — Extra Legroom, Preferred, and eventually a true first-class cabin — includes priority checked-bag handling as a product feature. Priority bags require tag-recognition capability, dedicated sortation lanes, and first-bag delivery guarantees that put loading pressure at </w:t>
      </w:r>
      <w:proofErr w:type="gramStart"/>
      <w:r>
        <w:t>particular points</w:t>
      </w:r>
      <w:proofErr w:type="gramEnd"/>
      <w:r>
        <w:t xml:space="preserve"> in the system.</w:t>
      </w:r>
    </w:p>
    <w:p w14:paraId="5E921800" w14:textId="77777777" w:rsidR="005A09DE" w:rsidRDefault="00000000">
      <w:pPr>
        <w:spacing w:after="200" w:line="320" w:lineRule="auto"/>
      </w:pPr>
      <w:r>
        <w:t>The GAO has documented that only 36% of larger U.S. airports have complete optimal inline Checked Baggage Inspection Systems, in part because these systems require significant infrastructure modification. Seattle's analogous BHS optimization program ran to just over $1 billion across three phases from 2017 to 2029, replacing ten miles of conveyor. BNA's three-mile system is simpler, but it is not being built in a single event either. Commissioning is scheduled for October 2028, against a bag mix the carrier changed eighteen months before design finalization.</w:t>
      </w:r>
    </w:p>
    <w:p w14:paraId="25AF9A28" w14:textId="77777777" w:rsidR="005A09DE" w:rsidRDefault="00000000">
      <w:pPr>
        <w:spacing w:after="200" w:line="320" w:lineRule="auto"/>
      </w:pPr>
      <w:r>
        <w:t>No publicly available analysis confirms that BNA's BHS sizing was re-run against the post-bag-fee mix. That is the single most specific stress test MNAA should ask its systems integrator to perform before commissioning.</w:t>
      </w:r>
    </w:p>
    <w:p w14:paraId="5CB9C86C" w14:textId="77777777" w:rsidR="005A09DE" w:rsidRDefault="00000000">
      <w:pPr>
        <w:pStyle w:val="Heading2"/>
      </w:pPr>
      <w:bookmarkStart w:id="11" w:name="_Toc227663847"/>
      <w:r>
        <w:t>g. The cost per enplanement trajectory Southwest is already modeling</w:t>
      </w:r>
      <w:bookmarkEnd w:id="11"/>
    </w:p>
    <w:p w14:paraId="5E4AB38B" w14:textId="77777777" w:rsidR="005A09DE" w:rsidRDefault="00000000">
      <w:pPr>
        <w:spacing w:after="200" w:line="320" w:lineRule="auto"/>
      </w:pPr>
      <w:r>
        <w:t>In January 2025, Southwest's finance team sent MNAA a letter. It asked the Authority to review operations and maintenance expenses and keep cost increases "reasonable," citing debt service obligations on new capital facilities. A carrier cutting 15% of its corporate workforce and writing to its most profitable station about O&amp;M restraint is a finance department already modeling airport cost against its own cost-reduction program.</w:t>
      </w:r>
    </w:p>
    <w:p w14:paraId="72D6D34E" w14:textId="77777777" w:rsidR="005A09DE" w:rsidRDefault="00000000">
      <w:pPr>
        <w:spacing w:after="200" w:line="320" w:lineRule="auto"/>
      </w:pPr>
      <w:r>
        <w:t>The numbers: BNA's cost per enplanement was $8.49 in FY2024, $9.16 to $9.41 in FY2025, and is projected to reach $10.91 in FY2026 — a 29% increase in two years. The Authority's own rate-of-return and cost study projects the trajectory continuing to $17.48 by FY2032. The Economist brief frames this as a 91% increase over seven years from FY2025. Against the FY2024 base, it is a 106% increase over eight years. Both are defensible; the underlying fact is that the carrier's facility cost at Nashville is on track to double over the New Horizon amortization curve.</w:t>
      </w:r>
    </w:p>
    <w:p w14:paraId="3675422F" w14:textId="77777777" w:rsidR="005A09DE" w:rsidRDefault="00000000">
      <w:pPr>
        <w:spacing w:after="200" w:line="320" w:lineRule="auto"/>
      </w:pPr>
      <w:r>
        <w:t xml:space="preserve">A CPE of $17.48 is not JFK ($36) and it is not LAX ($30). It is, however, a doubling of what Southwest was paying at BNA in the year it added the crew base. The airline use agreement that locks terminal rental rates through June 30, </w:t>
      </w:r>
      <w:proofErr w:type="gramStart"/>
      <w:r>
        <w:t>2031</w:t>
      </w:r>
      <w:proofErr w:type="gramEnd"/>
      <w:r>
        <w:t xml:space="preserve"> means the pass-through mechanism through the contract term </w:t>
      </w:r>
      <w:r>
        <w:lastRenderedPageBreak/>
        <w:t xml:space="preserve">is bounded. After 2031, the airport </w:t>
      </w:r>
      <w:proofErr w:type="gramStart"/>
      <w:r>
        <w:t>has to</w:t>
      </w:r>
      <w:proofErr w:type="gramEnd"/>
      <w:r>
        <w:t xml:space="preserve"> renegotiate, and the leverage at that table will depend on how much growth Southwest has been willing to absorb in the CPE curve, and how much it has been willing to divert.</w:t>
      </w:r>
    </w:p>
    <w:p w14:paraId="4B78DFAA" w14:textId="77777777" w:rsidR="005A09DE" w:rsidRDefault="00000000">
      <w:pPr>
        <w:spacing w:after="200" w:line="320" w:lineRule="auto"/>
      </w:pPr>
      <w:r>
        <w:t>The senior bond debt service coverage trajectory — 19.11x in FY2024, 5.95x in FY2025, 1.96x in FY2029, 1.80x in FY2030 — deserves an unflinching reading. The FY2024 19.11x figure is inflated by $30–40 million in annual federal pandemic-relief funds applied to debt service; FY2025 is the last year of meaningful federal relief application. The cleaner comparison is FY2025 5.95x against the FY2030 trough of 1.80x — a 3.3x decline, not a 10x decline. That is still dramatic. Rating agencies accepted it. KBRA upgraded the senior lien to AA in December 2025. Fitch revised to positive outlook the same month. The upgrades were predicated on 80% origin-and-destination traffic, 64% of operating revenue coming from non-airline sources, and $920.9 million in unrestricted cash. These are real strengths. They do not insulate the capital program from a Southwest that slows its growth rate at Nashville by even 15%.</w:t>
      </w:r>
    </w:p>
    <w:p w14:paraId="77294762" w14:textId="77777777" w:rsidR="005A09DE" w:rsidRDefault="00000000">
      <w:pPr>
        <w:pStyle w:val="Heading2"/>
      </w:pPr>
      <w:bookmarkStart w:id="12" w:name="_Toc227663848"/>
      <w:r>
        <w:t>h. The airline use agreement that both sides got what they wanted from</w:t>
      </w:r>
      <w:bookmarkEnd w:id="12"/>
    </w:p>
    <w:p w14:paraId="05A47783" w14:textId="77777777" w:rsidR="005A09DE" w:rsidRDefault="00000000">
      <w:pPr>
        <w:spacing w:after="200" w:line="320" w:lineRule="auto"/>
      </w:pPr>
      <w:r>
        <w:t>In July 2023, MNAA and its signatory carriers executed a new seven-year airline use agreement running through June 30, 2031. The agreement did three things that matter.</w:t>
      </w:r>
    </w:p>
    <w:p w14:paraId="11898847" w14:textId="77777777" w:rsidR="005A09DE" w:rsidRDefault="00000000">
      <w:pPr>
        <w:spacing w:after="200" w:line="320" w:lineRule="auto"/>
      </w:pPr>
      <w:r>
        <w:t>First, it eliminated the majority-in-interest veto over terminal capital projects. For thirty years, signatory airlines — which in practical terms meant Southwest — had held veto rights over capital improvements. Airport Improvement described the old structure as "28 years of financial control by the airlines." MNAA had sought to renegotiate it for a long time. The Authority can now build without airline consent on terminal projects, and the fact that New Horizon is proceeding at the scale it is, is a direct consequence.</w:t>
      </w:r>
    </w:p>
    <w:p w14:paraId="643DBB4C" w14:textId="77777777" w:rsidR="005A09DE" w:rsidRDefault="00000000">
      <w:pPr>
        <w:spacing w:after="200" w:line="320" w:lineRule="auto"/>
      </w:pPr>
      <w:r>
        <w:t>Second, the agreement fixed terminal rental rates at $90 to $111 per square foot for the full seven-year term. Fixed rates in an inflationary environment are a carrier's friend. They are less friendly to an airport whose debt service on the same square footage is rising.</w:t>
      </w:r>
    </w:p>
    <w:p w14:paraId="2F473298" w14:textId="77777777" w:rsidR="005A09DE" w:rsidRDefault="00000000">
      <w:pPr>
        <w:spacing w:after="200" w:line="320" w:lineRule="auto"/>
      </w:pPr>
      <w:r>
        <w:t xml:space="preserve">Third, the agreement included minimum gate activity requirements that allow MNAA to recapture underutilized gates. This is the legal mechanism by which the airport could reclaim Concourse D space if Southwest reduced operations. Whether the minimum-activity threshold is calibrated to Southwest's current operational tempo or to the historical tempo the airline maintained before the transformation is a question the public record does not answer. The contractual tool exists. Exercising it against the carrier that employs up to 950 people in Nashville, whose landing fees and </w:t>
      </w:r>
      <w:r>
        <w:lastRenderedPageBreak/>
        <w:t>rents underpin the airline share of MNAA operating revenue, and that is simultaneously investing $53 million in a lounge is a political decision, not a legal one.</w:t>
      </w:r>
    </w:p>
    <w:p w14:paraId="596CBED8" w14:textId="77777777" w:rsidR="005A09DE" w:rsidRDefault="00000000">
      <w:pPr>
        <w:spacing w:after="200" w:line="320" w:lineRule="auto"/>
      </w:pPr>
      <w:r>
        <w:t>The timing of the negotiation matters. Southwest signed in mid-2023, a year before Elliott Management's stake became public and fifteen months before Investor Day. Bob Jordan was publicly defending the "bags fly free" policy as recently as July 2024. Nine months later, bag fees were announced. The airline that negotiated fixed rental rates in mid-2023 was not yet the airline that emerged from the September 2024 Investor Day. Both sides signed the agreement they wanted. One side knew more about what was coming.</w:t>
      </w:r>
    </w:p>
    <w:p w14:paraId="3BE24534" w14:textId="77777777" w:rsidR="005A09DE" w:rsidRDefault="00000000">
      <w:pPr>
        <w:pStyle w:val="Heading2"/>
      </w:pPr>
      <w:bookmarkStart w:id="13" w:name="_Toc227663849"/>
      <w:proofErr w:type="spellStart"/>
      <w:r>
        <w:t>i</w:t>
      </w:r>
      <w:proofErr w:type="spellEnd"/>
      <w:r>
        <w:t>. Governance that is not quite settled</w:t>
      </w:r>
      <w:bookmarkEnd w:id="13"/>
    </w:p>
    <w:p w14:paraId="7285A278" w14:textId="77777777" w:rsidR="005A09DE" w:rsidRDefault="00000000">
      <w:pPr>
        <w:spacing w:after="200" w:line="320" w:lineRule="auto"/>
      </w:pPr>
      <w:r>
        <w:t>One more element of the architecture a capital planner cannot assume away. In March 2023, the Tennessee General Assembly passed a law restructuring MNAA's board to give the governor, House speaker, and Senate speaker two appointments each, leaving Nashville's mayor with two of eight seats. The trigger was political — retaliation for Metro Nashville's decision not to host the 2024 Republican National Convention. A three-judge panel struck the law down in October 2023 under the state's Home Rule Amendment. The Court of Appeals affirmed in April 2025. The Tennessee Supreme Court accepted the state's appeal and consolidated it with a parallel case on Metro Council size. A ruling is expected in 2026.</w:t>
      </w:r>
    </w:p>
    <w:p w14:paraId="0BB6D9D9" w14:textId="77777777" w:rsidR="005A09DE" w:rsidRDefault="00000000">
      <w:pPr>
        <w:spacing w:after="200" w:line="320" w:lineRule="auto"/>
      </w:pPr>
      <w:r>
        <w:t>The forward-looking risk is clear: a state-appointed board majority, should the Supreme Court reverse, would have different instincts about carrier negotiations, about Concourse A design, about whether to push Southwest on lounge space terms. The board that executed the July 2023 use agreement may not be the board that negotiates its successor.</w:t>
      </w:r>
    </w:p>
    <w:p w14:paraId="00CFFDE0" w14:textId="77777777" w:rsidR="005A09DE" w:rsidRDefault="00000000">
      <w:pPr>
        <w:spacing w:after="200" w:line="320" w:lineRule="auto"/>
      </w:pPr>
      <w:r>
        <w:t xml:space="preserve">The subtler risk is retroactive. The Regulatory brief flags that a reversal could "retroactively unsettle the governance structure under which New Horizon was </w:t>
      </w:r>
      <w:proofErr w:type="gramStart"/>
      <w:r>
        <w:t>authorized</w:t>
      </w:r>
      <w:proofErr w:type="gramEnd"/>
      <w:r>
        <w:t xml:space="preserve"> and the 2023 airline use agreement was executed." The consolidation with the Metro Council case widens the legal question beyond airport governance — a Home Rule ruling that takes down the board-restructuring law may or may not survive the broader consolidation. That is why this is not a footnote. For a $3 billion capital program dependent on bond market confidence, the shadow governance risk is a real cost. Rating agencies have noted it in their disclosures. The buffer exists. It is being consumed.</w:t>
      </w:r>
    </w:p>
    <w:p w14:paraId="464B3C03" w14:textId="77777777" w:rsidR="005A09DE" w:rsidRDefault="00000000">
      <w:pPr>
        <w:pStyle w:val="Heading1"/>
        <w:pageBreakBefore/>
      </w:pPr>
      <w:bookmarkStart w:id="14" w:name="_Toc227663850"/>
      <w:r>
        <w:lastRenderedPageBreak/>
        <w:t>IV. The Counter-Case, Honestly Presented</w:t>
      </w:r>
      <w:bookmarkEnd w:id="14"/>
    </w:p>
    <w:p w14:paraId="4F4A1D6D" w14:textId="77777777" w:rsidR="005A09DE" w:rsidRDefault="00000000">
      <w:pPr>
        <w:spacing w:after="200" w:line="320" w:lineRule="auto"/>
      </w:pPr>
      <w:r>
        <w:t>A capital planner inclined to resist this essay's thesis has reasons that deserve full statement before rebuttal. The Contrarian brief makes the strongest version of that resistance. This section takes it at full strength.</w:t>
      </w:r>
    </w:p>
    <w:p w14:paraId="6957B7D6" w14:textId="77777777" w:rsidR="005A09DE" w:rsidRDefault="00000000">
      <w:pPr>
        <w:spacing w:after="200" w:line="320" w:lineRule="auto"/>
      </w:pPr>
      <w:r>
        <w:rPr>
          <w:b/>
          <w:bCs/>
        </w:rPr>
        <w:t>Southwest is adding, not subtracting.</w:t>
      </w:r>
      <w:r>
        <w:t xml:space="preserve"> Peak-day departures at BNA will hit 190 in spring 2026 and 215 by fall 2026, the highest in Southwest's history at any single airport. The crew base opened in May 2024. Lounge permits filed in February 2026. Nashville is a designated connecting node. Airlines do not commit $53 million to lounge </w:t>
      </w:r>
      <w:proofErr w:type="gramStart"/>
      <w:r>
        <w:t>fit-outs</w:t>
      </w:r>
      <w:proofErr w:type="gramEnd"/>
      <w:r>
        <w:t xml:space="preserve"> at airports they are preparing to retrench from.</w:t>
      </w:r>
    </w:p>
    <w:p w14:paraId="65347364" w14:textId="77777777" w:rsidR="005A09DE" w:rsidRDefault="00000000">
      <w:pPr>
        <w:spacing w:after="200" w:line="320" w:lineRule="auto"/>
      </w:pPr>
      <w:r>
        <w:rPr>
          <w:b/>
          <w:bCs/>
        </w:rPr>
        <w:t>BNA built to demand, not to carrier specification.</w:t>
      </w:r>
      <w:r>
        <w:t xml:space="preserve"> This is the deepest version of the counter-case. BNA Vision was scaled against FAA passenger forecasts. Nashville's metropolitan population grew at nearly triple the national rate for a decade. Enplanements grew 34.9% from 2019 to 2024. The airport doubled its traffic in ten years. None of that growth was a function of open seating. The New Horizon program's 40-million-passenger target is a demand projection, not a carrier-behavior projection. The right response to uncertainty about a carrier's operating model is to build to demand, which is what BNA has done — and which is exactly the textbook lesson from every airport that has survived a carrier identity shift intact.</w:t>
      </w:r>
    </w:p>
    <w:p w14:paraId="283BBDB0" w14:textId="77777777" w:rsidR="005A09DE" w:rsidRDefault="00000000">
      <w:pPr>
        <w:spacing w:after="200" w:line="320" w:lineRule="auto"/>
      </w:pPr>
      <w:r>
        <w:rPr>
          <w:b/>
          <w:bCs/>
        </w:rPr>
        <w:t>The historical analogies the thesis reaches for are the wrong ones.</w:t>
      </w:r>
      <w:r>
        <w:t xml:space="preserve"> Pittsburgh lost a billion-dollar terminal designed around US Airways' connecting hub when US Airways walked away in bankruptcy. Cincinnati lost Delta in 2013 and watched enplanements fall from 22.7 million to under 6 million, a 74% decline. Memphis lost Delta, was left with 83 gates for a 23-gate </w:t>
      </w:r>
      <w:proofErr w:type="gramStart"/>
      <w:r>
        <w:t>operation, and</w:t>
      </w:r>
      <w:proofErr w:type="gramEnd"/>
      <w:r>
        <w:t xml:space="preserve"> spent $114 million demolishing to right-size. Every one of these is a dehubbing story. Southwest is not withdrawing any function from BNA. The analogy is rhetorically powerful and analytically wrong.</w:t>
      </w:r>
    </w:p>
    <w:p w14:paraId="16E8D42B" w14:textId="77777777" w:rsidR="005A09DE" w:rsidRDefault="00000000">
      <w:pPr>
        <w:spacing w:after="200" w:line="320" w:lineRule="auto"/>
      </w:pPr>
      <w:r>
        <w:rPr>
          <w:b/>
          <w:bCs/>
        </w:rPr>
        <w:t>The operational changes are being actively offset.</w:t>
      </w:r>
      <w:r>
        <w:t xml:space="preserve"> Southwest's 44-minute turn-time target is a 5-minute improvement generated through RIDS, tablet-based crews, paperless turns, and predictive baggage-load reporting. Sixteen aircraft-equivalents of flying recovered through process, not concrete. If Southwest recovers the five minutes, the net operational change at Concourse D may be smaller than a naive reading suggests.</w:t>
      </w:r>
    </w:p>
    <w:p w14:paraId="7D20372E" w14:textId="77777777" w:rsidR="005A09DE" w:rsidRDefault="00000000">
      <w:pPr>
        <w:spacing w:after="200" w:line="320" w:lineRule="auto"/>
      </w:pPr>
      <w:r>
        <w:rPr>
          <w:b/>
          <w:bCs/>
        </w:rPr>
        <w:t>Airport capital plans should not be built around carrier product strategy in any case.</w:t>
      </w:r>
      <w:r>
        <w:t xml:space="preserve"> This is the Contrarian's meta-argument. Airport capital takes five to fifteen years to conceive and build. Carrier </w:t>
      </w:r>
      <w:r>
        <w:lastRenderedPageBreak/>
        <w:t>product strategies change on the timescale of investor-day presentations. Southwest executives were publicly insisting in July 2024 that bags-fly-free would not change. A capital program recalibrated around the September 2024 Investor Day would have been wrong by March 2025. The correct response to carrier volatility is to build demand-robust infrastructure.</w:t>
      </w:r>
    </w:p>
    <w:p w14:paraId="57F1DD71" w14:textId="77777777" w:rsidR="005A09DE" w:rsidRDefault="00000000">
      <w:pPr>
        <w:spacing w:after="200" w:line="320" w:lineRule="auto"/>
      </w:pPr>
      <w:r>
        <w:rPr>
          <w:b/>
          <w:bCs/>
        </w:rPr>
        <w:t>Southwest's fundamental cost advantage is single-fleet simplicity, and it is not changing.</w:t>
      </w:r>
      <w:r>
        <w:t xml:space="preserve"> Full-year 2025 RASM of 15.59 cents; Q1 2026 guidance of at least 9.5% growth; a stock that rose 23% in early 2026 as the transformation hit initial revenue targets; full-year 2025 adjusted EBIT of $574 million against guidance of $500 million. The validation signal is real. A carrier whose revenue architecture is working does not require an airport capital program to be rebuilt around it.</w:t>
      </w:r>
    </w:p>
    <w:p w14:paraId="74C909F2" w14:textId="77777777" w:rsidR="005A09DE" w:rsidRDefault="00000000">
      <w:pPr>
        <w:spacing w:after="200" w:line="320" w:lineRule="auto"/>
      </w:pPr>
      <w:r>
        <w:rPr>
          <w:b/>
          <w:bCs/>
        </w:rPr>
        <w:t>The Tennessee governance fight is real but bounded.</w:t>
      </w:r>
      <w:r>
        <w:t xml:space="preserve"> It has been resolved once in Nashville's favor by a three-judge panel and again by the Court of Appeals. The Supreme Court may reverse, but the capital commitments already made stand. Building future decisions around a hypothetical state-board majority is planning for a world that may never arrive.</w:t>
      </w:r>
    </w:p>
    <w:p w14:paraId="5F8F7735" w14:textId="77777777" w:rsidR="005A09DE" w:rsidRDefault="00000000">
      <w:pPr>
        <w:spacing w:after="200" w:line="320" w:lineRule="auto"/>
      </w:pPr>
      <w:r>
        <w:t>Taken together, these arguments are coherent. They are grounded in evidence. If the counter-case is correct, MNAA's capital program requires no structural rethink — only ordinary project-level diligence, which is what the program is already doing.</w:t>
      </w:r>
    </w:p>
    <w:p w14:paraId="1DDD147B" w14:textId="77777777" w:rsidR="005A09DE" w:rsidRDefault="00000000">
      <w:pPr>
        <w:pStyle w:val="Heading1"/>
        <w:pageBreakBefore/>
      </w:pPr>
      <w:bookmarkStart w:id="15" w:name="_Toc227663851"/>
      <w:r>
        <w:lastRenderedPageBreak/>
        <w:t>V. Why the Counter-Case Is Insufficient</w:t>
      </w:r>
      <w:bookmarkEnd w:id="15"/>
    </w:p>
    <w:p w14:paraId="45677F8F" w14:textId="77777777" w:rsidR="005A09DE" w:rsidRDefault="00000000">
      <w:pPr>
        <w:spacing w:after="200" w:line="320" w:lineRule="auto"/>
      </w:pPr>
      <w:r>
        <w:t>The counter-case is strong on three of its claims. Southwest is adding, not subtracting. BNA's demand projections are sound. Airport capital plans should not be rebuilt every time a carrier's investor day produces a new press release. These concessions are not rhetorical. They are central to any responsible reading.</w:t>
      </w:r>
    </w:p>
    <w:p w14:paraId="2E9578BA" w14:textId="77777777" w:rsidR="005A09DE" w:rsidRDefault="00000000">
      <w:pPr>
        <w:spacing w:after="200" w:line="320" w:lineRule="auto"/>
      </w:pPr>
      <w:r>
        <w:t>What the counter-case does not address — cannot address — is the specific mismatch between a carrier's operational character and the infrastructure built around its prior character, at an airport where that carrier's concentration is higher than any comparable U.S. large hub. This is where the thesis holds.</w:t>
      </w:r>
    </w:p>
    <w:p w14:paraId="37454100" w14:textId="77777777" w:rsidR="005A09DE" w:rsidRDefault="00000000">
      <w:pPr>
        <w:spacing w:after="200" w:line="320" w:lineRule="auto"/>
      </w:pPr>
      <w:r>
        <w:t>Begin with the distinction the Contrarian's strongest claim depends on. BNA Vision's passenger-volume target was set against a population forecast, not a Southwest forecast. The volume projection remains sound; the population is growing; the 40-million-passenger target is defensible as demand arithmetic. But a terminal is not built to serve a passenger count. It is built to serve passengers at a specific set of dwell times, bag counts, queue configurations, and gate-area amenity expectations. Those assumptions are carrier-specific, and they are not the same across carriers. ACRP Report 25's Level of Service B/C hold room factor produces a 1,750 to 2,275 square foot hold room for a 175-seat MAX 8 at peak occupancy. The 737-700 hold rooms Concourse D was originally sized for needed less. The Engineer brief also flags that the Concourse D extension hold rooms, opened July 2025, were designed to "prior-generation throughput assumptions" — and whether those rooms were sized to the old or the new model is "a question the program record should answer" and does not. BNA built to demand volume. It did not build — because it could not have — to the per-passenger square-footage multiplier implied by a carrier that now delivers passengers with more checked bags, longer dwell times, assigned-seat queuing, and premium-lane expectations. The demand projection holds. The per-passenger infrastructure requirement has changed.</w:t>
      </w:r>
    </w:p>
    <w:p w14:paraId="76DB7723" w14:textId="77777777" w:rsidR="005A09DE" w:rsidRDefault="00000000">
      <w:pPr>
        <w:spacing w:after="200" w:line="320" w:lineRule="auto"/>
      </w:pPr>
      <w:r>
        <w:t>The lounge is where the Contrarian's framing is most intuitive and most incomplete. The $53 million figure is the punch line: airlines do not invest that kind of capital at airports they are retrenching from. True at the direction-of-commitment level, incomplete at the type. The Airline brief is explicit that The Oasis is Southwest's bet that Nashville can demonstrate the template for a 7-to-20-station lounge network anchored by a Chase co-branded card. If the card performs, Nashville is the proof; the network gets built. If it underperforms — if Chase co-brand acquisition falls short of the internal target, if the lounge-access-revenue-per-member figure does not fund the premium card's $500–</w:t>
      </w:r>
      <w:r>
        <w:lastRenderedPageBreak/>
        <w:t>$600 annual-fee economics — Nashville absorbs a $53 million write-off and Southwest reconsiders. That is a different posture than unambiguous embedding. It is a carrier testing a premium strategy in the station where the test is most likely to work, under contractual and political conditions that will make exit cheaper than expansion if the economics fail to validate. The lounge is evidence of commitment to the transformation. It is not evidence of commitment to infrastructure intensity at BNA irrespective of the transformation's outcome.</w:t>
      </w:r>
    </w:p>
    <w:p w14:paraId="5C766742" w14:textId="77777777" w:rsidR="005A09DE" w:rsidRDefault="00000000">
      <w:pPr>
        <w:spacing w:after="200" w:line="320" w:lineRule="auto"/>
      </w:pPr>
      <w:r>
        <w:t xml:space="preserve">"Southwest is adding" is not the same as "Southwest is adding the same thing." The 190 peak-day departures rising to 215 are real. They are also the growth vector the Contrarian gives the most weight to, and they obscure the compositional shift. More departures on longer turns with more bags, more premium passengers, and redeye RON aircraft is not the same gate loading as more departures on 25-minute turns with no bags. The arithmetic </w:t>
      </w:r>
      <w:proofErr w:type="gramStart"/>
      <w:r>
        <w:t>has to</w:t>
      </w:r>
      <w:proofErr w:type="gramEnd"/>
      <w:r>
        <w:t xml:space="preserve"> be done honestly in both directions. At Southwest's 2006-testing-era 3-minute boarding delta applied across 166 daily Concourse D departures, the consumption is 8.3 gate-hours per day; applied across the projected 215, it is 10.75 gate-hours. Against this sits the carrier's mitigation program — RIDS, paperless turns, 50%-larger bins on 70% of the fleet — whose target is a net recovery of five minutes across the turn. If the full mitigation lands, the arithmetic reverses and the gate-hour consumption </w:t>
      </w:r>
      <w:proofErr w:type="gramStart"/>
      <w:r>
        <w:t>disappears</w:t>
      </w:r>
      <w:proofErr w:type="gramEnd"/>
      <w:r>
        <w:t>. If only two minutes of the five lands, it does not. The Concourse D infrastructure has to work under both outcomes, and the program record does not specify which one it was sized for.</w:t>
      </w:r>
    </w:p>
    <w:p w14:paraId="45643E3F" w14:textId="77777777" w:rsidR="005A09DE" w:rsidRDefault="00000000">
      <w:pPr>
        <w:spacing w:after="200" w:line="320" w:lineRule="auto"/>
      </w:pPr>
      <w:r>
        <w:t xml:space="preserve">The turn-time recovery depends on Southwest winning both halves of a bet it may only half win. The sixteen-aircraft-equivalent figure is real. It is also a best case. Southwest's own 2006 internal testing — 200 flights out of San Diego, repeated in San Antonio — demonstrated that assigned seating increases boarding time by 1 to 4 minutes. The TWU grievance about crew bag stowage relocations is not an isolated anomaly; it is the labor-relations signature of a structural bin-pressure problem. The carrier's mitigation addresses the cause. It addresses it incompletely, over 18 months, and on 30% of the fleet it does not address it at all. The eight-group boarding sequence is a structural change, not a procedural one, managed against the backdrop of Southwest's December 2022 meltdown, the operational lesson of which the </w:t>
      </w:r>
      <w:proofErr w:type="gramStart"/>
      <w:r>
        <w:t>Operations</w:t>
      </w:r>
      <w:proofErr w:type="gramEnd"/>
      <w:r>
        <w:t xml:space="preserve"> brief puts bluntly: "The infrastructure was identical. The operations had collapsed." The 2022 crisis demonstrated that the carrier's complexity had outrun its coordination. The transformation is layering more complexity on a coordination system that has not yet demonstrated it can carry the load.</w:t>
      </w:r>
    </w:p>
    <w:p w14:paraId="31B4C69D" w14:textId="77777777" w:rsidR="005A09DE" w:rsidRDefault="00000000">
      <w:pPr>
        <w:spacing w:after="200" w:line="320" w:lineRule="auto"/>
      </w:pPr>
      <w:r>
        <w:t xml:space="preserve">If Southwest recovers the full 5 minutes, gate productivity at Concourse D roughly holds. If it recovers only two, it does not. The infrastructure MNAA is building </w:t>
      </w:r>
      <w:proofErr w:type="gramStart"/>
      <w:r>
        <w:t>has to</w:t>
      </w:r>
      <w:proofErr w:type="gramEnd"/>
      <w:r>
        <w:t xml:space="preserve"> work under both </w:t>
      </w:r>
      <w:r>
        <w:lastRenderedPageBreak/>
        <w:t>scenarios. The 2028 BHS, the 2027 central ramp, and the 2028 Concourse A are being committed against a range of carrier outcomes the planning record does not make explicit.</w:t>
      </w:r>
    </w:p>
    <w:p w14:paraId="7F3432B3" w14:textId="77777777" w:rsidR="005A09DE" w:rsidRDefault="00000000">
      <w:pPr>
        <w:spacing w:after="200" w:line="320" w:lineRule="auto"/>
      </w:pPr>
      <w:r>
        <w:t>And then there is Denver, 1995. The Contrarian's historical toolkit names Pittsburgh, Cincinnati, Memphis, America West — a dehubbing library correctly inapplicable at BNA. The case the library omits is Continental's Denver decision. Denver had just completed a $4.8 billion new airport. Continental reduced Denver from hub to spoke status before the facility's first birthday. The reason was not network consolidation. It was CPE. The carrier's cost-benefit calculation, under the new airport's higher landing fees and facility costs, did not pencil. United absorbed the operation. The lesson: capital investment in airport infrastructure does not lock in carrier behavior when the carrier's cost-benefit calculation changes. The January 2025 cost-restraint letter is the mechanism in its early form. Whether it leads to full dehubbing, a marginal slowdown, or nothing at all is the Strategist's open question — but the case that the mechanism exists at all is Denver's. And Denver is the precedent the dehubbing-analogy framework does not capture.</w:t>
      </w:r>
    </w:p>
    <w:p w14:paraId="1089E9AD" w14:textId="77777777" w:rsidR="005A09DE" w:rsidRDefault="00000000">
      <w:pPr>
        <w:spacing w:after="200" w:line="320" w:lineRule="auto"/>
      </w:pPr>
      <w:r>
        <w:t xml:space="preserve">Which returns the argument to the tranches. The Concourse D extension is open. The BNA Vision program is complete. These are sunk costs; no amount of rethinking unbuilds them. What remains discretionary is what follows. The Concourse A reconstruction — 16 gates, $855 million, targeted July 2028 — is in detailed design. The baggage handling system is not yet specified for a world where Southwest charges for bags. The central ramp's hookup configuration — power, data, preconditioned air — has not been reconciled with a carrier whose aircraft now sit overnight. The Central Core Enhancement is flowing passengers through a mezzanine about to host a lounge. Each of these has a design-lock window that has not closed. Each can be stress-tested against the post-transformation Southwest before commitment. The question MNAA faces is not whether to rebuild the program. It is whether the remaining tranches still make sense, project by project, against the carrier that will </w:t>
      </w:r>
      <w:proofErr w:type="gramStart"/>
      <w:r>
        <w:t>actually be</w:t>
      </w:r>
      <w:proofErr w:type="gramEnd"/>
      <w:r>
        <w:t xml:space="preserve"> flying through them.</w:t>
      </w:r>
    </w:p>
    <w:p w14:paraId="15D653DD" w14:textId="77777777" w:rsidR="005A09DE" w:rsidRDefault="00000000">
      <w:pPr>
        <w:spacing w:after="200" w:line="320" w:lineRule="auto"/>
      </w:pPr>
      <w:r>
        <w:t>One last observation. The peak debt service coverage stress is FY2030. The use agreement runs to June 30, 2031. Whether the proximity is coincidence or revealed preference is the Strategist's reading — the briefs do not draw the line — but it is worth naming. A carrier that signs a fixed-rate agreement in 2023 and then watches airport cost escalate against a fleet transformation and an activist board has a rational interest in what the renewal negotiation looks like in the year its counterparty's financial buffer is thinnest.</w:t>
      </w:r>
    </w:p>
    <w:p w14:paraId="5A5BF9BC" w14:textId="77777777" w:rsidR="005A09DE" w:rsidRDefault="00000000">
      <w:pPr>
        <w:spacing w:after="200" w:line="320" w:lineRule="auto"/>
      </w:pPr>
      <w:r>
        <w:t xml:space="preserve">The meta-argument — airport capital should not be built around carrier product strategy — is correct in principle and insufficient in application. The strategist who accepts it without reservation </w:t>
      </w:r>
      <w:r>
        <w:lastRenderedPageBreak/>
        <w:t>concludes that no capital planning adjustment is warranted. The strategist who takes it seriously concludes that capital planning must be demand-robust and carrier-resilient: the facility works under the widest plausible range of carrier behaviors, including ones the carrier itself has not yet fully articulated. Demand-robust alone is not sufficient when one carrier produces more than half the demand and is mid-transformation operationally.</w:t>
      </w:r>
    </w:p>
    <w:p w14:paraId="158880D5" w14:textId="77777777" w:rsidR="005A09DE" w:rsidRDefault="00000000">
      <w:pPr>
        <w:spacing w:after="200" w:line="320" w:lineRule="auto"/>
      </w:pPr>
      <w:r>
        <w:t>The final concession is this. The counter-case is right that the physical capital already committed is sound. The demand forecast that justified BNA Vision has been validated. The concrete is poured and the gates are open. The counter-case is wrong that no stress test of the remaining tranches is warranted. The Concourse A design can still be adjusted. The BHS specification can still be stress-tested against the post-bag-fee mix. The central ramp's configuration can still be tuned for RON and premium-turnaround requirements. Each of these is a decision MNAA can still make deliberately rather than by default.</w:t>
      </w:r>
    </w:p>
    <w:p w14:paraId="30C3358F" w14:textId="77777777" w:rsidR="005A09DE" w:rsidRDefault="00000000">
      <w:pPr>
        <w:spacing w:after="200" w:line="320" w:lineRule="auto"/>
      </w:pPr>
      <w:r>
        <w:t>The thesis does not require the counter-case to be wrong. The thesis requires only that the counter-case is an insufficient basis for committing the remaining tranches without stress-testing them. And it is.</w:t>
      </w:r>
    </w:p>
    <w:p w14:paraId="4BEA820B" w14:textId="77777777" w:rsidR="005A09DE" w:rsidRDefault="00000000">
      <w:pPr>
        <w:pStyle w:val="Heading1"/>
        <w:pageBreakBefore/>
      </w:pPr>
      <w:bookmarkStart w:id="16" w:name="_Toc227663852"/>
      <w:r>
        <w:lastRenderedPageBreak/>
        <w:t>VI. Implications for MNAA</w:t>
      </w:r>
      <w:bookmarkEnd w:id="16"/>
    </w:p>
    <w:p w14:paraId="7E8BCAB1" w14:textId="77777777" w:rsidR="005A09DE" w:rsidRDefault="00000000">
      <w:pPr>
        <w:spacing w:after="200" w:line="320" w:lineRule="auto"/>
      </w:pPr>
      <w:r>
        <w:t xml:space="preserve">The question MNAA's board is </w:t>
      </w:r>
      <w:proofErr w:type="gramStart"/>
      <w:r>
        <w:t>actually being</w:t>
      </w:r>
      <w:proofErr w:type="gramEnd"/>
      <w:r>
        <w:t xml:space="preserve"> asked to decide over the next eighteen months is not whether Southwest will stay at BNA. It almost certainly will. The question is what to commit next, and against what assumptions.</w:t>
      </w:r>
    </w:p>
    <w:p w14:paraId="53EBDB51" w14:textId="77777777" w:rsidR="005A09DE" w:rsidRDefault="00000000">
      <w:pPr>
        <w:spacing w:after="200" w:line="320" w:lineRule="auto"/>
      </w:pPr>
      <w:r>
        <w:t>Three decisions carry load-bearing weight.</w:t>
      </w:r>
    </w:p>
    <w:p w14:paraId="1A498560" w14:textId="77777777" w:rsidR="005A09DE" w:rsidRDefault="00000000">
      <w:pPr>
        <w:spacing w:after="200" w:line="320" w:lineRule="auto"/>
      </w:pPr>
      <w:r>
        <w:rPr>
          <w:b/>
          <w:bCs/>
        </w:rPr>
        <w:t>Concourse A reconstruction design lock.</w:t>
      </w:r>
      <w:r>
        <w:t xml:space="preserve"> Hensel Phelps holds the CM-at-Risk contract on Concourse A: 16 gates, 374,000 square feet, $855 million, LEED Silver, target July 2028. The design has not been fully locked. The gate </w:t>
      </w:r>
      <w:proofErr w:type="gramStart"/>
      <w:r>
        <w:t>hold</w:t>
      </w:r>
      <w:proofErr w:type="gramEnd"/>
      <w:r>
        <w:t xml:space="preserve"> room sizing, the gate podium configuration, the premium queuing lane geometry, the lounge adjacencies, the baggage claim configuration — each can still be adjusted within the contract. American Airlines is already committed to lounge space in Concourse A, with a 2027 build-out in planning. The question is whether the Southwest-usable portions of Concourse A — the gates that may receive Southwest overflow as its Concourse D operation approaches saturation under the new dwell times — are sized to the old 737-700 / open-seating model or to the MAX 8 / assigned-seating model. The ACRP 25 hold room factor of 10–13 square feet per waiting passenger produces different answers under each. MNAA's program management office should request, in writing, the carrier-mix throughput case against which each Concourse A gate is being sized.</w:t>
      </w:r>
    </w:p>
    <w:p w14:paraId="118E6A47" w14:textId="77777777" w:rsidR="005A09DE" w:rsidRDefault="00000000">
      <w:pPr>
        <w:spacing w:after="200" w:line="320" w:lineRule="auto"/>
      </w:pPr>
      <w:r>
        <w:t xml:space="preserve">Two further constructability notes belong here. Multi-prime coordination is the first. BNA will run Concourse A reconstruction, the BHS installation, the Central Core Enhancement, and the Oasis </w:t>
      </w:r>
      <w:proofErr w:type="gramStart"/>
      <w:r>
        <w:t>fit-out</w:t>
      </w:r>
      <w:proofErr w:type="gramEnd"/>
      <w:r>
        <w:t xml:space="preserve"> simultaneously inside a live terminal envelope through 2028. Each shares infrastructure with the others — utility tunnels, HVAC distribution, the central utility plant, the vertical circulation core. The DEN Great Hall after-action report is the cautionary precedent: a $1.8 billion DBFOM contract terminated in 2019 after $288 million in projected overruns, with the root cause identified as unclear owner decision-making authority on a complex multi-prime environment. BNA's CM-at-Risk structure is a better-designed delivery model for the Concourse A contract itself; the interface risk between Hensel Phelps, the BHS systems integrator, the Central Core Enhancement contractor, and Southwest's lounge subcontractor is a separate governance problem that requires a single point of authority for utility routing conflicts, operational impact decisions, and change-order adjudication. That authority should not run through three separate project teams.</w:t>
      </w:r>
    </w:p>
    <w:p w14:paraId="1F8FD453" w14:textId="77777777" w:rsidR="005A09DE" w:rsidRDefault="00000000">
      <w:pPr>
        <w:spacing w:after="200" w:line="320" w:lineRule="auto"/>
      </w:pPr>
      <w:r>
        <w:rPr>
          <w:b/>
          <w:bCs/>
        </w:rPr>
        <w:t>Baggage handling system specification.</w:t>
      </w:r>
      <w:r>
        <w:t xml:space="preserve"> The BHS commissioning is October 2028. The detailed design basis is earlier, and it is closing. The load case that should be explicit in the program record </w:t>
      </w:r>
      <w:r>
        <w:lastRenderedPageBreak/>
        <w:t>is: what is the peak-hour bag count through the outbound sortation system under a bag mix reflecting (a) $45/$55 checked-bag fees, (b) a behavioral assumption that 25–30% of passengers who previously carried on now check bags, (c) Southwest's projected premium-cabin rollout with priority-tag requirements, and (d) the 215 peak-day departure schedule. This is a specific request. It is not research. It is a load case the systems integrator should have in its model before commissioning. If the load case has not been re-run since the May 2025 bag-fee rollout, it needs to be, and the margin in the system's designed throughput needs to be published in the Authority's capital record.</w:t>
      </w:r>
    </w:p>
    <w:p w14:paraId="6BD14645" w14:textId="77777777" w:rsidR="005A09DE" w:rsidRDefault="00000000">
      <w:pPr>
        <w:spacing w:after="200" w:line="320" w:lineRule="auto"/>
      </w:pPr>
      <w:r>
        <w:rPr>
          <w:b/>
          <w:bCs/>
        </w:rPr>
        <w:t>Central ramp expansion's hookup configuration.</w:t>
      </w:r>
      <w:r>
        <w:t xml:space="preserve"> Seven remain-overnight and deicing positions are being added under the Central Ramp Expansion, target September 30, 2027. The apron is FAA-compliant by AC 150/5370-10H; that is not in question. What is in question is the hookup configuration at each position — power, data, preconditioned air, ground-power units. A carrier whose redeye fleet now sits overnight at BNA, whose premium passengers expect cabin-conditioned aircraft before boarding, and whose gate-hold and turn-preparation processes run longer than they used to, has a different hookup density per position than a carrier that turned aircraft quickly and kept overnight counts to a minimum. Locking the minimum specification into a concrete pour that will last forty years is the decision that is hardest to reverse.</w:t>
      </w:r>
    </w:p>
    <w:p w14:paraId="5681C844" w14:textId="77777777" w:rsidR="005A09DE" w:rsidRDefault="00000000">
      <w:pPr>
        <w:spacing w:after="200" w:line="320" w:lineRule="auto"/>
      </w:pPr>
      <w:r>
        <w:t>A fourth consideration is not a capital decision but a negotiating position.</w:t>
      </w:r>
    </w:p>
    <w:p w14:paraId="4BECB4A4" w14:textId="77777777" w:rsidR="005A09DE" w:rsidRDefault="00000000">
      <w:pPr>
        <w:spacing w:after="200" w:line="320" w:lineRule="auto"/>
      </w:pPr>
      <w:r>
        <w:rPr>
          <w:b/>
          <w:bCs/>
        </w:rPr>
        <w:t>The 2031 use agreement renegotiation.</w:t>
      </w:r>
      <w:r>
        <w:t xml:space="preserve"> The current agreement runs through June 30, 2031. Southwest's crew base commitment, its $53 million lounge investment, its 215 peak-day departure schedule, and its connecting-bank designation are contractually reinforced lock-ins. The airport's negotiating position in 2030 will depend on how Concourse A's construction has landed, how Southwest's CPE trajectory compares to peer airports the carrier has added capacity to, and whether the lounge is meeting its traffic and revenue targets two years into operation. MNAA should start positioning for that renegotiation now, not in 2030. The lounge negotiations already underway are the leading edge.</w:t>
      </w:r>
    </w:p>
    <w:p w14:paraId="52DACC8C" w14:textId="77777777" w:rsidR="005A09DE" w:rsidRDefault="00000000">
      <w:pPr>
        <w:spacing w:after="200" w:line="320" w:lineRule="auto"/>
      </w:pPr>
      <w:r>
        <w:t xml:space="preserve">The specific positioning levers are available in the current framework. The Regulatory brief names them: the minimum gate activity requirement — new to the 2023 agreement and absent from its predecessor — is the contractual mechanism by which the airport can recapture underutilized facilities. That provision's threshold is currently undisclosed in public records; the threshold should be calibrated to Southwest's transformation-era tempo, not to the pre-2024 historical tempo. Lease term, concession revenue share, adjacency requirements, and minimum activity thresholds for the </w:t>
      </w:r>
      <w:r>
        <w:lastRenderedPageBreak/>
        <w:t>lounge space itself should be calibrated to what MNAA will want in 2031, not to what the airport will accept in 2026 to move the project forward. The fixed rental rate through 2031 means the airport cannot pass through rising debt service to Southwest during the contract term — which is why the 2031 renewal, not any project in the interim, is the pressure point.</w:t>
      </w:r>
    </w:p>
    <w:p w14:paraId="2EE5EFF3" w14:textId="77777777" w:rsidR="005A09DE" w:rsidRDefault="00000000">
      <w:pPr>
        <w:spacing w:after="200" w:line="320" w:lineRule="auto"/>
      </w:pPr>
      <w:r>
        <w:t xml:space="preserve">One further </w:t>
      </w:r>
      <w:proofErr w:type="gramStart"/>
      <w:r>
        <w:t>note</w:t>
      </w:r>
      <w:proofErr w:type="gramEnd"/>
      <w:r>
        <w:t xml:space="preserve"> on the Tennessee governance fight. A state Supreme Court ruling in 2026 that reverses the lower courts would not unwind commitments already made, but it would reshape the carrier negotiation dynamic in ways that should be factored into the 2031 preparation. Any significant extension of Southwest's lounge lease, or any significant adjustment to the Concourse A design that affects Southwest-adjacent gates, should be executed under the current governance structure rather than deferred into the uncertainty window.</w:t>
      </w:r>
    </w:p>
    <w:p w14:paraId="463315FE" w14:textId="77777777" w:rsidR="005A09DE" w:rsidRDefault="00000000">
      <w:pPr>
        <w:spacing w:after="200" w:line="320" w:lineRule="auto"/>
      </w:pPr>
      <w:r>
        <w:t>In Dallas, on Love Field's concourse, the walls begin coming down in 2027. Southwest controls 90% of gates there. The city's $1 billion terminal renovation program runs six years, pushing terminal walls outward by 50 feet to create room for the airport's first passenger lounges, wider hold rooms, and premium adjacencies. Southwest is expected to fund most of the project. That is the capital-program shape of retrofitting a Southwest-dominated terminal to accommodate the hybrid-carrier model. It runs in years and hundreds of millions of dollars, not months and tenant improvement allowances. What Love Field is committing to in 2027 is what Nashville quietly decided in 2017 it had already done.</w:t>
      </w:r>
    </w:p>
    <w:p w14:paraId="30DF8D83" w14:textId="77777777" w:rsidR="005A09DE" w:rsidRDefault="00000000">
      <w:pPr>
        <w:spacing w:after="200" w:line="320" w:lineRule="auto"/>
      </w:pPr>
      <w:r>
        <w:t>The question MNAA's planners should ask at their next capital planning meeting is not "will Southwest still be here in 2030?" That has an easy answer. The question to ask is this: "What does each remaining New Horizon tranche look like if Southwest's 2030 operation runs 49-minute turns on 175-seat aircraft, banks four connections daily at Nashville, operates a 30,000-square-foot premium lounge above the lobby, and charges $55 for a checked bag?" Every element of that sentence is a fact already established by Southwest's own filings and operating record. None of them requires a forecast. The question is whether the airport being built for 2028, 2029, and beyond was designed with that sentence as an assumption, or whether it was designed before the sentence existed.</w:t>
      </w:r>
    </w:p>
    <w:p w14:paraId="0B44A512" w14:textId="77777777" w:rsidR="005A09DE" w:rsidRDefault="00000000">
      <w:pPr>
        <w:spacing w:after="200" w:line="320" w:lineRule="auto"/>
      </w:pPr>
      <w:r>
        <w:t>The answer is still being poured.</w:t>
      </w:r>
    </w:p>
    <w:p w14:paraId="637D6C25" w14:textId="77777777" w:rsidR="005A09DE" w:rsidRDefault="00000000">
      <w:pPr>
        <w:pStyle w:val="Heading1"/>
        <w:pageBreakBefore/>
      </w:pPr>
      <w:bookmarkStart w:id="17" w:name="_Toc227663853"/>
      <w:r>
        <w:lastRenderedPageBreak/>
        <w:t>Methodology</w:t>
      </w:r>
      <w:bookmarkEnd w:id="17"/>
    </w:p>
    <w:p w14:paraId="5DAAA1A7" w14:textId="4E2407BF" w:rsidR="005A09DE" w:rsidRDefault="00000000">
      <w:pPr>
        <w:spacing w:after="160" w:line="320" w:lineRule="auto"/>
      </w:pPr>
      <w:r>
        <w:t>This document was produced by the Transform Airports AI Council, a multi-agent system operated by</w:t>
      </w:r>
      <w:r w:rsidR="00E158B3">
        <w:t xml:space="preserve"> Christian Kessler</w:t>
      </w:r>
      <w:r>
        <w:t xml:space="preserve">. The Council consists of twelve specialized agents running on </w:t>
      </w:r>
      <w:proofErr w:type="spellStart"/>
      <w:r>
        <w:t>Anthropic’s</w:t>
      </w:r>
      <w:proofErr w:type="spellEnd"/>
      <w:r>
        <w:t xml:space="preserve"> Claude </w:t>
      </w:r>
      <w:r w:rsidR="008B3EC4">
        <w:t xml:space="preserve">Opus 4.7 </w:t>
      </w:r>
      <w:r>
        <w:t>platform:</w:t>
      </w:r>
    </w:p>
    <w:p w14:paraId="7608782E" w14:textId="77777777" w:rsidR="005A09DE" w:rsidRDefault="00000000">
      <w:pPr>
        <w:pStyle w:val="ListParagraph"/>
        <w:numPr>
          <w:ilvl w:val="0"/>
          <w:numId w:val="3"/>
        </w:numPr>
      </w:pPr>
      <w:r>
        <w:t>Eight research agents — Infrastructure Economist, Operations Analyst, Technology Scout, Contrarian, Chief Engineer, Airline Commercial Strategist, Regulatory/Political Analyst, and Aviation Historian — that independently gathered evidence without reading each other’s work.</w:t>
      </w:r>
    </w:p>
    <w:p w14:paraId="3DF767DC" w14:textId="77777777" w:rsidR="005A09DE" w:rsidRDefault="00000000">
      <w:pPr>
        <w:pStyle w:val="ListParagraph"/>
        <w:numPr>
          <w:ilvl w:val="0"/>
          <w:numId w:val="3"/>
        </w:numPr>
      </w:pPr>
      <w:r>
        <w:t>A Strategist that synthesized the eight briefs into a single argumentative draft.</w:t>
      </w:r>
    </w:p>
    <w:p w14:paraId="57583305" w14:textId="77777777" w:rsidR="005A09DE" w:rsidRDefault="00000000">
      <w:pPr>
        <w:pStyle w:val="ListParagraph"/>
        <w:numPr>
          <w:ilvl w:val="0"/>
          <w:numId w:val="3"/>
        </w:numPr>
      </w:pPr>
      <w:r>
        <w:t>A Red Team that attacked the Strategist’s drafts across multiple revision rounds.</w:t>
      </w:r>
    </w:p>
    <w:p w14:paraId="6DAA2752" w14:textId="77777777" w:rsidR="005A09DE" w:rsidRDefault="00000000">
      <w:pPr>
        <w:pStyle w:val="ListParagraph"/>
        <w:numPr>
          <w:ilvl w:val="0"/>
          <w:numId w:val="3"/>
        </w:numPr>
      </w:pPr>
      <w:r>
        <w:t>An Editor that tightened the final prose without adding new content or claims.</w:t>
      </w:r>
    </w:p>
    <w:p w14:paraId="33B37332" w14:textId="77777777" w:rsidR="005A09DE" w:rsidRDefault="00000000">
      <w:pPr>
        <w:pStyle w:val="ListParagraph"/>
        <w:numPr>
          <w:ilvl w:val="0"/>
          <w:numId w:val="3"/>
        </w:numPr>
      </w:pPr>
      <w:r>
        <w:t>A Fact-checker that verified every numerical and attributed claim against the research briefs. Unverifiable claims were removed or flagged for human review.</w:t>
      </w:r>
    </w:p>
    <w:p w14:paraId="06570921" w14:textId="34F8D805" w:rsidR="005A09DE" w:rsidRDefault="00000000">
      <w:pPr>
        <w:spacing w:before="240" w:after="160" w:line="320" w:lineRule="auto"/>
      </w:pPr>
      <w:r>
        <w:t xml:space="preserve">Total agent runtime: </w:t>
      </w:r>
      <w:r w:rsidR="008B3EC4">
        <w:t>6.3</w:t>
      </w:r>
      <w:r>
        <w:t xml:space="preserve"> hours. Human review </w:t>
      </w:r>
      <w:r w:rsidR="008B3EC4">
        <w:t xml:space="preserve">did </w:t>
      </w:r>
      <w:r w:rsidR="008B3EC4" w:rsidRPr="008B3EC4">
        <w:rPr>
          <w:u w:val="single"/>
        </w:rPr>
        <w:t>not</w:t>
      </w:r>
      <w:r w:rsidR="008B3EC4">
        <w:t xml:space="preserve"> occur</w:t>
      </w:r>
      <w:r>
        <w:t xml:space="preserve"> at </w:t>
      </w:r>
      <w:r w:rsidR="008B3EC4">
        <w:t xml:space="preserve">the </w:t>
      </w:r>
      <w:r>
        <w:t xml:space="preserve">two </w:t>
      </w:r>
      <w:r w:rsidR="008B3EC4">
        <w:t xml:space="preserve">traditional </w:t>
      </w:r>
      <w:r>
        <w:t xml:space="preserve">checkpoints: after the third Strategist draft and after the Fact-checker’s report. Agent definitions </w:t>
      </w:r>
      <w:r w:rsidR="008B3EC4">
        <w:t>were</w:t>
      </w:r>
      <w:r>
        <w:t xml:space="preserve"> maintained as versioned markdown files and are edited only by human reviewers via pull request — agents do not modify themselves or each other.</w:t>
      </w:r>
    </w:p>
    <w:p w14:paraId="5405E0CC" w14:textId="7FF2465C" w:rsidR="005A09DE" w:rsidRDefault="00000000">
      <w:pPr>
        <w:spacing w:after="240" w:line="320" w:lineRule="auto"/>
      </w:pPr>
      <w:r>
        <w:t>AI-assisted production does not reduce human accountability for the arguments and claims in this document.</w:t>
      </w:r>
    </w:p>
    <w:sectPr w:rsidR="005A09DE">
      <w:footerReference w:type="default" r:id="rId8"/>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32F64" w14:textId="77777777" w:rsidR="00954D50" w:rsidRDefault="00954D50">
      <w:r>
        <w:separator/>
      </w:r>
    </w:p>
  </w:endnote>
  <w:endnote w:type="continuationSeparator" w:id="0">
    <w:p w14:paraId="0E183C53" w14:textId="77777777" w:rsidR="00954D50" w:rsidRDefault="00954D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E7F7E" w14:textId="77777777" w:rsidR="005A09DE" w:rsidRDefault="00000000">
    <w:pPr>
      <w:jc w:val="center"/>
    </w:pPr>
    <w:r>
      <w:rPr>
        <w:color w:val="777777"/>
        <w:sz w:val="18"/>
        <w:szCs w:val="18"/>
      </w:rPr>
      <w:fldChar w:fldCharType="begin"/>
    </w:r>
    <w:r>
      <w:rPr>
        <w:color w:val="777777"/>
        <w:sz w:val="18"/>
        <w:szCs w:val="18"/>
      </w:rPr>
      <w:instrText>PAGE</w:instrText>
    </w:r>
    <w:r>
      <w:rPr>
        <w:color w:val="777777"/>
        <w:sz w:val="18"/>
        <w:szCs w:val="18"/>
      </w:rPr>
      <w:fldChar w:fldCharType="separate"/>
    </w:r>
    <w:r w:rsidR="00E158B3">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D67F9" w14:textId="77777777" w:rsidR="00954D50" w:rsidRDefault="00954D50">
      <w:r>
        <w:separator/>
      </w:r>
    </w:p>
  </w:footnote>
  <w:footnote w:type="continuationSeparator" w:id="0">
    <w:p w14:paraId="187F7A8D" w14:textId="77777777" w:rsidR="00954D50" w:rsidRDefault="00954D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448A0"/>
    <w:multiLevelType w:val="hybridMultilevel"/>
    <w:tmpl w:val="C0E23B0C"/>
    <w:lvl w:ilvl="0" w:tplc="8F44C844">
      <w:start w:val="1"/>
      <w:numFmt w:val="bullet"/>
      <w:lvlText w:val="•"/>
      <w:lvlJc w:val="left"/>
      <w:pPr>
        <w:ind w:left="720" w:hanging="360"/>
      </w:pPr>
    </w:lvl>
    <w:lvl w:ilvl="1" w:tplc="8812B360">
      <w:numFmt w:val="decimal"/>
      <w:lvlText w:val=""/>
      <w:lvlJc w:val="left"/>
    </w:lvl>
    <w:lvl w:ilvl="2" w:tplc="08E205BA">
      <w:numFmt w:val="decimal"/>
      <w:lvlText w:val=""/>
      <w:lvlJc w:val="left"/>
    </w:lvl>
    <w:lvl w:ilvl="3" w:tplc="022CC212">
      <w:numFmt w:val="decimal"/>
      <w:lvlText w:val=""/>
      <w:lvlJc w:val="left"/>
    </w:lvl>
    <w:lvl w:ilvl="4" w:tplc="BD281D40">
      <w:numFmt w:val="decimal"/>
      <w:lvlText w:val=""/>
      <w:lvlJc w:val="left"/>
    </w:lvl>
    <w:lvl w:ilvl="5" w:tplc="6F52FAE0">
      <w:numFmt w:val="decimal"/>
      <w:lvlText w:val=""/>
      <w:lvlJc w:val="left"/>
    </w:lvl>
    <w:lvl w:ilvl="6" w:tplc="FDC2B4FA">
      <w:numFmt w:val="decimal"/>
      <w:lvlText w:val=""/>
      <w:lvlJc w:val="left"/>
    </w:lvl>
    <w:lvl w:ilvl="7" w:tplc="7CC8A7CE">
      <w:numFmt w:val="decimal"/>
      <w:lvlText w:val=""/>
      <w:lvlJc w:val="left"/>
    </w:lvl>
    <w:lvl w:ilvl="8" w:tplc="2514E16E">
      <w:numFmt w:val="decimal"/>
      <w:lvlText w:val=""/>
      <w:lvlJc w:val="left"/>
    </w:lvl>
  </w:abstractNum>
  <w:abstractNum w:abstractNumId="1" w15:restartNumberingAfterBreak="0">
    <w:nsid w:val="74257871"/>
    <w:multiLevelType w:val="hybridMultilevel"/>
    <w:tmpl w:val="AB046E76"/>
    <w:lvl w:ilvl="0" w:tplc="4568012E">
      <w:start w:val="1"/>
      <w:numFmt w:val="bullet"/>
      <w:lvlText w:val="●"/>
      <w:lvlJc w:val="left"/>
      <w:pPr>
        <w:ind w:left="720" w:hanging="360"/>
      </w:pPr>
    </w:lvl>
    <w:lvl w:ilvl="1" w:tplc="AE5CA1CE">
      <w:start w:val="1"/>
      <w:numFmt w:val="bullet"/>
      <w:lvlText w:val="○"/>
      <w:lvlJc w:val="left"/>
      <w:pPr>
        <w:ind w:left="1440" w:hanging="360"/>
      </w:pPr>
    </w:lvl>
    <w:lvl w:ilvl="2" w:tplc="D72EAD18">
      <w:start w:val="1"/>
      <w:numFmt w:val="bullet"/>
      <w:lvlText w:val="■"/>
      <w:lvlJc w:val="left"/>
      <w:pPr>
        <w:ind w:left="2160" w:hanging="360"/>
      </w:pPr>
    </w:lvl>
    <w:lvl w:ilvl="3" w:tplc="DC36C4C8">
      <w:start w:val="1"/>
      <w:numFmt w:val="bullet"/>
      <w:lvlText w:val="●"/>
      <w:lvlJc w:val="left"/>
      <w:pPr>
        <w:ind w:left="2880" w:hanging="360"/>
      </w:pPr>
    </w:lvl>
    <w:lvl w:ilvl="4" w:tplc="AC663D7C">
      <w:start w:val="1"/>
      <w:numFmt w:val="bullet"/>
      <w:lvlText w:val="○"/>
      <w:lvlJc w:val="left"/>
      <w:pPr>
        <w:ind w:left="3600" w:hanging="360"/>
      </w:pPr>
    </w:lvl>
    <w:lvl w:ilvl="5" w:tplc="252A008C">
      <w:start w:val="1"/>
      <w:numFmt w:val="bullet"/>
      <w:lvlText w:val="■"/>
      <w:lvlJc w:val="left"/>
      <w:pPr>
        <w:ind w:left="4320" w:hanging="360"/>
      </w:pPr>
    </w:lvl>
    <w:lvl w:ilvl="6" w:tplc="75EE9D4E">
      <w:start w:val="1"/>
      <w:numFmt w:val="bullet"/>
      <w:lvlText w:val="●"/>
      <w:lvlJc w:val="left"/>
      <w:pPr>
        <w:ind w:left="5040" w:hanging="360"/>
      </w:pPr>
    </w:lvl>
    <w:lvl w:ilvl="7" w:tplc="5D5019CA">
      <w:start w:val="1"/>
      <w:numFmt w:val="bullet"/>
      <w:lvlText w:val="●"/>
      <w:lvlJc w:val="left"/>
      <w:pPr>
        <w:ind w:left="5760" w:hanging="360"/>
      </w:pPr>
    </w:lvl>
    <w:lvl w:ilvl="8" w:tplc="BA8ADB4E">
      <w:start w:val="1"/>
      <w:numFmt w:val="bullet"/>
      <w:lvlText w:val="●"/>
      <w:lvlJc w:val="left"/>
      <w:pPr>
        <w:ind w:left="6480" w:hanging="360"/>
      </w:pPr>
    </w:lvl>
  </w:abstractNum>
  <w:abstractNum w:abstractNumId="2" w15:restartNumberingAfterBreak="0">
    <w:nsid w:val="790C0D87"/>
    <w:multiLevelType w:val="hybridMultilevel"/>
    <w:tmpl w:val="6FD0D9FC"/>
    <w:lvl w:ilvl="0" w:tplc="210E89E6">
      <w:start w:val="1"/>
      <w:numFmt w:val="decimal"/>
      <w:lvlText w:val="%1."/>
      <w:lvlJc w:val="left"/>
      <w:pPr>
        <w:ind w:left="720" w:hanging="360"/>
      </w:pPr>
    </w:lvl>
    <w:lvl w:ilvl="1" w:tplc="A6885D18">
      <w:numFmt w:val="decimal"/>
      <w:lvlText w:val=""/>
      <w:lvlJc w:val="left"/>
    </w:lvl>
    <w:lvl w:ilvl="2" w:tplc="CCA8D496">
      <w:numFmt w:val="decimal"/>
      <w:lvlText w:val=""/>
      <w:lvlJc w:val="left"/>
    </w:lvl>
    <w:lvl w:ilvl="3" w:tplc="FA565374">
      <w:numFmt w:val="decimal"/>
      <w:lvlText w:val=""/>
      <w:lvlJc w:val="left"/>
    </w:lvl>
    <w:lvl w:ilvl="4" w:tplc="1A326F68">
      <w:numFmt w:val="decimal"/>
      <w:lvlText w:val=""/>
      <w:lvlJc w:val="left"/>
    </w:lvl>
    <w:lvl w:ilvl="5" w:tplc="8C94B316">
      <w:numFmt w:val="decimal"/>
      <w:lvlText w:val=""/>
      <w:lvlJc w:val="left"/>
    </w:lvl>
    <w:lvl w:ilvl="6" w:tplc="01964AD6">
      <w:numFmt w:val="decimal"/>
      <w:lvlText w:val=""/>
      <w:lvlJc w:val="left"/>
    </w:lvl>
    <w:lvl w:ilvl="7" w:tplc="869EE3DA">
      <w:numFmt w:val="decimal"/>
      <w:lvlText w:val=""/>
      <w:lvlJc w:val="left"/>
    </w:lvl>
    <w:lvl w:ilvl="8" w:tplc="C0B0B4D2">
      <w:numFmt w:val="decimal"/>
      <w:lvlText w:val=""/>
      <w:lvlJc w:val="left"/>
    </w:lvl>
  </w:abstractNum>
  <w:num w:numId="1" w16cid:durableId="1911109691">
    <w:abstractNumId w:val="1"/>
    <w:lvlOverride w:ilvl="0">
      <w:startOverride w:val="1"/>
    </w:lvlOverride>
  </w:num>
  <w:num w:numId="2" w16cid:durableId="709845543">
    <w:abstractNumId w:val="2"/>
    <w:lvlOverride w:ilvl="0">
      <w:startOverride w:val="1"/>
    </w:lvlOverride>
  </w:num>
  <w:num w:numId="3" w16cid:durableId="12914044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9DE"/>
    <w:rsid w:val="0018525C"/>
    <w:rsid w:val="00521415"/>
    <w:rsid w:val="005A09DE"/>
    <w:rsid w:val="008B3EC4"/>
    <w:rsid w:val="00954D50"/>
    <w:rsid w:val="00E158B3"/>
    <w:rsid w:val="00E82832"/>
    <w:rsid w:val="00ED5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8E8710"/>
  <w15:docId w15:val="{275F840F-7C5C-3F4E-B114-13966B780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20"/>
      <w:outlineLvl w:val="0"/>
    </w:pPr>
    <w:rPr>
      <w:b/>
      <w:bCs/>
      <w:color w:val="111111"/>
      <w:sz w:val="36"/>
      <w:szCs w:val="36"/>
    </w:rPr>
  </w:style>
  <w:style w:type="paragraph" w:styleId="Heading2">
    <w:name w:val="heading 2"/>
    <w:uiPriority w:val="9"/>
    <w:unhideWhenUsed/>
    <w:qFormat/>
    <w:pPr>
      <w:spacing w:before="240" w:after="140"/>
      <w:outlineLvl w:val="1"/>
    </w:pPr>
    <w:rPr>
      <w:b/>
      <w:bCs/>
      <w:i/>
      <w:iCs/>
      <w:color w:val="1F2937"/>
      <w:sz w:val="26"/>
      <w:szCs w:val="26"/>
    </w:rPr>
  </w:style>
  <w:style w:type="paragraph" w:styleId="Heading3">
    <w:name w:val="heading 3"/>
    <w:uiPriority w:val="9"/>
    <w:semiHidden/>
    <w:unhideWhenUsed/>
    <w:qFormat/>
    <w:pPr>
      <w:spacing w:before="200" w:after="120"/>
      <w:outlineLvl w:val="2"/>
    </w:pPr>
    <w:rPr>
      <w:b/>
      <w:bCs/>
      <w:color w:val="1F293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158B3"/>
    <w:pPr>
      <w:spacing w:after="100"/>
    </w:pPr>
  </w:style>
  <w:style w:type="paragraph" w:styleId="TOC2">
    <w:name w:val="toc 2"/>
    <w:basedOn w:val="Normal"/>
    <w:next w:val="Normal"/>
    <w:autoRedefine/>
    <w:uiPriority w:val="39"/>
    <w:unhideWhenUsed/>
    <w:rsid w:val="00E158B3"/>
    <w:pPr>
      <w:spacing w:after="100"/>
      <w:ind w:left="2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24</Pages>
  <Words>8028</Words>
  <Characters>47770</Characters>
  <Application>Microsoft Office Word</Application>
  <DocSecurity>0</DocSecurity>
  <Lines>770</Lines>
  <Paragraphs>286</Paragraphs>
  <ScaleCrop>false</ScaleCrop>
  <HeadingPairs>
    <vt:vector size="2" baseType="variant">
      <vt:variant>
        <vt:lpstr>Title</vt:lpstr>
      </vt:variant>
      <vt:variant>
        <vt:i4>1</vt:i4>
      </vt:variant>
    </vt:vector>
  </HeadingPairs>
  <TitlesOfParts>
    <vt:vector size="1" baseType="lpstr">
      <vt:lpstr>The Airport Southwest Was, The Airport Southwest Is Becoming</vt:lpstr>
    </vt:vector>
  </TitlesOfParts>
  <Company/>
  <LinksUpToDate>false</LinksUpToDate>
  <CharactersWithSpaces>55512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Airport Southwest Was, The Airport Southwest Is Becoming</dc:title>
  <dc:creator>Transform Airports AI Council</dc:creator>
  <dc:description>Nashville’s Capital Program and a Carrier in Mid-Transformation</dc:description>
  <cp:lastModifiedBy>Christian Kessler</cp:lastModifiedBy>
  <cp:revision>6</cp:revision>
  <cp:lastPrinted>2026-04-21T18:52:00Z</cp:lastPrinted>
  <dcterms:created xsi:type="dcterms:W3CDTF">2026-04-21T15:31:00Z</dcterms:created>
  <dcterms:modified xsi:type="dcterms:W3CDTF">2026-04-21T19:18:00Z</dcterms:modified>
</cp:coreProperties>
</file>