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PMingLiU" w:cs="Times New Roman"/>
          <w:kern w:val="2"/>
          <w:sz w:val="40"/>
          <w:szCs w:val="40"/>
          <w:lang w:val="en-US"/>
        </w:rPr>
      </w:pPr>
      <w:r>
        <w:rPr>
          <w:rFonts w:eastAsia="PMingLiU" w:cs="Times New Roman" w:ascii="Times New Roman" w:hAnsi="Times New Roman"/>
          <w:kern w:val="2"/>
          <w:sz w:val="40"/>
          <w:szCs w:val="40"/>
          <w:lang w:val="en-US"/>
        </w:rPr>
        <w:t>Board Diversity and Efficiency of Universities Registered in Kenya: The Role of Funding Sources</w:t>
      </w:r>
    </w:p>
    <w:p>
      <w:pPr>
        <w:pStyle w:val="Normal"/>
        <w:snapToGrid w:val="false"/>
        <w:spacing w:lineRule="auto" w:line="240" w:before="0" w:after="120"/>
        <w:rPr>
          <w:rFonts w:ascii="Bookman Old Style" w:hAnsi="Bookman Old Style" w:eastAsia="MS Mincho" w:cs="Times New Roman"/>
          <w:b/>
          <w:b/>
          <w:sz w:val="20"/>
          <w:szCs w:val="20"/>
          <w:lang w:val="en-US" w:eastAsia="ja-JP"/>
        </w:rPr>
      </w:pPr>
      <w:r>
        <w:rPr>
          <w:rFonts w:eastAsia="MS Mincho" w:cs="Times New Roman" w:ascii="Bookman Old Style" w:hAnsi="Bookman Old Style"/>
          <w:b/>
          <w:sz w:val="20"/>
          <w:szCs w:val="20"/>
          <w:lang w:val="en-US" w:eastAsia="ja-JP"/>
        </w:rPr>
      </w:r>
    </w:p>
    <w:p>
      <w:pPr>
        <w:pStyle w:val="Normal"/>
        <w:spacing w:lineRule="auto" w:line="240" w:before="0" w:after="320"/>
        <w:rPr>
          <w:rFonts w:ascii="Times New Roman" w:hAnsi="Times New Roman" w:eastAsia="PMingLiU" w:cs="Times New Roman"/>
          <w:lang w:val="en-US"/>
        </w:rPr>
      </w:pPr>
      <w:r>
        <w:rPr>
          <w:rFonts w:eastAsia="PMingLiU" w:cs="Times New Roman" w:ascii="Times New Roman" w:hAnsi="Times New Roman"/>
          <w:u w:val="single"/>
          <w:lang w:val="en-US"/>
        </w:rPr>
        <w:t>Beatrice Kinanu Anyuki</w:t>
      </w:r>
      <w:r>
        <w:rPr>
          <w:rFonts w:eastAsia="PMingLiU" w:cs="Times New Roman" w:ascii="Times New Roman" w:hAnsi="Times New Roman"/>
          <w:u w:val="single"/>
          <w:vertAlign w:val="superscript"/>
          <w:lang w:val="en-US"/>
        </w:rPr>
        <w:t>1,*</w:t>
      </w:r>
      <w:r>
        <w:rPr>
          <w:rFonts w:eastAsia="PMingLiU" w:cs="Times New Roman" w:ascii="Times New Roman" w:hAnsi="Times New Roman"/>
          <w:u w:val="none"/>
          <w:lang w:val="en-US"/>
        </w:rPr>
        <w:t xml:space="preserve">, </w:t>
      </w:r>
      <w:r>
        <w:rPr>
          <w:rFonts w:eastAsia="PMingLiU" w:cs="Times New Roman" w:ascii="Times New Roman" w:hAnsi="Times New Roman"/>
          <w:lang w:val="en-US"/>
        </w:rPr>
        <w:t>Cyrus Iraya Mwangi</w:t>
      </w:r>
      <w:r>
        <w:rPr>
          <w:rFonts w:eastAsia="PMingLiU" w:cs="Times New Roman" w:ascii="Times New Roman" w:hAnsi="Times New Roman"/>
          <w:vertAlign w:val="superscript"/>
          <w:lang w:val="en-US"/>
        </w:rPr>
        <w:t>2</w:t>
      </w:r>
      <w:r>
        <w:rPr>
          <w:rFonts w:eastAsia="SimSun" w:cs="Times New Roman" w:ascii="Times New Roman" w:hAnsi="Times New Roman"/>
          <w:lang w:val="en-US" w:eastAsia="zh-CN"/>
        </w:rPr>
        <w:t xml:space="preserve">, </w:t>
      </w:r>
      <w:r>
        <w:rPr>
          <w:rFonts w:eastAsia="PMingLiU" w:cs="Times New Roman" w:ascii="Times New Roman" w:hAnsi="Times New Roman"/>
          <w:lang w:val="en-US"/>
        </w:rPr>
        <w:t>and Winnie Iminza Nyamute</w:t>
      </w:r>
      <w:r>
        <w:rPr>
          <w:rFonts w:eastAsia="PMingLiU" w:cs="Times New Roman" w:ascii="Times New Roman" w:hAnsi="Times New Roman"/>
          <w:vertAlign w:val="superscript"/>
          <w:lang w:val="en-US"/>
        </w:rPr>
        <w:t>2</w:t>
      </w:r>
    </w:p>
    <w:p>
      <w:pPr>
        <w:pStyle w:val="Normal"/>
        <w:spacing w:lineRule="auto" w:line="240" w:before="0" w:after="0"/>
        <w:ind w:left="78" w:hanging="0"/>
        <w:rPr>
          <w:rFonts w:ascii="Times New Roman" w:hAnsi="Times New Roman" w:eastAsia="Calibri" w:cs="Times New Roman"/>
          <w:color w:val="000000"/>
          <w:sz w:val="16"/>
          <w:szCs w:val="16"/>
          <w:lang w:val="en-US"/>
        </w:rPr>
      </w:pPr>
      <w:r>
        <w:rPr>
          <w:rFonts w:eastAsia="Calibri" w:cs="Times New Roman" w:ascii="Times New Roman" w:hAnsi="Times New Roman"/>
          <w:color w:val="000000"/>
          <w:sz w:val="16"/>
          <w:szCs w:val="16"/>
          <w:vertAlign w:val="superscript"/>
          <w:lang w:val="en-US"/>
        </w:rPr>
        <w:t>1</w:t>
      </w:r>
      <w:r>
        <w:rPr>
          <w:rFonts w:eastAsia="Calibri" w:cs="Times New Roman" w:ascii="Times New Roman" w:hAnsi="Times New Roman"/>
          <w:color w:val="000000"/>
          <w:sz w:val="16"/>
          <w:szCs w:val="16"/>
          <w:lang w:val="en-US"/>
        </w:rPr>
        <w:t>Department of Finance and Accounting, Faculty of Business and Management</w:t>
      </w:r>
      <w:r>
        <w:rPr>
          <w:rFonts w:eastAsia="SimSun" w:cs="Times New Roman" w:ascii="Times New Roman" w:hAnsi="Times New Roman"/>
          <w:b/>
          <w:bCs/>
          <w:sz w:val="16"/>
          <w:szCs w:val="16"/>
          <w:lang w:val="en-US" w:eastAsia="zh-CN"/>
        </w:rPr>
        <w:t xml:space="preserve"> </w:t>
      </w:r>
      <w:r>
        <w:rPr>
          <w:rFonts w:eastAsia="Calibri" w:cs="Times New Roman" w:ascii="Times New Roman" w:hAnsi="Times New Roman"/>
          <w:color w:val="000000"/>
          <w:sz w:val="16"/>
          <w:szCs w:val="16"/>
          <w:lang w:val="en-US"/>
        </w:rPr>
        <w:t>Science, University of Nairobi, Kenya.</w:t>
      </w:r>
    </w:p>
    <w:p>
      <w:pPr>
        <w:pStyle w:val="Normal"/>
        <w:spacing w:lineRule="auto" w:line="240" w:before="0" w:after="0"/>
        <w:ind w:left="78" w:hanging="0"/>
        <w:rPr>
          <w:rFonts w:ascii="Times New Roman" w:hAnsi="Times New Roman" w:eastAsia="Calibri" w:cs="Times New Roman"/>
          <w:color w:val="000000"/>
          <w:sz w:val="16"/>
          <w:szCs w:val="16"/>
          <w:lang w:val="en-US"/>
        </w:rPr>
      </w:pPr>
      <w:r>
        <w:rPr>
          <w:rFonts w:eastAsia="Calibri" w:cs="Times New Roman" w:ascii="Times New Roman" w:hAnsi="Times New Roman"/>
          <w:color w:val="000000"/>
          <w:sz w:val="16"/>
          <w:szCs w:val="16"/>
          <w:vertAlign w:val="superscript"/>
          <w:lang w:val="en-US"/>
        </w:rPr>
        <w:t>2</w:t>
      </w:r>
      <w:r>
        <w:rPr>
          <w:rFonts w:eastAsia="Calibri" w:cs="Times New Roman" w:ascii="Times New Roman" w:hAnsi="Times New Roman"/>
          <w:color w:val="000000"/>
          <w:sz w:val="16"/>
          <w:szCs w:val="16"/>
          <w:lang w:val="en-US"/>
        </w:rPr>
        <w:t>Professor, Department of Finance and Accounting, Faculty of Business and M</w:t>
      </w:r>
      <w:bookmarkStart w:id="0" w:name="_GoBack"/>
      <w:bookmarkEnd w:id="0"/>
      <w:r>
        <w:rPr>
          <w:rFonts w:eastAsia="Calibri" w:cs="Times New Roman" w:ascii="Times New Roman" w:hAnsi="Times New Roman"/>
          <w:color w:val="000000"/>
          <w:sz w:val="16"/>
          <w:szCs w:val="16"/>
          <w:lang w:val="en-US"/>
        </w:rPr>
        <w:t>anagement</w:t>
      </w:r>
      <w:r>
        <w:rPr>
          <w:rFonts w:eastAsia="SimSun" w:cs="Times New Roman" w:ascii="Times New Roman" w:hAnsi="Times New Roman"/>
          <w:b/>
          <w:bCs/>
          <w:sz w:val="16"/>
          <w:szCs w:val="16"/>
          <w:lang w:val="en-US" w:eastAsia="zh-CN"/>
        </w:rPr>
        <w:t xml:space="preserve"> </w:t>
      </w:r>
      <w:r>
        <w:rPr>
          <w:rFonts w:eastAsia="Calibri" w:cs="Times New Roman" w:ascii="Times New Roman" w:hAnsi="Times New Roman"/>
          <w:color w:val="000000"/>
          <w:sz w:val="16"/>
          <w:szCs w:val="16"/>
          <w:lang w:val="en-US"/>
        </w:rPr>
        <w:t xml:space="preserve">Science, University of Nairobi, Kenya. </w:t>
      </w:r>
    </w:p>
    <w:p>
      <w:pPr>
        <w:pStyle w:val="Normal"/>
        <w:spacing w:lineRule="auto" w:line="240" w:before="0" w:after="0"/>
        <w:rPr>
          <w:rFonts w:ascii="Times New Roman" w:hAnsi="Times New Roman" w:eastAsia="PMingLiU" w:cs="Times New Roman"/>
          <w:sz w:val="16"/>
          <w:szCs w:val="16"/>
          <w:lang w:val="en-US"/>
        </w:rPr>
      </w:pPr>
      <w:r>
        <w:rPr>
          <w:rFonts w:eastAsia="PMingLiU" w:cs="Times New Roman" w:ascii="Times New Roman" w:hAnsi="Times New Roman"/>
          <w:sz w:val="16"/>
          <w:szCs w:val="16"/>
          <w:lang w:val="en-US"/>
        </w:rPr>
      </w:r>
    </w:p>
    <w:p>
      <w:pPr>
        <w:pStyle w:val="Normal"/>
        <w:spacing w:lineRule="auto" w:line="240" w:before="0" w:after="0"/>
        <w:ind w:left="78" w:hanging="0"/>
        <w:rPr>
          <w:rFonts w:ascii="Times New Roman" w:hAnsi="Times New Roman" w:eastAsia="Calibri" w:cs="Times New Roman"/>
          <w:color w:val="000000"/>
          <w:sz w:val="16"/>
          <w:szCs w:val="16"/>
          <w:lang w:val="en-US"/>
        </w:rPr>
      </w:pPr>
      <w:r>
        <w:rPr>
          <w:rFonts w:eastAsia="PMingLiU" w:cs="Times New Roman" w:ascii="Times New Roman" w:hAnsi="Times New Roman"/>
          <w:bCs/>
          <w:iCs/>
          <w:sz w:val="14"/>
          <w:szCs w:val="14"/>
          <w:vertAlign w:val="superscript"/>
          <w:lang w:val="en-US"/>
        </w:rPr>
        <w:t>*</w:t>
      </w:r>
      <w:r>
        <w:rPr>
          <w:rFonts w:eastAsia="PMingLiU" w:cs="Times New Roman" w:ascii="Times New Roman" w:hAnsi="Times New Roman"/>
          <w:bCs/>
          <w:iCs/>
          <w:sz w:val="14"/>
          <w:szCs w:val="14"/>
          <w:lang w:val="en-US"/>
        </w:rPr>
        <w:t xml:space="preserve">Corresponding Author: Beatrice Kinanu Anyuki. Email: </w:t>
      </w:r>
      <w:hyperlink r:id="rId2">
        <w:r>
          <w:rPr>
            <w:rStyle w:val="InternetLink"/>
            <w:rFonts w:eastAsia="PMingLiU" w:cs="Times New Roman" w:ascii="Times New Roman" w:hAnsi="Times New Roman"/>
            <w:bCs/>
            <w:iCs/>
            <w:smallCaps/>
            <w:color w:val="000000"/>
            <w:kern w:val="2"/>
            <w:sz w:val="14"/>
            <w:szCs w:val="14"/>
            <w:lang w:val="en-US"/>
          </w:rPr>
          <w:t>www.google.com</w:t>
        </w:r>
      </w:hyperlink>
      <w:r>
        <w:rPr>
          <w:rFonts w:eastAsia="PMingLiU" w:cs="Times New Roman" w:ascii="Times New Roman" w:hAnsi="Times New Roman"/>
          <w:bCs/>
          <w:iCs/>
          <w:smallCaps/>
          <w:color w:val="000000"/>
          <w:kern w:val="2"/>
          <w:sz w:val="14"/>
          <w:szCs w:val="14"/>
          <w:lang w:val="en-US"/>
        </w:rPr>
        <w:t>.</w:t>
      </w:r>
    </w:p>
    <w:p>
      <w:pPr>
        <w:pStyle w:val="Normal"/>
        <w:snapToGrid w:val="false"/>
        <w:spacing w:lineRule="auto" w:line="240" w:before="40" w:after="0"/>
        <w:ind w:left="164" w:hanging="0"/>
        <w:rPr>
          <w:rFonts w:ascii="Bookman Old Style" w:hAnsi="Bookman Old Style" w:eastAsia="PMingLiU" w:cs="Times New Roman"/>
          <w:color w:val="000000" w:themeColor="text1"/>
          <w:sz w:val="18"/>
          <w:szCs w:val="18"/>
          <w:lang w:val="en-US" w:eastAsia="ja-JP"/>
        </w:rPr>
      </w:pPr>
      <w:r>
        <w:rPr>
          <w:rFonts w:eastAsia="PMingLiU" w:cs="Times New Roman" w:ascii="Bookman Old Style" w:hAnsi="Bookman Old Style"/>
          <w:b/>
          <w:bCs/>
          <w:i/>
          <w:iCs/>
          <w:color w:val="000000" w:themeColor="text1"/>
          <w:sz w:val="20"/>
          <w:szCs w:val="20"/>
          <w:lang w:val="en-US"/>
        </w:rPr>
        <w:t>Abstract</w:t>
      </w:r>
    </w:p>
    <w:p>
      <w:pPr>
        <w:pStyle w:val="Normal"/>
        <w:snapToGrid w:val="false"/>
        <w:spacing w:lineRule="auto" w:line="240" w:before="120" w:after="0"/>
        <w:ind w:left="162" w:hanging="0"/>
        <w:rPr>
          <w:rFonts w:ascii="Bookman Old Style" w:hAnsi="Bookman Old Style" w:eastAsia="PMingLiU" w:cs="Times New Roman"/>
          <w:color w:val="000000" w:themeColor="text1"/>
          <w:sz w:val="18"/>
          <w:szCs w:val="18"/>
          <w:lang w:val="en-US" w:eastAsia="ja-JP"/>
        </w:rPr>
      </w:pPr>
      <w:r>
        <w:rPr>
          <w:rFonts w:eastAsia="PMingLiU" w:cs="Times New Roman" w:ascii="Bookman Old Style" w:hAnsi="Bookman Old Style"/>
          <w:color w:val="000000" w:themeColor="text1"/>
          <w:sz w:val="18"/>
          <w:szCs w:val="18"/>
          <w:lang w:val="en-US" w:eastAsia="ja-JP"/>
        </w:rPr>
      </w:r>
    </w:p>
    <w:p>
      <w:pPr>
        <w:pStyle w:val="Normal"/>
        <w:spacing w:lineRule="auto" w:line="240"/>
        <w:rPr>
          <w:rFonts w:ascii="Times New Roman" w:hAnsi="Times New Roman" w:cs="Times New Roman"/>
          <w:sz w:val="18"/>
          <w:szCs w:val="18"/>
        </w:rPr>
      </w:pPr>
      <w:r>
        <w:rPr>
          <w:rFonts w:eastAsia="Calibri" w:cs="Times New Roman" w:ascii="Times New Roman" w:hAnsi="Times New Roman"/>
          <w:sz w:val="18"/>
          <w:szCs w:val="18"/>
          <w:lang w:val="en-US"/>
        </w:rPr>
        <w:t>The board diversity of institutions plays an integral role in minimizing uncertainty, augmenting knowledge sharing, improving resource utilization, and crafting overall institutional strategy to enhance optimal efficiency. Institutions with more heterogeneous boards are characterized by their ability to attract finances from multiple sources; hence, they are better positioned to be more efficient in their operations. The main aim of this study was to assess the role of funding sources in the association between board diversity and the efficiency of universities registered in Kenya. The study was supported by the agency theory, the human capital theory, the stewardship theory, and the theory of pecking order.</w:t>
      </w:r>
      <w:r>
        <w:rPr>
          <w:rFonts w:eastAsia="Calibri" w:cs="Times New Roman" w:ascii="Times New Roman" w:hAnsi="Times New Roman"/>
          <w:sz w:val="18"/>
          <w:szCs w:val="18"/>
        </w:rPr>
        <w:t xml:space="preserve"> The positivist research paradigm anchored the study. A census study of 75 public and private universities in Kenya was conducted using a descriptive longitudinal research approach. The descriptive statistics included calculating the counts, standard deviation, mean, minimum and maximum values, coefficient of variation, kurtosis, and skewness. The fixed effect model was used as the primary estimation technique in inferential statistics. </w:t>
      </w:r>
      <w:r>
        <w:rPr>
          <w:rFonts w:eastAsia="Calibri" w:cs="Times New Roman" w:ascii="Times New Roman" w:hAnsi="Times New Roman"/>
          <w:sz w:val="18"/>
          <w:szCs w:val="18"/>
          <w:lang w:val="en-US"/>
        </w:rPr>
        <w:t>The results established that funding sources partially mediate the association between board diversity and efficiency. The study recommends that for universities to increase efficiency, the boards must make a greater effort to support board diversity, establish the dimensions within the board diversity relevant to efficiency enhancement, and establish multiple funding sources to remain afloat in their operations.</w:t>
      </w:r>
    </w:p>
    <w:p>
      <w:pPr>
        <w:pStyle w:val="Normal"/>
        <w:snapToGrid w:val="false"/>
        <w:spacing w:lineRule="auto" w:line="240" w:before="120" w:after="0"/>
        <w:ind w:left="461" w:right="72" w:hanging="0"/>
        <w:rPr>
          <w:rFonts w:ascii="Times New Roman" w:hAnsi="Times New Roman" w:eastAsia="PMingLiU" w:cs="Times New Roman"/>
          <w:sz w:val="18"/>
          <w:szCs w:val="18"/>
          <w:lang w:val="en-US" w:eastAsia="ja-JP"/>
        </w:rPr>
      </w:pPr>
      <w:r>
        <w:rPr>
          <w:rFonts w:eastAsia="PMingLiU" w:cs="Times New Roman" w:ascii="Bookman Old Style" w:hAnsi="Bookman Old Style"/>
          <w:b/>
          <w:bCs/>
          <w:sz w:val="18"/>
          <w:szCs w:val="18"/>
          <w:lang w:val="en-US" w:eastAsia="ja-JP"/>
        </w:rPr>
        <w:t>Keywords:</w:t>
      </w:r>
      <w:r>
        <w:rPr>
          <w:rFonts w:eastAsia="PMingLiU" w:cs="Times New Roman" w:ascii="Bookman Old Style" w:hAnsi="Bookman Old Style"/>
          <w:sz w:val="18"/>
          <w:szCs w:val="18"/>
          <w:lang w:val="en-US" w:eastAsia="ja-JP"/>
        </w:rPr>
        <w:t xml:space="preserve"> </w:t>
      </w:r>
      <w:r>
        <w:rPr>
          <w:rFonts w:eastAsia="PMingLiU" w:cs="Times New Roman" w:ascii="Times New Roman" w:hAnsi="Times New Roman"/>
          <w:sz w:val="18"/>
          <w:szCs w:val="18"/>
          <w:lang w:val="en-US" w:eastAsia="ja-JP"/>
        </w:rPr>
        <w:t>Board diversity, efficiency, funding sources, universities registered in Kenya</w:t>
      </w:r>
      <w:r>
        <w:rPr>
          <w:rFonts w:eastAsia="PMingLiU" w:cs="Times New Roman" w:ascii="Times New Roman" w:hAnsi="Times New Roman"/>
          <w:sz w:val="18"/>
          <w:szCs w:val="18"/>
          <w:lang w:val="en-US"/>
        </w:rPr>
        <w:t>.</w:t>
      </w:r>
    </w:p>
    <w:p>
      <w:pPr>
        <w:pStyle w:val="Normal"/>
        <w:snapToGrid w:val="false"/>
        <w:spacing w:lineRule="auto" w:line="240" w:before="120" w:after="200"/>
        <w:ind w:left="459" w:right="74" w:hanging="0"/>
        <w:jc w:val="right"/>
        <w:rPr>
          <w:rFonts w:ascii="Bookman Old Style" w:hAnsi="Bookman Old Style" w:eastAsia="PMingLiU" w:cs="Vrinda"/>
          <w:sz w:val="20"/>
          <w:szCs w:val="20"/>
          <w:lang w:val="en-US" w:eastAsia="ja-JP"/>
        </w:rPr>
      </w:pPr>
      <w:r>
        <w:rPr>
          <w:rFonts w:eastAsia="PMingLiU" w:cs="Vrinda" w:ascii="Bookman Old Style" w:hAnsi="Bookman Old Style"/>
          <w:sz w:val="20"/>
          <w:szCs w:val="20"/>
          <w:lang w:val="en-US" w:eastAsia="ja-JP"/>
        </w:rPr>
      </w:r>
    </w:p>
    <w:p>
      <w:pPr>
        <w:pStyle w:val="Normal"/>
        <w:keepNext w:val="true"/>
        <w:numPr>
          <w:ilvl w:val="0"/>
          <w:numId w:val="0"/>
        </w:numPr>
        <w:spacing w:lineRule="auto" w:line="240" w:before="240" w:after="120"/>
        <w:ind w:left="0" w:hanging="0"/>
        <w:jc w:val="center"/>
        <w:outlineLvl w:val="0"/>
        <w:rPr>
          <w:rFonts w:ascii="Times New Roman" w:hAnsi="Times New Roman" w:eastAsia="PMingLiU" w:cs="Times New Roman"/>
          <w:smallCaps/>
          <w:kern w:val="2"/>
          <w:sz w:val="20"/>
          <w:szCs w:val="20"/>
          <w:lang w:val="en-US"/>
        </w:rPr>
      </w:pPr>
      <w:r>
        <w:rPr>
          <w:rFonts w:eastAsia="PMingLiU" w:cs="Times New Roman" w:ascii="Times New Roman" w:hAnsi="Times New Roman"/>
          <w:smallCaps/>
          <w:kern w:val="2"/>
          <w:sz w:val="20"/>
          <w:szCs w:val="20"/>
          <w:lang w:val="en-US"/>
        </w:rPr>
        <w:t>I. Introduction</w:t>
      </w:r>
    </w:p>
    <w:p>
      <w:pPr>
        <w:pStyle w:val="ListParagraph"/>
        <w:keepNext w:val="true"/>
        <w:numPr>
          <w:ilvl w:val="0"/>
          <w:numId w:val="1"/>
        </w:numPr>
        <w:spacing w:lineRule="auto" w:line="240" w:before="120" w:after="60"/>
        <w:contextualSpacing/>
        <w:outlineLvl w:val="1"/>
        <w:rPr>
          <w:rFonts w:eastAsia="PMingLiU" w:cs="Times New Roman"/>
          <w:i/>
          <w:i/>
          <w:iCs/>
          <w:sz w:val="20"/>
          <w:szCs w:val="20"/>
          <w:lang w:val="en-US"/>
        </w:rPr>
      </w:pPr>
      <w:bookmarkStart w:id="1" w:name="_Hlk76233459"/>
      <w:r>
        <w:rPr>
          <w:rFonts w:eastAsia="PMingLiU" w:cs="Times New Roman"/>
          <w:i/>
          <w:iCs/>
          <w:sz w:val="20"/>
          <w:szCs w:val="20"/>
          <w:lang w:val="en-US"/>
        </w:rPr>
        <w:t>Background</w:t>
      </w:r>
      <w:bookmarkEnd w:id="1"/>
    </w:p>
    <w:p>
      <w:pPr>
        <w:pStyle w:val="Normal"/>
        <w:widowControl w:val="false"/>
        <w:spacing w:lineRule="auto" w:line="252" w:before="0" w:after="0"/>
        <w:ind w:firstLine="202"/>
        <w:jc w:val="both"/>
        <w:rPr>
          <w:rFonts w:ascii="Times New Roman" w:hAnsi="Times New Roman" w:eastAsia="Calibri" w:cs="Times New Roman"/>
          <w:sz w:val="20"/>
          <w:szCs w:val="20"/>
          <w:lang w:val="en-US"/>
        </w:rPr>
      </w:pPr>
      <w:r>
        <w:rPr>
          <w:rFonts w:eastAsia="Calibri" w:cs="Times New Roman" w:ascii="Times New Roman" w:hAnsi="Times New Roman"/>
          <w:sz w:val="20"/>
          <w:szCs w:val="20"/>
          <w:lang w:val="en-US"/>
        </w:rPr>
        <w:t xml:space="preserve">Over the last two decades, there has been renewed and protracted attention globally on the role of board diversity in institutional efficiency. To enhance optimal efficiency, board diversity is integral in minimizing uncertainty, augmenting knowledge sharing, improving resource utilization and crafting overall institutional strategy. As </w:t>
      </w:r>
      <w:r>
        <w:fldChar w:fldCharType="begin"/>
      </w:r>
      <w:r>
        <w:rPr>
          <w:sz w:val="20"/>
          <w:szCs w:val="20"/>
          <w:rFonts w:eastAsia="Calibri" w:cs="Times New Roman" w:ascii="Times New Roman" w:hAnsi="Times New Roman"/>
          <w:lang w:val="en-US"/>
        </w:rPr>
        <w:instrText>ADDIN CSL_CITATION {"citationItems":[{"id":"ITEM-1","itemData":{"ISSN":"03637425","abstract":"Boards of directors serve two important functions for organizations: monitoring management on behalf of shareholders and providing resources. Agency theorists assert that effective monitoring is a function of a board's incentives, whereas resource dependence theorists contend that the provision of resources is a function of board capital. We combine the two perspectives and argue that board capital affects both board monitoring and the provision of resources and that board incentives moderate these relationships.","author":[{"dropping-particle":"","family":"Hillman","given":"Amy J.","non-dropping-particle":"","parse-names":false,"suffix":""},{"dropping-particle":"","family":"Dalziel","given":"Thomas","non-dropping-particle":"","parse-names":false,"suffix":""}],"container-title":"Academy of Management Review","id":"ITEM-1","issue":"3","issued":{"date-parts":[["2003"]]},"page":"383-396","title":"Boards of directors and firm performance: Integrating agency and resource dependence perspectives","type":"article-journal","volume":"28"},"uris":["http://www.mendeley.com/documents/?uuid=a177b13e-f33d-41b4-ae4d-67ca3c3398e9"]}],"mendeley":{"formattedCitation":"(Hillman &amp; Dalziel, 2003)","manualFormatting":"Hillman and Dalziel (2003","plainTextFormattedCitation":"(Hillman &amp; Dalziel, 2003)","previouslyFormattedCitation":"(Hillman &amp; Dalziel, 2003)"},"properties":{"noteIndex":0},"schema":"https://github.com/citation-style-language/schema/raw/master/csl-citation.json"}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Hillman and Dalziel (2003</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suggested, board diversity enhances better or quality decision-making, leadership and improved innovative ideas, potentially influencing the choice of institutional funding sources. Organizations with diverse and reliable funding sources often have sufficient resources to undertake various functions, positively impacting overall organizational efficiency. </w:t>
      </w:r>
    </w:p>
    <w:p>
      <w:pPr>
        <w:pStyle w:val="Normal"/>
        <w:widowControl w:val="false"/>
        <w:spacing w:lineRule="auto" w:line="252" w:before="0" w:after="0"/>
        <w:ind w:firstLine="202"/>
        <w:jc w:val="both"/>
        <w:rPr>
          <w:rFonts w:ascii="Times New Roman" w:hAnsi="Times New Roman" w:eastAsia="Calibri" w:cs="Times New Roman"/>
          <w:sz w:val="20"/>
          <w:szCs w:val="20"/>
          <w:lang w:val="en-US"/>
        </w:rPr>
      </w:pPr>
      <w:r>
        <w:fldChar w:fldCharType="begin"/>
      </w:r>
      <w:r>
        <w:rPr/>
        <w:instrText>ADDIN CSL_CITATION {"citationItems":[{"id":"ITEM-1","itemData":{"author":[{"dropping-particle":"","family":"Ararat","given":"Melsa","non-dropping-particle":"","parse-names":false,"suffix":""},{"dropping-particle":"","family":"Aksu","given":"Mine","non-dropping-particle":"","parse-names":false,"suffix":""},{"dropping-particle":"","family":"Cetin","given":"Ayse Tansel","non-dropping-particle":"","parse-names":false,"suffix":""}],"container-title":"Corporate Governance: An International Review","id":"ITEM-1","issue":"2","issued":{"date-parts":[["2015"]]},"page":"83-103","title":"How board diversity affects firm performance in emerging markets: Evidence on channels in controlled firms","type":"article-journal","volume":"23"},"uris":["http://www.mendeley.com/documents/?uuid=cdc7386c-c6a2-4a67-8a7d-32d47bf8e9ae"]}],"mendeley":{"formattedCitation":"(Ararat et al., 2015)","manualFormatting":"Ararat et al. (2015)","plainTextFormattedCitation":"(Ararat et al., 2015)","previouslyFormattedCitation":"(Ararat et al., 2015)"},"properties":{"noteIndex":0},"schema":"https://github.com/citation-style-language/schema/raw/master/csl-citation.json"}</w:instrText>
      </w:r>
      <w:r>
        <w:rPr/>
      </w:r>
      <w:r>
        <w:rPr/>
        <w:fldChar w:fldCharType="separate"/>
      </w:r>
      <w:r>
        <w:rPr/>
      </w:r>
      <w:r>
        <w:rPr>
          <w:rFonts w:eastAsia="Calibri" w:cs="Times New Roman" w:ascii="Times New Roman" w:hAnsi="Times New Roman"/>
          <w:sz w:val="20"/>
          <w:szCs w:val="20"/>
          <w:lang w:val="en-US"/>
        </w:rPr>
        <w:t>Ararat et al. (2015)</w:t>
      </w:r>
      <w:r>
        <w:rPr/>
      </w:r>
      <w:r>
        <w:rPr/>
        <w:fldChar w:fldCharType="end"/>
      </w:r>
      <w:r>
        <w:rPr>
          <w:rFonts w:eastAsia="Calibri" w:cs="Times New Roman" w:ascii="Times New Roman" w:hAnsi="Times New Roman"/>
          <w:sz w:val="20"/>
          <w:szCs w:val="20"/>
          <w:lang w:val="en-US"/>
        </w:rPr>
        <w:t xml:space="preserve"> define diversity as a situation in which the same opportunity is given to all categories of people of different characteristics. </w:t>
      </w:r>
      <w:r>
        <w:fldChar w:fldCharType="begin"/>
      </w:r>
      <w:r>
        <w:rPr>
          <w:sz w:val="20"/>
          <w:szCs w:val="20"/>
          <w:rFonts w:eastAsia="Calibri" w:cs="Times New Roman" w:ascii="Times New Roman" w:hAnsi="Times New Roman"/>
          <w:lang w:val="en-US"/>
        </w:rPr>
        <w:instrText>ADDIN CSL_CITATION {"citationItems":[{"id":"ITEM-1","itemData":{"ISSN":"10464964","abstract":"The purpose of this study was to examine the relationships between age diversity, racial diversity, and team performance in two settings with very different requirements for member interaction. Basketball and baseball were chosen as examples of activities requiring high interdependence and low interdependence, respectively. Archival data were gathered from 871 professional basketball teams and 1,082 professional baseball teams from 1950 to 1997. The results revealed that (after controlling for team ability) age diversity and racial diversity were negatively associated with basketball team performance. Diversity on both variables was unrelated to baseball team performance. These results are interpreted in terms of the interaction patterns required in the different sports.","author":[{"dropping-particle":"","family":"Timmerman","given":"Thomas A.","non-dropping-particle":"","parse-names":false,"suffix":""}],"container-title":"Small Group Research","id":"ITEM-1","issue":"5","issued":{"date-parts":[["2000"]]},"page":"592-606","title":"Racial diversity, age diversity, interdependence, and team performance","type":"article-journal","volume":"31"},"uris":["http://www.mendeley.com/documents/?uuid=ae705245-e21b-48a2-bd85-69f0e0d65744"]}],"mendeley":{"formattedCitation":"(Timmerman, 2000)","manualFormatting":"Timmerman (2000)","plainTextFormattedCitation":"(Timmerman, 2000)","previouslyFormattedCitation":"(Timmerman, 2000)"},"properties":{"noteIndex":0},"schema":"https://github.com/citation-style-language/schema/raw/master/csl-citation.json"}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Timmerman (2000)</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views it regarding demographics, including age, gender and non-observable characteristics. </w:t>
      </w:r>
      <w:r>
        <w:rPr>
          <w:rFonts w:eastAsia="Calibri" w:cs="Times New Roman" w:ascii="Times New Roman" w:hAnsi="Times New Roman"/>
          <w:sz w:val="20"/>
          <w:szCs w:val="20"/>
        </w:rPr>
        <w:t xml:space="preserve">A diverse university board plays a significant role in attaining this anticipated efficiency as they cultivate the frameworks, identify control variables and influence the funding sources </w:t>
      </w:r>
      <w:r>
        <w:fldChar w:fldCharType="begin"/>
      </w:r>
      <w:r>
        <w:rPr>
          <w:sz w:val="20"/>
          <w:szCs w:val="20"/>
          <w:rFonts w:eastAsia="Calibri" w:cs="Times New Roman" w:ascii="Times New Roman" w:hAnsi="Times New Roman"/>
        </w:rPr>
        <w:instrText>ADDIN CSL_CITATION {"citationItems":[{"id":"ITEM-1","itemData":{"author":[{"dropping-particle":"","family":"Konrad","given":"Alison M","non-dropping-particle":"","parse-names":false,"suffix":""},{"dropping-particle":"","family":"Prasad","given":"Pushkala","non-dropping-particle":"","parse-names":false,"suffix":""},{"dropping-particle":"","family":"Pringle","given":"Judith K","non-dropping-particle":"","parse-names":false,"suffix":""}],"container-title":"Academy of Management Review","id":"ITEM-1","issue":"4","issued":{"date-parts":[["2016"]]},"page":"1100-1102","publisher":"sage","title":"Handbook of Workplace Diversity","type":"article-journal","volume":"31"},"uris":["http://www.mendeley.com/documents/?uuid=b549e09c-90bc-423c-8f07-64e327754935"]}],"mendeley":{"formattedCitation":"(Konrad et al., 2016)","manualFormatting":"(Konrad et al., 2016)","plainTextFormattedCitation":"(Konrad et al., 2016)","previouslyFormattedCitation":"(Konrad et al., 2016)"},"properties":{"noteIndex":0},"schema":"https://github.com/citation-style-language/schema/raw/master/csl-citation.json"}</w:instrText>
      </w:r>
      <w:r>
        <w:rPr>
          <w:rFonts w:eastAsia="Calibri" w:cs="Times New Roman" w:ascii="Times New Roman" w:hAnsi="Times New Roman"/>
          <w:sz w:val="20"/>
          <w:szCs w:val="20"/>
        </w:rPr>
      </w:r>
      <w:r>
        <w:rPr>
          <w:sz w:val="20"/>
          <w:szCs w:val="20"/>
          <w:rFonts w:eastAsia="Calibri" w:cs="Times New Roman" w:ascii="Times New Roman" w:hAnsi="Times New Roman"/>
        </w:rPr>
        <w:fldChar w:fldCharType="separate"/>
      </w:r>
      <w:r>
        <w:rPr>
          <w:rFonts w:eastAsia="Calibri" w:cs="Times New Roman" w:ascii="Times New Roman" w:hAnsi="Times New Roman"/>
          <w:sz w:val="20"/>
          <w:szCs w:val="20"/>
        </w:rPr>
        <w:t>(Konrad et al., 2016)</w:t>
      </w:r>
      <w:r>
        <w:rPr>
          <w:rFonts w:eastAsia="Calibri" w:cs="Times New Roman" w:ascii="Times New Roman" w:hAnsi="Times New Roman"/>
          <w:sz w:val="20"/>
          <w:szCs w:val="20"/>
        </w:rPr>
      </w:r>
      <w:r>
        <w:rPr>
          <w:sz w:val="20"/>
          <w:szCs w:val="20"/>
          <w:rFonts w:eastAsia="Calibri" w:cs="Times New Roman" w:ascii="Times New Roman" w:hAnsi="Times New Roman"/>
        </w:rPr>
        <w:fldChar w:fldCharType="end"/>
      </w:r>
      <w:r>
        <w:rPr>
          <w:rFonts w:eastAsia="Calibri" w:cs="Times New Roman" w:ascii="Times New Roman" w:hAnsi="Times New Roman"/>
          <w:sz w:val="20"/>
          <w:szCs w:val="20"/>
        </w:rPr>
        <w:t xml:space="preserve">. </w:t>
      </w:r>
      <w:r>
        <w:rPr>
          <w:rFonts w:eastAsia="Calibri" w:cs="Times New Roman" w:ascii="Times New Roman" w:hAnsi="Times New Roman"/>
          <w:sz w:val="20"/>
          <w:szCs w:val="20"/>
          <w:shd w:fill="FFFFFF" w:val="clear"/>
          <w:lang w:val="en-US"/>
        </w:rPr>
        <w:t xml:space="preserve">To attain efficiency in universities, they are supposed to be governed by experienced and well-trained professionals in corporate policy and planning </w:t>
      </w:r>
      <w:r>
        <w:fldChar w:fldCharType="begin"/>
      </w:r>
      <w:r>
        <w:rPr>
          <w:sz w:val="20"/>
          <w:shd w:fill="FFFFFF" w:val="clear"/>
          <w:szCs w:val="20"/>
          <w:rFonts w:eastAsia="Calibri" w:cs="Times New Roman" w:ascii="Times New Roman" w:hAnsi="Times New Roman"/>
          <w:lang w:val="en-US"/>
        </w:rPr>
        <w:instrText>ADDIN CSL_CITATION {"citationItems":[{"id":"ITEM-1","itemData":{"author":[{"dropping-particle":"","family":"Ararat","given":"Melsa","non-dropping-particle":"","parse-names":false,"suffix":""},{"dropping-particle":"","family":"Aksu","given":"Mine","non-dropping-particle":"","parse-names":false,"suffix":""},{"dropping-particle":"","family":"Cetin","given":"Ayse Tansel","non-dropping-particle":"","parse-names":false,"suffix":""}],"container-title":"Corporate Governance: An International Review","id":"ITEM-1","issue":"2","issued":{"date-parts":[["2015"]]},"page":"83-103","title":"How board diversity affects firm performance in emerging markets: Evidence on channels in controlled firms","type":"article-journal","volume":"23"},"uris":["http://www.mendeley.com/documents/?uuid=cdc7386c-c6a2-4a67-8a7d-32d47bf8e9ae"]}],"mendeley":{"formattedCitation":"(Ararat et al., 2015)","manualFormatting":"(Ararat et al., 2015)","plainTextFormattedCitation":"(Ararat et al., 2015)","previouslyFormattedCitation":"(Ararat et al., 2015)"},"properties":{"noteIndex":0},"schema":"https://github.com/citation-style-language/schema/raw/master/csl-citation.json"}</w:instrText>
      </w:r>
      <w:r>
        <w:rPr>
          <w:rFonts w:eastAsia="Calibri" w:cs="Times New Roman" w:ascii="Times New Roman" w:hAnsi="Times New Roman"/>
          <w:sz w:val="20"/>
          <w:szCs w:val="20"/>
          <w:shd w:fill="FFFFFF" w:val="clear"/>
          <w:lang w:val="en-US"/>
        </w:rPr>
      </w:r>
      <w:r>
        <w:rPr>
          <w:sz w:val="20"/>
          <w:shd w:fill="FFFFFF" w:val="clear"/>
          <w:szCs w:val="20"/>
          <w:rFonts w:eastAsia="Calibri" w:cs="Times New Roman" w:ascii="Times New Roman" w:hAnsi="Times New Roman"/>
          <w:lang w:val="en-US"/>
        </w:rPr>
        <w:fldChar w:fldCharType="separate"/>
      </w:r>
      <w:r>
        <w:rPr>
          <w:rFonts w:eastAsia="Calibri" w:cs="Times New Roman" w:ascii="Times New Roman" w:hAnsi="Times New Roman"/>
          <w:sz w:val="20"/>
          <w:szCs w:val="20"/>
          <w:shd w:fill="FFFFFF" w:val="clear"/>
          <w:lang w:val="en-US"/>
        </w:rPr>
        <w:t>(Ararat et al., 2015)</w:t>
      </w:r>
      <w:r>
        <w:rPr>
          <w:rFonts w:eastAsia="Calibri" w:cs="Times New Roman" w:ascii="Times New Roman" w:hAnsi="Times New Roman"/>
          <w:sz w:val="20"/>
          <w:szCs w:val="20"/>
          <w:shd w:fill="FFFFFF" w:val="clear"/>
          <w:lang w:val="en-US"/>
        </w:rPr>
      </w:r>
      <w:r>
        <w:rPr>
          <w:sz w:val="20"/>
          <w:shd w:fill="FFFFFF" w:val="clear"/>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It is expected that a diverse university council should uphold all stipulated principles relating to good governance to enhance the efficiency of universities and oversight of the university management instead of becoming accomplices in mismanagement </w:t>
      </w:r>
      <w:r>
        <w:fldChar w:fldCharType="begin"/>
      </w:r>
      <w:r>
        <w:rPr>
          <w:sz w:val="20"/>
          <w:szCs w:val="20"/>
          <w:rFonts w:eastAsia="Calibri" w:cs="Times New Roman" w:ascii="Times New Roman" w:hAnsi="Times New Roman"/>
          <w:lang w:val="en-US"/>
        </w:rPr>
        <w:instrText>ADDIN CSL_CITATION {"citationItems":[{"id":"ITEM-1","itemData":{"ISBN":"978-975-8400-35-5","abstract":"Previous research brought evidence of the influence of board composition for bringing strate-gic resources for innovation, as well as evidence of positive outcomes of board diversity. Only a few studies have investigated the effects of various indicators of board diversity on innova-tion. In this article, we will explore the relationship between several aspects of board diversity (gender and age) and four types of innovation, i.e. product, process, organizational, and mar-keting, from a sample of 176 French firms based on data from French Community Innovation Survey (CIS) in 2008 and annual reports. Our results show evidence of the influence of board diversity on all types of innovation except process innovation. We find significant evidence of a positive relationship between gender diversity on boards and marketing innovation, and a negative relationship between gender diversity and product innovation. Age diversity shows a positive relationship with product innovation, and a negative impact one on organizational in-novation. Findings provide discussions for the impact of board diversity on innovation.","author":[{"dropping-particle":"","family":"Galia","given":"Fabrice","non-dropping-particle":"","parse-names":false,"suffix":""},{"dropping-particle":"","family":"Zenou","given":"Emmanuel","non-dropping-particle":"","parse-names":false,"suffix":""}],"container-title":"Conférence Internationale de Management Stratégique","id":"ITEM-1","issued":{"date-parts":[["2013"]]},"page":"10-12","title":"Does board diversity influence innovation ? The impact of gender and age diversity on innovation types","type":"paper-conference"},"uris":["http://www.mendeley.com/documents/?uuid=600ed620-dd4a-4bf5-a7b3-fd37670dfd7d"]}],"mendeley":{"formattedCitation":"(Galia &amp; Zenou, 2013)","plainTextFormattedCitation":"(Galia &amp; Zenou, 2013)","previouslyFormattedCitation":"(Galia &amp; Zenou, 2013)"},"properties":{"noteIndex":0},"schema":"https://github.com/citation-style-language/schema/raw/master/csl-citation.json"}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(Galia &amp; Zenou, 2013)</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w:t>
      </w:r>
    </w:p>
    <w:p>
      <w:pPr>
        <w:pStyle w:val="Normal"/>
        <w:widowControl w:val="false"/>
        <w:spacing w:lineRule="auto" w:line="252" w:before="0" w:after="0"/>
        <w:ind w:firstLine="202"/>
        <w:jc w:val="both"/>
        <w:rPr>
          <w:rFonts w:ascii="Times New Roman" w:hAnsi="Times New Roman" w:eastAsia="Calibri" w:cs="Times New Roman"/>
          <w:sz w:val="20"/>
          <w:szCs w:val="20"/>
          <w:lang w:val="en-US"/>
        </w:rPr>
      </w:pPr>
      <w:r>
        <w:rPr>
          <w:rFonts w:eastAsia="Calibri" w:cs="Times New Roman" w:ascii="Times New Roman" w:hAnsi="Times New Roman"/>
          <w:sz w:val="20"/>
          <w:szCs w:val="20"/>
          <w:lang w:val="en-US"/>
        </w:rPr>
        <w:t>A funding source is the means of furnishing an institution with a regular source of income for its operation, which can be done through government budget, contributions by the population, donations, sponsorships, self-generated incomes by educational institutions and various external sources, such as grants and loans granted by financial institutions (</w:t>
      </w:r>
      <w:r>
        <w:fldChar w:fldCharType="begin"/>
      </w:r>
      <w:r>
        <w:rPr>
          <w:sz w:val="20"/>
          <w:szCs w:val="20"/>
          <w:rFonts w:eastAsia="Calibri" w:cs="Times New Roman" w:ascii="Times New Roman" w:hAnsi="Times New Roman"/>
          <w:lang w:val="en-US"/>
        </w:rPr>
        <w:instrText>ADDIN CSL_CITATION {"citationItems":[{"id":"ITEM-1","itemData":{"ISSN":"18770428","abstract":"In the new operating conditions of the society in which we live, it is necessary to find new sources of funding, which, alongside the traditional sources of education funding, should provide the necessary funds deployment, the development and modernization of teaching process in higher education. The solution to this problem seems to be the education loan contracts which students often find as the best option.","author":[{"dropping-particle":"","family":"Maria","given":"Tilea Doina","non-dropping-particle":"","parse-names":false,"suffix":""},{"dropping-particle":"","family":"Bleotu","given":"Vasile","non-dropping-particle":"","parse-names":false,"suffix":""}],"container-title":"Procedia - Social and Behavioral Sciences","id":"ITEM-1","issued":{"date-parts":[["2014"]]},"page":"2226-2230","publisher":"Elsevier B.V.","title":"Modern Trends in Higher Education Funding","type":"article-journal","volume":"116"},"uris":["http://www.mendeley.com/documents/?uuid=3349f3c0-a423-43d6-8778-ffe8603a2191"]}],"mendeley":{"formattedCitation":"(Maria &amp; Bleotu, 2014)","manualFormatting":"Maria &amp; Bleotu, 2014)","plainTextFormattedCitation":"(Maria &amp; Bleotu, 2014)","previouslyFormattedCitation":"(Maria &amp; Bleotu, 2014)"},"properties":{"noteIndex":0},"schema":"https://github.com/citation-style-language/schema/raw/master/csl-citation.json"}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Maria &amp; Bleotu, 2014)</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w:t>
      </w:r>
      <w:r>
        <w:fldChar w:fldCharType="begin"/>
      </w:r>
      <w:r>
        <w:rPr>
          <w:sz w:val="20"/>
          <w:szCs w:val="20"/>
          <w:rFonts w:eastAsia="Calibri" w:cs="Times New Roman" w:ascii="Times New Roman" w:hAnsi="Times New Roman"/>
          <w:lang w:val="en-US"/>
        </w:rPr>
        <w:instrText>ADDIN CSL_CITATION {"citationItems":[{"id":"ITEM-1","itemData":{"author":[{"dropping-particle":"","family":"Salmi","given":"Jamil","non-dropping-particle":"","parse-names":false,"suffix":""},{"dropping-particle":"","family":"Hauptman","given":"Arthur M.","non-dropping-particle":"","parse-names":false,"suffix":""}],"container-title":"Higher Education in the World 2006 – The Financing of Universities","id":"ITEM-1","issue":"January 2006","issued":{"date-parts":[["2006"]]},"page":"60-83","title":"Resource Allocation Mechanisms in Tertiary Education: A Typology and an Assessment","type":"article-journal"},"uris":["http://www.mendeley.com/documents/?uuid=46f37dab-4568-40c9-af3d-77f25159fc1b","http://www.mendeley.com/documents/?uuid=6d97d7e9-d320-4892-be92-ec965513e2aa"]}],"mendeley":{"formattedCitation":"(Salmi &amp; Hauptman, 2006)","manualFormatting":"Salmi and Hauptman (2006)","plainTextFormattedCitation":"(Salmi &amp; Hauptman, 2006)","previouslyFormattedCitation":"(Salmi &amp; Hauptman, 2006)"},"properties":{"noteIndex":0},"schema":"https://github.com/citation-style-language/schema/raw/master/csl-citation.json"}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Salmi and Hauptman (2006)</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view funding sources as constituted by students’ tuition fees, loans from commercial banks, organizations, research contracts and donations by philanthropists.</w:t>
      </w:r>
    </w:p>
    <w:p>
      <w:pPr>
        <w:pStyle w:val="Normal"/>
        <w:widowControl w:val="false"/>
        <w:spacing w:lineRule="auto" w:line="252" w:before="0" w:after="0"/>
        <w:ind w:firstLine="202"/>
        <w:jc w:val="both"/>
        <w:rPr>
          <w:rFonts w:ascii="Times New Roman" w:hAnsi="Times New Roman" w:eastAsia="Calibri" w:cs="Times New Roman"/>
          <w:sz w:val="20"/>
          <w:szCs w:val="20"/>
          <w:lang w:val="en-US"/>
        </w:rPr>
      </w:pPr>
      <w:r>
        <w:rPr>
          <w:rFonts w:eastAsia="Calibri" w:cs="Times New Roman" w:ascii="Times New Roman" w:hAnsi="Times New Roman"/>
          <w:sz w:val="20"/>
          <w:szCs w:val="20"/>
          <w:lang w:val="en-US"/>
        </w:rPr>
        <w:t xml:space="preserve">There is widespread financial instability and unsustainability in many universities in developed and transitioning countries </w:t>
      </w:r>
      <w:r>
        <w:fldChar w:fldCharType="begin"/>
      </w:r>
      <w:r>
        <w:rPr>
          <w:sz w:val="20"/>
          <w:szCs w:val="20"/>
          <w:rFonts w:eastAsia="Calibri" w:cs="Times New Roman" w:ascii="Times New Roman" w:hAnsi="Times New Roman"/>
          <w:lang w:val="en-US"/>
        </w:rPr>
        <w:instrText>ADDIN CSL_CITATION {"citationItems":[{"id":"ITEM-1","itemData":{"ISSN":"2164-2559","abstract":"In the last two decades, Kenya has witnessed an exponential growth of students’ enrolment in its public universities and an oscillatory government funding in these institutions precipitating quality concerns by employers on the skills of the graduates to meet industry needs. In education finance, the sources of funds and the size of the resources are key determinants of quality education. The objective of the study was to determine the relationship between various funding sources and access to quality education in Kenya public universities using a case approach. The data collection instruments used were an interview guide, a focus group discussion guide, a student’s survey questionnaire and secondary document analysis. Data was collected from October to December 2014 in the case university from a sample population of 10 top university management staff, 36 heads of department (HoDs) and 400 undergraduate students. The study employed the education production function as a basic model of the study. The validity of the data collection instruments was established through scrutiny by thesis supervisors and the reliability test of the students’ questionnaire returned a cronbach alpha of 0.88. F-test and analysis of variance (ANOVA) methods were used with aid of the statistical package for social science (SPSS) version 2.0.The conclusion of the study was that, the sources of funds had a positive effect on quality though the results were not significant, while government capitation, tuition and other sources of funds were significantly important for the access of quality of education in the institution (P =0.30, P = 0.018, P = 0.000). The study recommended the adoption of performance based funding to enhance quality in higher education.","author":[{"dropping-particle":"","family":"Mutiso","given":"John Mutinda","non-dropping-particle":"","parse-names":false,"suffix":""},{"dropping-particle":"","family":"Onyango","given":"Prof Maria","non-dropping-particle":"","parse-names":false,"suffix":""},{"dropping-particle":"","family":"Nyagol","given":"Michael","non-dropping-particle":"","parse-names":false,"suffix":""}],"container-title":"International Journal of Business and Social Research","id":"ITEM-1","issue":"3","issued":{"date-parts":[["2015"]]},"page":"68-81","title":"Effects of Funding Sources on Access to Quality Higher Education in Public Universities in Kenya: A Case Study","type":"article-journal","volume":"5"},"uris":["http://www.mendeley.com/documents/?uuid=5a447e44-38eb-476f-92c0-3f89f3ebd944"]}],"mendeley":{"formattedCitation":"(Mutiso et al., 2015)","plainTextFormattedCitation":"(Mutiso et al., 2015)","previouslyFormattedCitation":"(Mutiso et al., 2015)"},"properties":{"noteIndex":0},"schema":"https://github.com/citation-style-language/schema/raw/master/csl-citation.json"}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(Mutiso et al., 2015)</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With limited funding sources and rising student enrollments, higher education funding must be carefully planned to maximize efficiency. Funding higher education is a means for allocating resources and a platform for facilitating interaction between funders and users. Over the years, the higher education funding share by the Kenyan government has declined relative to funding from private sources due to the development of higher education systems and austerity measures. Overall, government and per-student funding have fallen in real terms, a trend witnessed mainly in transitioning and developed economies </w:t>
      </w:r>
      <w:r>
        <w:fldChar w:fldCharType="begin"/>
      </w:r>
      <w:r>
        <w:rPr>
          <w:sz w:val="20"/>
          <w:szCs w:val="20"/>
          <w:rFonts w:eastAsia="Calibri" w:cs="Times New Roman" w:ascii="Times New Roman" w:hAnsi="Times New Roman"/>
          <w:lang w:val="en-US"/>
        </w:rPr>
        <w:instrText>ADDIN CSL_CITATION {"citationItems":[{"id":"ITEM-1","itemData":{"ISSN":"2164-2559","abstract":"In the last two decades, Kenya has witnessed an exponential growth of students’ enrolment in its public universities and an oscillatory government funding in these institutions precipitating quality concerns by employers on the skills of the graduates to meet industry needs. In education finance, the sources of funds and the size of the resources are key determinants of quality education. The objective of the study was to determine the relationship between various funding sources and access to quality education in Kenya public universities using a case approach. The data collection instruments used were an interview guide, a focus group discussion guide, a student’s survey questionnaire and secondary document analysis. Data was collected from October to December 2014 in the case university from a sample population of 10 top university management staff, 36 heads of department (HoDs) and 400 undergraduate students. The study employed the education production function as a basic model of the study. The validity of the data collection instruments was established through scrutiny by thesis supervisors and the reliability test of the students’ questionnaire returned a cronbach alpha of 0.88. F-test and analysis of variance (ANOVA) methods were used with aid of the statistical package for social science (SPSS) version 2.0.The conclusion of the study was that, the sources of funds had a positive effect on quality though the results were not significant, while government capitation, tuition and other sources of funds were significantly important for the access of quality of education in the institution (P =0.30, P = 0.018, P = 0.000). The study recommended the adoption of performance based funding to enhance quality in higher education.","author":[{"dropping-particle":"","family":"Mutiso","given":"John Mutinda","non-dropping-particle":"","parse-names":false,"suffix":""},{"dropping-particle":"","family":"Onyango","given":"Prof Maria","non-dropping-particle":"","parse-names":false,"suffix":""},{"dropping-particle":"","family":"Nyagol","given":"Michael","non-dropping-particle":"","parse-names":false,"suffix":""}],"container-title":"International Journal of Business and Social Research","id":"ITEM-1","issue":"3","issued":{"date-parts":[["2015"]]},"page":"68-81","title":"Effects of Funding Sources on Access to Quality Higher Education in Public Universities in Kenya: A Case Study","type":"article-journal","volume":"5"},"uris":["http://www.mendeley.com/documents/?uuid=5a447e44-38eb-476f-92c0-3f89f3ebd944"]}],"mendeley":{"formattedCitation":"(Mutiso et al., 2015)","plainTextFormattedCitation":"(Mutiso et al., 2015)","previouslyFormattedCitation":"(Mutiso et al., 2015)"},"properties":{"noteIndex":0},"schema":"https://github.com/citation-style-language/schema/raw/master/csl-citation.json"}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(Mutiso et al., 2015)</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Funding sources in Kenyan universities include </w:t>
      </w:r>
      <w:bookmarkStart w:id="2" w:name="_Hlk139621897"/>
      <w:bookmarkStart w:id="3" w:name="_Hlk139641995"/>
      <w:r>
        <w:rPr>
          <w:rFonts w:eastAsia="Calibri" w:cs="Times New Roman" w:ascii="Times New Roman" w:hAnsi="Times New Roman"/>
          <w:sz w:val="20"/>
          <w:szCs w:val="20"/>
          <w:lang w:val="en-US"/>
        </w:rPr>
        <w:t xml:space="preserve">government capitation, student fees, other internally generated revenue, and grants and donations from development partners or partner institutions </w:t>
      </w:r>
      <w:bookmarkEnd w:id="3"/>
      <w:r>
        <w:rPr>
          <w:rFonts w:eastAsia="Calibri" w:cs="Times New Roman" w:ascii="Times New Roman" w:hAnsi="Times New Roman"/>
          <w:sz w:val="20"/>
          <w:szCs w:val="20"/>
          <w:lang w:val="en-US"/>
        </w:rPr>
        <w:t xml:space="preserve">as categorized by CUE </w:t>
      </w:r>
      <w:bookmarkEnd w:id="2"/>
      <w:r>
        <w:rPr>
          <w:rFonts w:eastAsia="Calibri" w:cs="Times New Roman" w:ascii="Times New Roman" w:hAnsi="Times New Roman"/>
          <w:sz w:val="20"/>
          <w:szCs w:val="20"/>
          <w:lang w:val="en-US"/>
        </w:rPr>
        <w:t>since they can easily be derived from the audited financial accounts of each university and expressed as proportion of each funding source to the total funds.</w:t>
      </w:r>
    </w:p>
    <w:p>
      <w:pPr>
        <w:pStyle w:val="Normal"/>
        <w:widowControl w:val="false"/>
        <w:spacing w:lineRule="auto" w:line="252" w:before="0" w:after="0"/>
        <w:ind w:firstLine="202"/>
        <w:jc w:val="both"/>
        <w:rPr>
          <w:rFonts w:ascii="Times New Roman" w:hAnsi="Times New Roman" w:eastAsia="Calibri" w:cs="Times New Roman"/>
          <w:sz w:val="20"/>
          <w:szCs w:val="20"/>
          <w:lang w:val="en-US"/>
        </w:rPr>
      </w:pPr>
      <w:r>
        <w:rPr>
          <w:rFonts w:eastAsia="Calibri" w:cs="Times New Roman" w:ascii="Times New Roman" w:hAnsi="Times New Roman"/>
          <w:sz w:val="20"/>
          <w:szCs w:val="20"/>
          <w:lang w:val="en-US"/>
        </w:rPr>
        <w:t xml:space="preserve">Efficiency is an optimal situation in a production process where the operational dynamics are such that there is an optimal output for a specified input capacity or nominal input for a specified output level </w:t>
      </w:r>
      <w:r>
        <w:fldChar w:fldCharType="begin"/>
      </w:r>
      <w:r>
        <w:rPr>
          <w:sz w:val="20"/>
          <w:szCs w:val="20"/>
          <w:rFonts w:eastAsia="Calibri" w:cs="Times New Roman" w:ascii="Times New Roman" w:hAnsi="Times New Roman"/>
          <w:lang w:val="en-US"/>
        </w:rPr>
        <w:instrText>ADDIN CSL_CITATION {"citationItems":[{"id":"ITEM-1","itemData":{"author":[{"dropping-particle":"","family":"Barra","given":"Cristian","non-dropping-particle":"","parse-names":false,"suffix":""},{"dropping-particle":"","family":"Zotti","given":"Roberto","non-dropping-particle":"","parse-names":false,"suffix":""}],"container-title":"Quaderno Di Ricerca","id":"ITEM-1","issued":{"date-parts":[["2013"]]},"page":"1-30","title":"Measuring Teaching and Research Efficiency in Higher Education Using Data Envelopment Analysis: A Case Study from the University of Salerno","type":"article-journal","volume":"3"},"uris":["http://www.mendeley.com/documents/?uuid=e8c7006c-6e5d-40fd-84dd-1eec7ee0cd99"]}],"mendeley":{"formattedCitation":"(Barra &amp; Zotti, 2013)","plainTextFormattedCitation":"(Barra &amp; Zotti, 2013)","previouslyFormattedCitation":"(Barra &amp; Zotti, 2013)"},"properties":{"noteIndex":0},"schema":"https://github.com/citation-style-language/schema/raw/master/csl-citation.json"}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(Barra &amp; Zotti, 2013)</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w:t>
      </w:r>
      <w:r>
        <w:fldChar w:fldCharType="begin"/>
      </w:r>
      <w:r>
        <w:rPr>
          <w:sz w:val="20"/>
          <w:szCs w:val="20"/>
          <w:rFonts w:eastAsia="Calibri" w:cs="Times New Roman" w:ascii="Times New Roman" w:hAnsi="Times New Roman"/>
          <w:lang w:val="en-US"/>
        </w:rPr>
        <w:instrText>ADDIN CSL_CITATION {"citationItems":[{"id":"ITEM-1","itemData":{"author":[{"dropping-particle":"","family":"Munoz","given":"David A","non-dropping-particle":"","parse-names":false,"suffix":""}],"container-title":"International Journal of Educational Management","id":"ITEM-1","issue":"6","issued":{"date-parts":[["2016"]]},"title":"Assessing the research efficiency of higher education institutions in Chile – a data envelopment analysis approach","type":"article-journal","volume":"30"},"uris":["http://www.mendeley.com/documents/?uuid=eb3730bb-a859-4ffa-bea0-d4da41f0e524"]}],"mendeley":{"formattedCitation":"(Munoz, 2016)","manualFormatting":"Munoz (2016)","plainTextFormattedCitation":"(Munoz, 2016)","previouslyFormattedCitation":"(Munoz, 2016)"},"properties":{"noteIndex":0},"schema":"https://github.com/citation-style-language/schema/raw/master/csl-citation.json"}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Munoz (2016)</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categorizes efficiency in higher education into four key types: allocative efficiency, technical efficiency, overall efficiency and scale efficiency. This study was based on technical efficiency, identified as how efficiently an institution designates the physical inputs available to produce a specific output level, which implies the ability to generate the utmost possible production from a specific set of inputs. This study will adopt the view that entities using the least number of inputs per output were regarded as technically efficient relative to their peers. </w:t>
      </w:r>
    </w:p>
    <w:p>
      <w:pPr>
        <w:pStyle w:val="Normal"/>
        <w:widowControl w:val="false"/>
        <w:spacing w:lineRule="auto" w:line="252" w:before="0" w:after="0"/>
        <w:ind w:firstLine="202"/>
        <w:jc w:val="both"/>
        <w:rPr>
          <w:rFonts w:ascii="Times New Roman" w:hAnsi="Times New Roman" w:eastAsia="Calibri" w:cs="Times New Roman"/>
          <w:color w:val="000000" w:themeColor="text1"/>
          <w:sz w:val="20"/>
          <w:szCs w:val="20"/>
          <w:lang w:val="en-US"/>
        </w:rPr>
      </w:pPr>
      <w:r>
        <w:rPr>
          <w:rFonts w:eastAsia="Calibri" w:cs="Times New Roman" w:ascii="Times New Roman" w:hAnsi="Times New Roman"/>
          <w:color w:val="000000" w:themeColor="text1"/>
          <w:sz w:val="20"/>
          <w:szCs w:val="20"/>
          <w:lang w:val="en-US"/>
        </w:rPr>
        <w:t xml:space="preserve">The inputs/outputs selection for DEA is essential in determining the efficiency score. </w:t>
      </w:r>
      <w:r>
        <w:rPr>
          <w:rFonts w:eastAsia="Calibri" w:cs="Times New Roman" w:ascii="Times New Roman" w:hAnsi="Times New Roman"/>
          <w:color w:val="000000" w:themeColor="text1"/>
          <w:sz w:val="20"/>
          <w:szCs w:val="20"/>
        </w:rPr>
        <w:t>In the use of DEA, the resources are known as “inputs”, while the outcomes are referred to as “outputs”. In identifying a DMU’s inputs and outputs, one should capture all the resources that affect the outputs. The outputs should reflect all the valuable outcomes we wish to assess the DMUs.</w:t>
      </w:r>
      <w:r>
        <w:rPr>
          <w:rFonts w:eastAsia="Calibri" w:cs="Times New Roman" w:ascii="Times New Roman" w:hAnsi="Times New Roman"/>
          <w:color w:val="000000" w:themeColor="text1"/>
          <w:sz w:val="20"/>
          <w:szCs w:val="20"/>
          <w:lang w:val="en-US"/>
        </w:rPr>
        <w:t xml:space="preserve"> According to </w:t>
      </w:r>
      <w:r>
        <w:fldChar w:fldCharType="begin"/>
      </w:r>
      <w:r>
        <w:rPr>
          <w:sz w:val="20"/>
          <w:szCs w:val="20"/>
          <w:rFonts w:eastAsia="Calibri" w:cs="Times New Roman" w:ascii="Times New Roman" w:hAnsi="Times New Roman"/>
          <w:color w:val="000000"/>
          <w:lang w:val="en-US"/>
        </w:rPr>
        <w:instrText>ADDIN CSL_CITATION {"citationItems":[{"id":"ITEM-1","itemData":{"abstract":"The results of using data envelopment analysis (DEA) to assess the relative efficiency of 45 Canadian universities are reported. Outcomes are obtained from nine different specifications of inputs and outputs. The relative efficiencies are quite consistent across the alternative specifications. A subset of universities - including universities from each of three categories (comprehensive with medical school, comprehensive without medical school, and primarily undergraduate) - are regularly found efficient and a subset quite inefficient but, overall and for most universities, the efficiency scores are relatively high. Simulation of the recent 20-percent cut in provincial grants to the Alberta universities illustrates how potential efficiency improvements (as implied and measured by this methodology) might be realized but it also illustrates cer- tain limitations. Regression analysis is used in an effort to identify further determinants of efficiency. While there are limitations to the methodology and the available (especially output) measures which make the specific efficiency outcomes tentative, this analysis provides insight to university productivity in Canada and its analysis","author":[{"dropping-particle":"","family":"L.","given":"McMillan Melville","non-dropping-particle":"","parse-names":false,"suffix":""},{"dropping-particle":"","family":"Datta","given":"Debasish","non-dropping-particle":"","parse-names":false,"suffix":""}],"container-title":"Canadian Public Policy-Analyse de politiques,","id":"ITEM-1","issue":"4","issued":{"date-parts":[["1998"]]},"page":"485-511","title":"The Relative of Canadian Efficiencies Universities : A DEA","type":"article-journal","volume":"24"},"uris":["http://www.mendeley.com/documents/?uuid=9d7cc477-314e-40bf-b7ec-b26f451f3251"]}],"mendeley":{"formattedCitation":"(L. &amp; Datta, 1998)","manualFormatting":"McMillan and Datta (1998)","plainTextFormattedCitation":"(L. &amp; Datta, 1998)","previouslyFormattedCitation":"(L. &amp; Datta, 1998)"},"properties":{"noteIndex":0},"schema":"https://github.com/citation-style-language/schema/raw/master/csl-citation.json"}</w:instrTex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separate"/>
      </w:r>
      <w:r>
        <w:rPr>
          <w:rFonts w:eastAsia="Calibri" w:cs="Times New Roman" w:ascii="Times New Roman" w:hAnsi="Times New Roman"/>
          <w:color w:val="000000" w:themeColor="text1"/>
          <w:sz w:val="20"/>
          <w:szCs w:val="20"/>
          <w:lang w:val="en-US"/>
        </w:rPr>
        <w:t>McMillan and Datta (1998)</w: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end"/>
      </w:r>
      <w:r>
        <w:rPr>
          <w:rFonts w:eastAsia="Calibri" w:cs="Times New Roman" w:ascii="Times New Roman" w:hAnsi="Times New Roman"/>
          <w:color w:val="000000" w:themeColor="text1"/>
          <w:sz w:val="20"/>
          <w:szCs w:val="20"/>
          <w:lang w:val="en-US"/>
        </w:rPr>
        <w:t xml:space="preserve">, selecting inputs and outputs should consider the DMU’s specialization. The output and input measures should reflect a university’s role, performance, and function, including community service, research and teaching. Hence, the choice of inputs, the number of academic personnel (teaching), expenditure (teaching and research), outputs, the number of graduates and web metric rankings (community service, research and teaching). Some of the studies that used the number of academic staff as input include those of </w:t>
      </w:r>
      <w:r>
        <w:fldChar w:fldCharType="begin"/>
      </w:r>
      <w:r>
        <w:rPr>
          <w:sz w:val="20"/>
          <w:szCs w:val="20"/>
          <w:rFonts w:eastAsia="Calibri" w:cs="Times New Roman" w:ascii="Times New Roman" w:hAnsi="Times New Roman"/>
          <w:color w:val="000000"/>
          <w:lang w:val="en-US"/>
        </w:rPr>
        <w:instrText>ADDIN CSL_CITATION {"citationItems":[{"id":"ITEM-1","itemData":{"ISBN":"0964529070152","ISSN":"09645292","abstract":"We employ Data Envelopment Analysis to compute the technical efficiency of Italian and English higher education institutions. Our results show that, in relation to the country-specific frontier, institutions in both countries are typically very efficient. However, institutions in England are more efficient than those in Italy when we compare jointly their performances. We also look at the evolution of technical efficiency scores over a four-year period, and find that, in line with an error-correction hypothesis, Italian universities are improving their technical efficiency while English universities are obtaining stable scores. Policy implications are addressed.","author":[{"dropping-particle":"","family":"Agasisti","given":"Tommaso","non-dropping-particle":"","parse-names":false,"suffix":""},{"dropping-particle":"","family":"Johnes","given":"Geraint","non-dropping-particle":"","parse-names":false,"suffix":""}],"container-title":"Education Economics","id":"ITEM-1","issue":"1","issued":{"date-parts":[["2009"]]},"page":"59-79","title":"Beyond frontiers: Comparing the efficiency of higher education decision-making units across more than one country","type":"article-journal","volume":"17"},"uris":["http://www.mendeley.com/documents/?uuid=2148a10a-c606-44a1-9508-b94fc6a59365"]}],"mendeley":{"formattedCitation":"(Agasisti &amp; Johnes, 2009)","plainTextFormattedCitation":"(Agasisti &amp; Johnes, 2009)","previouslyFormattedCitation":"(Agasisti &amp; Johnes, 2009)"},"properties":{"noteIndex":0},"schema":"https://github.com/citation-style-language/schema/raw/master/csl-citation.json"}</w:instrTex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separate"/>
      </w:r>
      <w:r>
        <w:rPr>
          <w:rFonts w:eastAsia="Calibri" w:cs="Times New Roman" w:ascii="Times New Roman" w:hAnsi="Times New Roman"/>
          <w:color w:val="000000" w:themeColor="text1"/>
          <w:sz w:val="20"/>
          <w:szCs w:val="20"/>
          <w:lang w:val="en-US"/>
        </w:rPr>
        <w:t>Agasisti and Johnes (2009)</w: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end"/>
      </w:r>
      <w:r>
        <w:rPr>
          <w:rFonts w:eastAsia="Calibri" w:cs="Times New Roman" w:ascii="Times New Roman" w:hAnsi="Times New Roman"/>
          <w:color w:val="000000" w:themeColor="text1"/>
          <w:sz w:val="20"/>
          <w:szCs w:val="20"/>
          <w:lang w:val="en-US"/>
        </w:rPr>
        <w:t xml:space="preserve">, </w:t>
      </w:r>
      <w:r>
        <w:fldChar w:fldCharType="begin"/>
      </w:r>
      <w:r>
        <w:rPr>
          <w:sz w:val="20"/>
          <w:szCs w:val="20"/>
          <w:rFonts w:eastAsia="Calibri" w:cs="Times New Roman" w:ascii="Times New Roman" w:hAnsi="Times New Roman"/>
          <w:color w:val="000000"/>
          <w:lang w:val="en-US"/>
        </w:rPr>
        <w:instrText>ADDIN CSL_CITATION {"citationItems":[{"id":"ITEM-1","itemData":{"ISSN":"00380121","abstract":"Performance indicators in the public sector have often been criticised for being inadequate and not conducive to analysing efficiency. The main objective of this study is to use data envelopment analysis (DEA) to examine the relative efficiency of Australian universities. Three performance models are developed, namely, overall performance, performance on delivery of educational services, and performance on fee-paying enrolments. The findings based on 1995 data show that the university sector was performing well on technical and scale efficiency but there was room for improving performance on fee-paying enrolments. There were also small slacks in input utilisation. More universities were operating at decreasing returns to scale, indicating a potential to downsize. DEA helps in identifying the reference sets for inefficient institutions and objectively determines productivity improvements. As such, it can be a valuable benchmarking tool for educational administrators and assist in more efficient allocation of scarce resources. In the absence of market mechanisms to price educational outputs, which renders traditional production or cost functions inappropriate, universities are particularly obliged to seek alternative efficiency analysis methods such as DEA. © 2001 Elsevier Science Ltd. All rights reserved.","author":[{"dropping-particle":"","family":"Avkiran","given":"Necmi K.","non-dropping-particle":"","parse-names":false,"suffix":""}],"container-title":"Socio-Economic Planning Sciences","id":"ITEM-1","issue":"1","issued":{"date-parts":[["2001"]]},"page":"57-80","title":"Investigating technical and scale efficiencies of Australian universities through data envelopment analysis","type":"article-journal","volume":"35"},"uris":["http://www.mendeley.com/documents/?uuid=5b3fed1e-0db4-402a-a84b-c4d46e35dbed"]}],"mendeley":{"formattedCitation":"(Avkiran, 2001)","manualFormatting":"Avkiran (2001)","plainTextFormattedCitation":"(Avkiran, 2001)","previouslyFormattedCitation":"(Avkiran, 2001)"},"properties":{"noteIndex":0},"schema":"https://github.com/citation-style-language/schema/raw/master/csl-citation.json"}</w:instrTex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separate"/>
      </w:r>
      <w:r>
        <w:rPr>
          <w:rFonts w:eastAsia="Calibri" w:cs="Times New Roman" w:ascii="Times New Roman" w:hAnsi="Times New Roman"/>
          <w:color w:val="000000" w:themeColor="text1"/>
          <w:sz w:val="20"/>
          <w:szCs w:val="20"/>
          <w:lang w:val="en-US"/>
        </w:rPr>
        <w:t>Avkiran (2001)</w: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end"/>
      </w:r>
      <w:r>
        <w:rPr>
          <w:rFonts w:eastAsia="Calibri" w:cs="Times New Roman" w:ascii="Times New Roman" w:hAnsi="Times New Roman"/>
          <w:color w:val="000000" w:themeColor="text1"/>
          <w:sz w:val="20"/>
          <w:szCs w:val="20"/>
          <w:lang w:val="en-US"/>
        </w:rPr>
        <w:t>,</w:t>
      </w:r>
      <w:r>
        <w:rPr>
          <w:rFonts w:eastAsia="Calibri" w:cs="Times New Roman" w:ascii="Times New Roman" w:hAnsi="Times New Roman"/>
          <w:color w:val="FF0000"/>
          <w:sz w:val="20"/>
          <w:szCs w:val="20"/>
          <w:lang w:val="en-US"/>
        </w:rPr>
        <w:t xml:space="preserve"> </w:t>
      </w:r>
      <w:r>
        <w:rPr>
          <w:rFonts w:eastAsia="Calibri" w:cs="Times New Roman" w:ascii="Times New Roman" w:hAnsi="Times New Roman"/>
          <w:color w:val="000000" w:themeColor="text1"/>
          <w:sz w:val="20"/>
          <w:szCs w:val="20"/>
          <w:lang w:val="en-US"/>
        </w:rPr>
        <w:t xml:space="preserve">and </w:t>
      </w:r>
      <w:r>
        <w:fldChar w:fldCharType="begin"/>
      </w:r>
      <w:r>
        <w:rPr>
          <w:sz w:val="20"/>
          <w:szCs w:val="20"/>
          <w:rFonts w:eastAsia="Calibri" w:cs="Times New Roman" w:ascii="Times New Roman" w:hAnsi="Times New Roman"/>
          <w:color w:val="000000"/>
          <w:lang w:val="en-US"/>
        </w:rPr>
        <w:instrText>ADDIN CSL_CITATION {"citationItems":[{"id":"ITEM-1","itemData":{"ISSN":"00487333","abstract":"In this study the technical efficiency of number of public European and American HEIs is assessed over a decade. Efficiency scores are determined using nonparametric DEA with different input-output sets and considering different frontiers: global frontier (all HEIs pooled together), regional frontier (Europe and the U.S. having their own frontiers) and country-specific ones. The external factors affecting the degree of HEI inefficiency are also investigated, e.g. institutional settings (size and department composition), location and funding structure. Specifically, the results indicate a positive association between both regional GDP per capita and number of departments and an institution's efficiency (for both the European and U.S. samples). On average, older European HEIs are more efficient, but this is not confirmed for American ones. Finally, government funding seems to have a negative effect on the efficiency of universities in Europe, which again is not confirmed for the U.S. However, some country heterogeneity at the European level is found through intensive sensitivity analysis.","author":[{"dropping-particle":"","family":"Wolszczak-Derlacz","given":"Joanna","non-dropping-particle":"","parse-names":false,"suffix":""}],"container-title":"Research Policy","id":"ITEM-1","issue":"9","issued":{"date-parts":[["2017"]]},"page":"1595-1605","publisher":"Elsevier","title":"An evaluation and explanation of (in)efficiency in higher education institutions in Europe and the U.S. with the application of two-stage semi-parametric DEA","type":"article-journal","volume":"46"},"uris":["http://www.mendeley.com/documents/?uuid=629f0f0b-af2a-4c33-a6ae-3dcd4ce813bd"]}],"mendeley":{"formattedCitation":"(Wolszczak-Derlacz, 2017)","plainTextFormattedCitation":"(Wolszczak-Derlacz, 2017)","previouslyFormattedCitation":"(Wolszczak-Derlacz, 2017)"},"properties":{"noteIndex":0},"schema":"https://github.com/citation-style-language/schema/raw/master/csl-citation.json"}</w:instrTex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separate"/>
      </w:r>
      <w:r>
        <w:rPr>
          <w:rFonts w:eastAsia="Calibri" w:cs="Times New Roman" w:ascii="Times New Roman" w:hAnsi="Times New Roman"/>
          <w:color w:val="000000" w:themeColor="text1"/>
          <w:sz w:val="20"/>
          <w:szCs w:val="20"/>
          <w:lang w:val="en-US"/>
        </w:rPr>
        <w:t>Wolszczak-Derlacz (2017)</w: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end"/>
      </w:r>
      <w:r>
        <w:rPr>
          <w:rFonts w:eastAsia="Calibri" w:cs="Times New Roman" w:ascii="Times New Roman" w:hAnsi="Times New Roman"/>
          <w:color w:val="000000" w:themeColor="text1"/>
          <w:sz w:val="20"/>
          <w:szCs w:val="20"/>
          <w:lang w:val="en-US"/>
        </w:rPr>
        <w:t xml:space="preserve">, while those that use expenditure include those of </w:t>
      </w:r>
      <w:r>
        <w:fldChar w:fldCharType="begin"/>
      </w:r>
      <w:r>
        <w:rPr>
          <w:sz w:val="20"/>
          <w:szCs w:val="20"/>
          <w:rFonts w:eastAsia="Calibri" w:cs="Times New Roman" w:ascii="Times New Roman" w:hAnsi="Times New Roman"/>
          <w:color w:val="000000"/>
          <w:lang w:val="en-US"/>
        </w:rPr>
        <w:instrText>ADDIN CSL_CITATION {"citationItems":[{"id":"ITEM-1","itemData":{"ISSN":"1300-5340","author":[{"dropping-particle":"","family":"Erkoç","given":"Taptuk Emre","non-dropping-particle":"","parse-names":false,"suffix":""}],"container-title":"Hacettepe University Journal of Education","id":"ITEM-1","issued":{"date-parts":[["2016"]]},"page":"1-1","title":"Measuring Efficiencies of Turkish Public Universities with Non-Parametric Efficiency Estimation Method","type":"article-journal"},"uris":["http://www.mendeley.com/documents/?uuid=504e9baa-6024-4760-b05f-c95ae6954794"]}],"mendeley":{"formattedCitation":"(Erkoç, 2016)","manualFormatting":"Erkoç (2016)","plainTextFormattedCitation":"(Erkoç, 2016)","previouslyFormattedCitation":"(Erkoç, 2016)"},"properties":{"noteIndex":0},"schema":"https://github.com/citation-style-language/schema/raw/master/csl-citation.json"}</w:instrTex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separate"/>
      </w:r>
      <w:r>
        <w:rPr>
          <w:rFonts w:eastAsia="Calibri" w:cs="Times New Roman" w:ascii="Times New Roman" w:hAnsi="Times New Roman"/>
          <w:color w:val="000000" w:themeColor="text1"/>
          <w:sz w:val="20"/>
          <w:szCs w:val="20"/>
          <w:lang w:val="en-US"/>
        </w:rPr>
        <w:t>Erkoç (2016)</w: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end"/>
      </w:r>
      <w:r>
        <w:rPr>
          <w:rFonts w:eastAsia="Calibri" w:cs="Times New Roman" w:ascii="Times New Roman" w:hAnsi="Times New Roman"/>
          <w:color w:val="000000" w:themeColor="text1"/>
          <w:sz w:val="20"/>
          <w:szCs w:val="20"/>
          <w:lang w:val="en-US"/>
        </w:rPr>
        <w:t xml:space="preserve">, </w:t>
      </w:r>
      <w:r>
        <w:fldChar w:fldCharType="begin"/>
      </w:r>
      <w:r>
        <w:rPr>
          <w:sz w:val="20"/>
          <w:szCs w:val="20"/>
          <w:rFonts w:eastAsia="Calibri" w:cs="Times New Roman" w:ascii="Times New Roman" w:hAnsi="Times New Roman"/>
          <w:color w:val="000000"/>
          <w:lang w:val="en-US"/>
        </w:rPr>
        <w:instrText>ADDIN CSL_CITATION {"citationItems":[{"id":"ITEM-1","itemData":{"ISSN":"18770509","abstract":"Assessing the efficiency of universities is vital for effective allocation and utilization of educational resources. In this paper, a data envelopment analysis (DEA) model for jointly evaluating the relative teaching and research efficiencies of universities was presented. The inputs and outputs for university performance measurement were first identified. They comprise a total of 16 measures which are believed to be essential. A variant of DEA called joint DEA maximization was used to model and evaluate these measures. The model was tested using a hypothetical example and its use and implications in university performance measurement were described. The application of DEA enables academics to identify deficient activities in their universities and take appropriate actions for improvement. © 2010 Published by Elsevier Ltd.","author":[{"dropping-particle":"","family":"Kuah","given":"Chuen Tse","non-dropping-particle":"","parse-names":false,"suffix":""},{"dropping-particle":"","family":"Wong","given":"Kuan Yew","non-dropping-particle":"","parse-names":false,"suffix":""}],"container-title":"Procedia Computer Science","id":"ITEM-1","issued":{"date-parts":[["2011"]]},"page":"499-506","publisher":"Elsevier","title":"Efficiency assessment of universities through data envelopment analysis","type":"article-journal","volume":"3"},"uris":["http://www.mendeley.com/documents/?uuid=2fd66f2d-0f32-4576-bf33-19b8af26d92d"]}],"mendeley":{"formattedCitation":"(Kuah &amp; Wong, 2011)","manualFormatting":"Kuah and Wong (2011)","plainTextFormattedCitation":"(Kuah &amp; Wong, 2011)","previouslyFormattedCitation":"(Kuah &amp; Wong, 2011)"},"properties":{"noteIndex":0},"schema":"https://github.com/citation-style-language/schema/raw/master/csl-citation.json"}</w:instrTex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separate"/>
      </w:r>
      <w:r>
        <w:rPr>
          <w:rFonts w:eastAsia="Calibri" w:cs="Times New Roman" w:ascii="Times New Roman" w:hAnsi="Times New Roman"/>
          <w:color w:val="000000" w:themeColor="text1"/>
          <w:sz w:val="20"/>
          <w:szCs w:val="20"/>
          <w:lang w:val="en-US"/>
        </w:rPr>
        <w:t>Kuah and Wong (2011)</w: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end"/>
      </w:r>
      <w:r>
        <w:rPr>
          <w:rFonts w:eastAsia="Calibri" w:cs="Times New Roman" w:ascii="Times New Roman" w:hAnsi="Times New Roman"/>
          <w:color w:val="FF0000"/>
          <w:sz w:val="20"/>
          <w:szCs w:val="20"/>
          <w:lang w:val="en-US"/>
        </w:rPr>
        <w:t xml:space="preserve"> </w:t>
      </w:r>
      <w:r>
        <w:rPr>
          <w:rFonts w:eastAsia="Calibri" w:cs="Times New Roman" w:ascii="Times New Roman" w:hAnsi="Times New Roman"/>
          <w:color w:val="000000" w:themeColor="text1"/>
          <w:sz w:val="20"/>
          <w:szCs w:val="20"/>
          <w:lang w:val="en-US"/>
        </w:rPr>
        <w:t xml:space="preserve">and </w:t>
      </w:r>
      <w:r>
        <w:fldChar w:fldCharType="begin"/>
      </w:r>
      <w:r>
        <w:rPr>
          <w:sz w:val="20"/>
          <w:szCs w:val="20"/>
          <w:rFonts w:eastAsia="Calibri" w:cs="Times New Roman" w:ascii="Times New Roman" w:hAnsi="Times New Roman"/>
          <w:color w:val="000000"/>
          <w:lang w:val="en-US"/>
        </w:rPr>
        <w:instrText>ADDIN CSL_CITATION {"citationItems":[{"id":"ITEM-1","itemData":{"ISSN":"03135926","abstract":"The motivation of the study stems from the results reported in the Excellence in Research for Australia (ERA) 2010 report. The report showed that only 12 universities performed research at or above international standards, of which, the Group of Eight (G8) universities filled the top eight spots. While performance of universities was based on number of research outputs, total amount of research income and other quantitative indicators, the measure of efficiency or productivity was not considered. The objectives of this paper are twofold. First, to provide a review of the research performance of 37 Australian universities using the data envelopment analysis (DEA) bootstrap approach of Simar and Wilson (2007). Second, to determine sources of productivity drivers by regressing the efficiency scores against a set of environmental variables.","author":[{"dropping-particle":"","family":"Lee","given":"Boon L.","non-dropping-particle":"","parse-names":false,"suffix":""}],"container-title":"Economic Analysis and Policy","id":"ITEM-1","issue":"3","issued":{"date-parts":[["2011"]]},"page":"195-203","title":"Efficiency of Research Performance of Australian Universities: A Reappraisal using a Bootstrap Truncated Regression Approach","type":"article-journal","volume":"41"},"uris":["http://www.mendeley.com/documents/?uuid=a1bdc1bd-bb39-4b75-ac74-596f00d47896"]}],"mendeley":{"formattedCitation":"(Lee, 2011)","manualFormatting":"Lee (2011)","plainTextFormattedCitation":"(Lee, 2011)","previouslyFormattedCitation":"(Lee, 2011)"},"properties":{"noteIndex":0},"schema":"https://github.com/citation-style-language/schema/raw/master/csl-citation.json"}</w:instrTex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separate"/>
      </w:r>
      <w:r>
        <w:rPr>
          <w:rFonts w:eastAsia="Calibri" w:cs="Times New Roman" w:ascii="Times New Roman" w:hAnsi="Times New Roman"/>
          <w:color w:val="000000" w:themeColor="text1"/>
          <w:sz w:val="20"/>
          <w:szCs w:val="20"/>
          <w:lang w:val="en-US"/>
        </w:rPr>
        <w:t>Lee (2011)</w: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end"/>
      </w:r>
      <w:r>
        <w:rPr>
          <w:rFonts w:eastAsia="Calibri" w:cs="Times New Roman" w:ascii="Times New Roman" w:hAnsi="Times New Roman"/>
          <w:color w:val="000000" w:themeColor="text1"/>
          <w:sz w:val="20"/>
          <w:szCs w:val="20"/>
          <w:lang w:val="en-US"/>
        </w:rPr>
        <w:t xml:space="preserve">. Regarding the selection of outputs, </w:t>
      </w:r>
      <w:r>
        <w:fldChar w:fldCharType="begin"/>
      </w:r>
      <w:r>
        <w:rPr>
          <w:sz w:val="20"/>
          <w:szCs w:val="20"/>
          <w:rFonts w:eastAsia="Calibri" w:cs="Times New Roman" w:ascii="Times New Roman" w:hAnsi="Times New Roman"/>
          <w:color w:val="000000"/>
          <w:lang w:val="en-US"/>
        </w:rPr>
        <w:instrText>ADDIN CSL_CITATION {"citationItems":[{"id":"ITEM-1","itemData":{"ISSN":"09582029","abstract":"This study examines the productivity growth of Spanish universities over the period 1994-2008. The Malmquist index is used to illustrate the contribution of efficiency and technological change to changes in the universities' productivity. The results indicate that annual productivity growth is attributable largely to efficiency improvements rather than technological progress. Gains in scale efficiency appear to have played only a minor role in productivity gains. The results contribute to the knowledge of the university system in Spain, describing different university behaviours that could be useful for management at the institutional and national level. © 2013. Published by Oxford University Press.","author":[{"dropping-particle":"","family":"García-Aracil","given":"Adela","non-dropping-particle":"","parse-names":false,"suffix":""}],"container-title":"Research Evaluation","id":"ITEM-1","issue":"5","issued":{"date-parts":[["2013"]]},"page":"351-368","title":"Understanding productivity changes in public universities: Evidence from Spain","type":"article-journal","volume":"22"},"uris":["http://www.mendeley.com/documents/?uuid=b7dd056b-5226-44f3-91fb-7e67db85ee5a"]}],"mendeley":{"formattedCitation":"(García-Aracil, 2013)","plainTextFormattedCitation":"(García-Aracil, 2013)","previouslyFormattedCitation":"(García-Aracil, 2013)"},"properties":{"noteIndex":0},"schema":"https://github.com/citation-style-language/schema/raw/master/csl-citation.json"}</w:instrTex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separate"/>
      </w:r>
      <w:r>
        <w:rPr>
          <w:rFonts w:eastAsia="Calibri" w:cs="Times New Roman" w:ascii="Times New Roman" w:hAnsi="Times New Roman"/>
          <w:color w:val="000000" w:themeColor="text1"/>
          <w:sz w:val="20"/>
          <w:szCs w:val="20"/>
          <w:lang w:val="en-US"/>
        </w:rPr>
        <w:t>García-Aracil (2013)</w: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end"/>
      </w:r>
      <w:r>
        <w:rPr>
          <w:rFonts w:eastAsia="Calibri" w:cs="Times New Roman" w:ascii="Times New Roman" w:hAnsi="Times New Roman"/>
          <w:color w:val="FF0000"/>
          <w:sz w:val="20"/>
          <w:szCs w:val="20"/>
          <w:lang w:val="en-US"/>
        </w:rPr>
        <w:t xml:space="preserve"> </w:t>
      </w:r>
      <w:r>
        <w:rPr>
          <w:rFonts w:eastAsia="Calibri" w:cs="Times New Roman" w:ascii="Times New Roman" w:hAnsi="Times New Roman"/>
          <w:color w:val="000000" w:themeColor="text1"/>
          <w:sz w:val="20"/>
          <w:szCs w:val="20"/>
          <w:lang w:val="en-US"/>
        </w:rPr>
        <w:t xml:space="preserve">and </w:t>
      </w:r>
      <w:r>
        <w:fldChar w:fldCharType="begin"/>
      </w:r>
      <w:r>
        <w:rPr>
          <w:sz w:val="20"/>
          <w:szCs w:val="20"/>
          <w:rFonts w:eastAsia="Calibri" w:cs="Times New Roman" w:ascii="Times New Roman" w:hAnsi="Times New Roman"/>
          <w:color w:val="000000"/>
          <w:lang w:val="en-US"/>
        </w:rPr>
        <w:instrText>ADDIN CSL_CITATION {"citationItems":[{"id":"ITEM-1","itemData":{"ISBN":"1467-9957","abstract":"This paper explores the issue of efficiency in English higher education using data envelopment analysis and stochastic frontier analysis to estimate an output distance function (which incorporates measures of both quantity and quality of teaching and research inputs and outputs) over a thirteen-year period. The study compares the efficiency estimates derived from various estimation methods, and uses the results to provide guidance to researchers, managers and policy-makers on undertaking efficiency studies. The length of the study under consideration allows a preliminary statistical investigation of the effects on efficiency of merger activity in higher education","author":[{"dropping-particle":"","family":"Johnes","given":"Jill","non-dropping-particle":"","parse-names":false,"suffix":""}],"container-title":"Manchester School","id":"ITEM-1","issue":"4","issued":{"date-parts":[["2013"]]},"page":"465-487","title":"Efficiency and mergers in English higher education 1996/97 to 2008/09: Parametric and non-parametric estimation of the multi-input multi-output distance function","type":"article-journal","volume":"82"},"uris":["http://www.mendeley.com/documents/?uuid=238a43f5-6888-4217-83e5-491c1988da05"]}],"mendeley":{"formattedCitation":"(Johnes, 2013)","manualFormatting":"Johnes (2013)","plainTextFormattedCitation":"(Johnes, 2013)","previouslyFormattedCitation":"(Johnes, 2013)"},"properties":{"noteIndex":0},"schema":"https://github.com/citation-style-language/schema/raw/master/csl-citation.json"}</w:instrTex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separate"/>
      </w:r>
      <w:r>
        <w:rPr>
          <w:rFonts w:eastAsia="Calibri" w:cs="Times New Roman" w:ascii="Times New Roman" w:hAnsi="Times New Roman"/>
          <w:color w:val="000000" w:themeColor="text1"/>
          <w:sz w:val="20"/>
          <w:szCs w:val="20"/>
          <w:lang w:val="en-US"/>
        </w:rPr>
        <w:t>Johnes (2013)</w: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end"/>
      </w:r>
      <w:r>
        <w:rPr>
          <w:rFonts w:eastAsia="Calibri" w:cs="Times New Roman" w:ascii="Times New Roman" w:hAnsi="Times New Roman"/>
          <w:color w:val="000000" w:themeColor="text1"/>
          <w:sz w:val="20"/>
          <w:szCs w:val="20"/>
          <w:lang w:val="en-US"/>
        </w:rPr>
        <w:t xml:space="preserve"> used the number of graduands, while </w:t>
      </w:r>
      <w:r>
        <w:fldChar w:fldCharType="begin"/>
      </w:r>
      <w:r>
        <w:rPr>
          <w:sz w:val="20"/>
          <w:szCs w:val="20"/>
          <w:rFonts w:eastAsia="Calibri" w:cs="Times New Roman" w:ascii="Times New Roman" w:hAnsi="Times New Roman"/>
          <w:color w:val="000000"/>
          <w:lang w:val="en-US"/>
        </w:rPr>
        <w:instrText>ADDIN CSL_CITATION {"citationItems":[{"id":"ITEM-1","itemData":{"abstract":"With continuous growth of students’ enrolments in the public universities and limited funding, assessing the efficiency of universities is vital for effective allocation and utilisation of educational resources. Are higher education institutions in South Africa making the most efficient use of resources made available to them? This study attempts to provide an answer to this question. We apply a Data Envelopment Analysis (DEA) method to estimate technical efficiency (TE) of 22 public universities in South Africa for the period 2009 to 2013. A university is said to be efficient if it is producing maximum output (number of graduates and publications) from a minimum quantity of inputs (staff numbers, students’ enrolments, and expenditure). The results indicate that over the study period the average TE of universities declined from 0.83 to 0.78. Research-intensive universities were more efficient than professional-oriented universities. These results can help key decision-makers such as the Commission on Higher Education and universities management in identifying possibilities for improving institutional performance by identifying their strengths and weaknesses and benchmarking with their peers. Keywords:","author":[{"dropping-particle":"","family":"Myeki","given":"L.W.","non-dropping-particle":"","parse-names":false,"suffix":""},{"dropping-particle":"","family":"Temoso","given":"O.","non-dropping-particle":"","parse-names":false,"suffix":""}],"container-title":"South African Journal of Higher Education","id":"ITEM-1","issue":"5","issued":{"date-parts":[["2019"]]},"page":"264-280","title":"Efficiency assessment of public universities in South Africa, 2009-2013: Panel data evidence","type":"article-journal","volume":"33"},"uris":["http://www.mendeley.com/documents/?uuid=93c3b497-0301-44cb-9707-1c58572fbbf1"]}],"mendeley":{"formattedCitation":"(Myeki &amp; Temoso, 2019)","plainTextFormattedCitation":"(Myeki &amp; Temoso, 2019)","previouslyFormattedCitation":"(Myeki &amp; Temoso, 2019)"},"properties":{"noteIndex":0},"schema":"https://github.com/citation-style-language/schema/raw/master/csl-citation.json"}</w:instrTex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separate"/>
      </w:r>
      <w:r>
        <w:rPr>
          <w:rFonts w:eastAsia="Calibri" w:cs="Times New Roman" w:ascii="Times New Roman" w:hAnsi="Times New Roman"/>
          <w:color w:val="000000" w:themeColor="text1"/>
          <w:sz w:val="20"/>
          <w:szCs w:val="20"/>
          <w:lang w:val="en-US"/>
        </w:rPr>
        <w:t>Myeki and Temoso (2019)</w: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end"/>
      </w:r>
      <w:r>
        <w:rPr>
          <w:rFonts w:eastAsia="Calibri" w:cs="Times New Roman" w:ascii="Times New Roman" w:hAnsi="Times New Roman"/>
          <w:color w:val="FF0000"/>
          <w:sz w:val="20"/>
          <w:szCs w:val="20"/>
          <w:lang w:val="en-US"/>
        </w:rPr>
        <w:t xml:space="preserve"> </w:t>
      </w:r>
      <w:r>
        <w:rPr>
          <w:rFonts w:eastAsia="Calibri" w:cs="Times New Roman" w:ascii="Times New Roman" w:hAnsi="Times New Roman"/>
          <w:color w:val="000000" w:themeColor="text1"/>
          <w:sz w:val="20"/>
          <w:szCs w:val="20"/>
          <w:lang w:val="en-US"/>
        </w:rPr>
        <w:t xml:space="preserve">and </w:t>
      </w:r>
      <w:r>
        <w:fldChar w:fldCharType="begin"/>
      </w:r>
      <w:r>
        <w:rPr>
          <w:sz w:val="20"/>
          <w:szCs w:val="20"/>
          <w:rFonts w:eastAsia="Calibri" w:cs="Times New Roman" w:ascii="Times New Roman" w:hAnsi="Times New Roman"/>
          <w:color w:val="000000"/>
          <w:lang w:val="en-US"/>
        </w:rPr>
        <w:instrText>ADDIN CSL_CITATION {"citationItems":[{"id":"ITEM-1","itemData":{"ISSN":"1043951X","abstract":"To address challenges for the 21st century, the Chinese government initiated a series of higher education reforms to support the open-door policy of China. Part of the education reform involves an allocation of additional funding of US$ 20 billion to a group of 112 universities to strengthen their research capabilities with an ultimate goal for them to become national catalysts for raising Chinese educational standards to world-class quality. The target university group is known as Project 211 universities. Other non-Project 211 universities have not received such resources. This paper is the first to provide rigorous assessment of the impact of the latest higher education reform on the performance of Chinese universities for the period 2007-2009.Evidence from meta-frontier analysis reveals that the reform had intended impact on the Chinese universities in our sample. Project 211 universities, on average, performed better than the non-Project 211 group and managerial inefficiency is the key attribute of low overall productive efficiency. Unlike Project 211 universities, non-Project 211 universities have limited access to the best available technology. However, the Malmquist productivity index suggests that Project 211 universities experienced more severe productivity regress than non-Project 211 universities. Our mixed evidence may reflect economy-wide conditions and warrant further research. Nevertheless, evidence suggests that the higher education reforms should be broadened to allow non-Project 211 universities to compete with Project 211 universities for additional financial support required to enhance their research capability.","author":[{"dropping-particle":"","family":"Yaisawarng","given":"Suthathip","non-dropping-particle":"","parse-names":false,"suffix":""},{"dropping-particle":"","family":"Ng","given":"Ying Chu","non-dropping-particle":"","parse-names":false,"suffix":""}],"container-title":"China Economic Review","id":"ITEM-1","issued":{"date-parts":[["2014"]]},"page":"94-105","publisher":"Elsevier Inc.","title":"The impact of higher education reform on research performance of Chinese universities","type":"article-journal","volume":"31"},"uris":["http://www.mendeley.com/documents/?uuid=ef7ef27c-f89f-4510-9211-aab35926fc2b"]}],"mendeley":{"formattedCitation":"(Yaisawarng &amp; Ng, 2014)","manualFormatting":"Yaisawarng and Ng (2014)","plainTextFormattedCitation":"(Yaisawarng &amp; Ng, 2014)","previouslyFormattedCitation":"(Yaisawarng &amp; Ng, 2014)"},"properties":{"noteIndex":0},"schema":"https://github.com/citation-style-language/schema/raw/master/csl-citation.json"}</w:instrTex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separate"/>
      </w:r>
      <w:r>
        <w:rPr>
          <w:rFonts w:eastAsia="Calibri" w:cs="Times New Roman" w:ascii="Times New Roman" w:hAnsi="Times New Roman"/>
          <w:color w:val="000000" w:themeColor="text1"/>
          <w:sz w:val="20"/>
          <w:szCs w:val="20"/>
          <w:lang w:val="en-US"/>
        </w:rPr>
        <w:t>Yaisawarng and Ng (2014)</w:t>
      </w:r>
      <w:r>
        <w:rPr>
          <w:rFonts w:eastAsia="Calibri" w:cs="Times New Roman" w:ascii="Times New Roman" w:hAnsi="Times New Roman"/>
          <w:color w:val="000000" w:themeColor="text1"/>
          <w:sz w:val="20"/>
          <w:szCs w:val="20"/>
          <w:lang w:val="en-US"/>
        </w:rPr>
      </w:r>
      <w:r>
        <w:rPr>
          <w:sz w:val="20"/>
          <w:szCs w:val="20"/>
          <w:rFonts w:eastAsia="Calibri" w:cs="Times New Roman" w:ascii="Times New Roman" w:hAnsi="Times New Roman"/>
          <w:color w:val="000000"/>
          <w:lang w:val="en-US"/>
        </w:rPr>
        <w:fldChar w:fldCharType="end"/>
      </w:r>
      <w:r>
        <w:rPr>
          <w:rFonts w:eastAsia="Calibri" w:cs="Times New Roman" w:ascii="Times New Roman" w:hAnsi="Times New Roman"/>
          <w:color w:val="FF0000"/>
          <w:sz w:val="20"/>
          <w:szCs w:val="20"/>
          <w:lang w:val="en-US"/>
        </w:rPr>
        <w:t xml:space="preserve"> </w:t>
      </w:r>
      <w:r>
        <w:rPr>
          <w:rFonts w:eastAsia="Calibri" w:cs="Times New Roman" w:ascii="Times New Roman" w:hAnsi="Times New Roman"/>
          <w:color w:val="000000" w:themeColor="text1"/>
          <w:sz w:val="20"/>
          <w:szCs w:val="20"/>
          <w:lang w:val="en-US"/>
        </w:rPr>
        <w:t>used Webometric ranking. This research uses input/output variables directly related to the actual situation of the universities: the number of academic personnel, total expenditure, the total graduands, and the webometrics rankings of universities in Kenya.</w:t>
      </w:r>
    </w:p>
    <w:p>
      <w:pPr>
        <w:pStyle w:val="Normal"/>
        <w:widowControl w:val="false"/>
        <w:spacing w:lineRule="auto" w:line="252" w:before="0" w:after="0"/>
        <w:ind w:firstLine="202"/>
        <w:jc w:val="both"/>
        <w:rPr>
          <w:rFonts w:ascii="Times New Roman" w:hAnsi="Times New Roman" w:eastAsia="Calibri" w:cs="Times New Roman"/>
          <w:sz w:val="20"/>
          <w:szCs w:val="20"/>
          <w:lang w:val="en-US"/>
        </w:rPr>
      </w:pPr>
      <w:r>
        <w:rPr>
          <w:rFonts w:eastAsia="Calibri" w:cs="Times New Roman" w:ascii="Times New Roman" w:hAnsi="Times New Roman"/>
          <w:sz w:val="20"/>
          <w:szCs w:val="20"/>
          <w:lang w:val="en-US"/>
        </w:rPr>
        <w:t xml:space="preserve">In Kenya, the university boards are diverse in age, tenure, gender, expertise, and academic credentials, although these attributes vary from one institution to the other. Universities in Kenya are currently confronted by myriad systemic challenges emanating from different sources </w:t>
      </w:r>
      <w:r>
        <w:fldChar w:fldCharType="begin"/>
      </w:r>
      <w:r>
        <w:rPr>
          <w:sz w:val="20"/>
          <w:szCs w:val="20"/>
          <w:rFonts w:eastAsia="Calibri" w:cs="Times New Roman" w:ascii="Times New Roman" w:hAnsi="Times New Roman"/>
          <w:lang w:val="en-US"/>
        </w:rPr>
        <w:instrText>ADDIN CSL_CITATION {"citationItems":[{"id":"ITEM-1","itemData":{"author":[{"dropping-particle":"","family":"CUE","given":"","non-dropping-particle":"","parse-names":false,"suffix":""}],"id":"ITEM-1","issued":{"date-parts":[["2021"]]},"title":"State of University Education in Kenya (2020/2021), Commission of University Education","type":"report"},"uris":["http://www.mendeley.com/documents/?uuid=176dc660-9d03-423d-bfce-814b3737e091"]}],"mendeley":{"formattedCitation":"(CUE, 2021)","plainTextFormattedCitation":"(CUE, 2021)","previouslyFormattedCitation":"(CUE, 2021)"},"properties":{"noteIndex":0},"schema":"https://github.com/citation-style-language/schema/raw/master/csl-citation.json"}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(CUE, 2021)</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The dynamic and fast growth of universities in Kenya in the last five years has put institutions of higher learning under siege occasioned by poor governance, a shortage of teaching staff, and limited facilities </w:t>
      </w:r>
      <w:r>
        <w:fldChar w:fldCharType="begin"/>
      </w:r>
      <w:r>
        <w:rPr>
          <w:sz w:val="20"/>
          <w:szCs w:val="20"/>
          <w:rFonts w:eastAsia="Calibri" w:cs="Times New Roman" w:ascii="Times New Roman" w:hAnsi="Times New Roman"/>
          <w:lang w:val="en-US"/>
        </w:rPr>
        <w:instrText>ADDIN CSL_CITATION {"citationItems":[{"id":"ITEM-1","itemData":{"ISSN":"2326-3873","abstract":"The contribution of university education to sustainable development of society has become one of the most important activities of higher education institutions. After 55 years of independence, it is time to take a critical look at the role of university education in nation building in Kenya. Since independence, access and difficulties of maintaining standards of quality and efficiency with marginal available resources- more recently highlighted by a commission on higher education report- have been some of the key challenges in university education and these have impacted on the sector","author":[{"dropping-particle":"","family":"Odhiambo","given":"George","non-dropping-particle":"","parse-names":false,"suffix":""}],"container-title":"Forum for International Research in Education","id":"ITEM-1","issue":"3","issued":{"date-parts":[["2018"]]},"page":"191-209","title":"The role of Kenyan universities in national development","type":"article-journal","volume":"4"},"uris":["http://www.mendeley.com/documents/?uuid=3792fa36-1280-4412-8028-0ead9392b23c"]},{"id":"ITEM-2","itemData":{"author":[{"dropping-particle":"","family":"Zeleza","given":"Paul. T","non-dropping-particle":"","parse-names":false,"suffix":""}],"container-title":"Elephant","id":"ITEM-2","issued":{"date-parts":[["2019"]]},"publisher-place":"Nairobi","title":"The Crisis Facing Higher Education and What Can Be Done About It","type":"article-magazine"},"uris":["http://www.mendeley.com/documents/?uuid=daca00a3-785b-499f-82d9-526fedb4bfea"]}],"mendeley":{"formattedCitation":"(Odhiambo, 2018; Zeleza, 2019)","plainTextFormattedCitation":"(Odhiambo, 2018; Zeleza, 2019)","previouslyFormattedCitation":"(Odhiambo, 2018; Zeleza, 2019)"},"properties":{"noteIndex":0},"schema":"https://github.com/citation-style-language/schema/raw/master/csl-citation.json"}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(Odhiambo, 2018; Zeleza, 2019)</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The universities in Kenya have shown significant inefficiencies attributable to reduced government funding, frequent student and lecturer strikes, and lack of curriculum standardization. The COVID-19 outbreak has negatively affected the overall performance of Kenyan universities by almost paralyzing the entire sector owing to declining student numbers, reduced state funding, delayed fee payment by students, and increased study deferrals. This has primarily affected the efficiency of universities in Kenya. Although most universities have diversified their financial base owing to reduced state funding, many institutions are greatly grappling with the challenge of maintaining a sufficient level of finance to support their operations on a day-to-day basis. Universities are fiercely competing to attract students who can afford to pay exorbitant fees. This has forced universities to overlook the mandatory quality regulatory measures as they shift focus to revenue-generating courses. </w:t>
      </w:r>
    </w:p>
    <w:p>
      <w:pPr>
        <w:pStyle w:val="ListParagraph"/>
        <w:keepNext w:val="true"/>
        <w:numPr>
          <w:ilvl w:val="0"/>
          <w:numId w:val="1"/>
        </w:numPr>
        <w:spacing w:lineRule="auto" w:line="240" w:before="120" w:after="60"/>
        <w:contextualSpacing/>
        <w:outlineLvl w:val="1"/>
        <w:rPr>
          <w:rFonts w:eastAsia="PMingLiU" w:cs="Times New Roman"/>
          <w:i/>
          <w:i/>
          <w:iCs/>
          <w:sz w:val="20"/>
          <w:szCs w:val="20"/>
          <w:lang w:val="en-US"/>
        </w:rPr>
      </w:pPr>
      <w:r>
        <w:rPr>
          <w:rFonts w:eastAsia="PMingLiU" w:cs="Times New Roman"/>
          <w:i/>
          <w:iCs/>
          <w:sz w:val="20"/>
          <w:szCs w:val="20"/>
          <w:lang w:val="en-US"/>
        </w:rPr>
        <w:t>Problem Statement</w:t>
      </w:r>
    </w:p>
    <w:p>
      <w:pPr>
        <w:pStyle w:val="Normal"/>
        <w:widowControl w:val="false"/>
        <w:spacing w:lineRule="auto" w:line="252" w:before="0" w:after="0"/>
        <w:ind w:firstLine="202"/>
        <w:jc w:val="both"/>
        <w:rPr>
          <w:rFonts w:ascii="Times New Roman" w:hAnsi="Times New Roman" w:eastAsia="Calibri" w:cs="Times New Roman"/>
          <w:sz w:val="20"/>
          <w:szCs w:val="20"/>
          <w:highlight w:val="white"/>
          <w:lang w:val="en-US"/>
        </w:rPr>
      </w:pPr>
      <w:r>
        <w:rPr>
          <w:rFonts w:eastAsia="Calibri" w:cs="Times New Roman" w:ascii="Times New Roman" w:hAnsi="Times New Roman"/>
          <w:sz w:val="20"/>
          <w:szCs w:val="20"/>
          <w:shd w:fill="FFFFFF" w:val="clear"/>
          <w:lang w:val="en-US"/>
        </w:rPr>
        <w:t>Among Kenyan universities, some universities have demonstrated higher levels of efficiency in comparison to others. It is, therefore, essential to empirically investigate whether these disparities can be traced to board diversity and funding sources. Most universities are not operating at an optimal level of efficiency due to governance issues, lack of sufficient funds from internal and external sources, shortage of academic staff, and lack of innovative programs. Moreover, the COVID-19 pandemic has significantly reduced student enrolment, wiping out the revenues generated from self-sponsored programs. This has forced some universities to downsize, reduce the salaries of some staff, send some employees on leave, and restructure their governance structure, including programs, among other intervention measures, to survive. Regrettably, some institutions have been forced to delay remitting statutory deductions, loan remittances, and medical premiums. Though board diversity is theoretically linked with improved efficiency, the empirical literature, on the other hand, has been inconclusive owing to mixed findings ranging from positive and neutral to negative linkage.</w:t>
      </w:r>
    </w:p>
    <w:p>
      <w:pPr>
        <w:pStyle w:val="Normal"/>
        <w:widowControl w:val="false"/>
        <w:spacing w:lineRule="auto" w:line="252" w:before="0" w:after="0"/>
        <w:ind w:firstLine="202"/>
        <w:jc w:val="both"/>
        <w:rPr>
          <w:rFonts w:ascii="Times New Roman" w:hAnsi="Times New Roman" w:eastAsia="Calibri" w:cs="Times New Roman"/>
          <w:sz w:val="20"/>
          <w:szCs w:val="20"/>
          <w:lang w:val="en-US"/>
        </w:rPr>
      </w:pPr>
      <w:r>
        <w:rPr>
          <w:rFonts w:eastAsia="Calibri" w:cs="Times New Roman" w:ascii="Times New Roman" w:hAnsi="Times New Roman"/>
          <w:sz w:val="20"/>
          <w:szCs w:val="20"/>
          <w:shd w:fill="FFFFFF" w:val="clear"/>
          <w:lang w:val="en-US"/>
        </w:rPr>
        <w:t xml:space="preserve">The absence of convergence in the empirical literature is credited to conceptual, contextual, and methodological gaps. At a conceptual level, mixed findings can be attributed to the selection and operationalization of the study variables. </w:t>
      </w:r>
      <w:r>
        <w:rPr>
          <w:rFonts w:eastAsia="Calibri" w:cs="Times New Roman" w:ascii="Times New Roman" w:hAnsi="Times New Roman"/>
          <w:sz w:val="20"/>
          <w:szCs w:val="20"/>
          <w:lang w:val="en-US"/>
        </w:rPr>
        <w:t xml:space="preserve">There is no universal definition and indicators of board diversity, funding sources, and efficiency owing to the heterogeneity of metrics employed by prior empirical works. Some studies are bivariate, focusing only on board diversity and efficiency and signifying significant correlation (e.g. </w:t>
      </w:r>
      <w:r>
        <w:fldChar w:fldCharType="begin"/>
      </w:r>
      <w:r>
        <w:rPr>
          <w:sz w:val="20"/>
          <w:szCs w:val="20"/>
          <w:rFonts w:eastAsia="Calibri" w:cs="Times New Roman" w:ascii="Times New Roman" w:hAnsi="Times New Roman"/>
          <w:lang w:val="en-US"/>
        </w:rPr>
        <w:instrText>ADDIN CSL_CITATION {"citationItems":[{"id":"ITEM-1","itemData":{"ISSN":"14720701","abstract":"Purpose: This study aims to analyze the efficiency of banks under board gender diversity and to examine the determinants of bank efficiency. Design/methodology/approach: Data for analysis were sourced from annual reports of 21 banks for the period from 2009 to 2017. A two-step framework was used: first, an examination of efficiency scores with and without board gender diversity computed using data envelopment analysis; and second, a regression of board gender diversity as a determinant of bank efficiency using panel estimation on an unbalanced panel data. Findings: The results reveal that gender diversity promotes bank efficiency up to a maximum of two female directors on a nine-member board of directors, suggesting a threshold effect on bank efficiency. Board size improves bank efficiency. Board independence is negatively related to bank efficiency. Also, powerful chief executive officers are detrimental for bank efficiency. Finally, the authors find that ownership structure, bank size, bank age and loan-to-deposit ratio are important factors affecting bank efficiency. Research limitations/implications: All bank-year observations with no female representation on the board were excluded. As such, this paper is limited to 21 banks. Future research should look at a larger data set and account for dynamic endogeneity. Practical implications: The paper contributes to bank governance structure, namely, gender composition of boards, and provides an insight for regulators and shareholders to estimate the role of men and women on boards. Originality/value: The novel feature of the efficiency model used is that it incorporates board gender diversity as an additional input variable, in line with the preposition of proponent of resource dependency theory.","author":[{"dropping-particle":"","family":"Adeabah","given":"David","non-dropping-particle":"","parse-names":false,"suffix":""},{"dropping-particle":"","family":"Gyeke-Dako","given":"Agyapomaa","non-dropping-particle":"","parse-names":false,"suffix":""},{"dropping-particle":"","family":"Andoh","given":"Charles","non-dropping-particle":"","parse-names":false,"suffix":""}],"container-title":"Corporate Governance (Bingley)","id":"ITEM-1","issue":"2","issued":{"date-parts":[["2019"]]},"page":"299-320","title":"Board gender diversity, corporate governance and bank efficiency in Ghana: A Two-Stage data envelope analysis (DEA) approach","type":"article-journal","volume":"19"},"uris":["http://www.mendeley.com/documents/?uuid=5a32dc66-0200-4da7-b947-ac753c1075e2"]}],"mendeley":{"formattedCitation":"(Adeabah et al., 2019)","manualFormatting":"Adeabah et al., 2019","plainTextFormattedCitation":"(Adeabah et al., 2019)","previouslyFormattedCitation":"(Adeabah et al., 2019)"},"properties":{"noteIndex":0},"schema":"https://github.com/citation-style-language/schema/raw/master/csl-citation.json"}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Adeabah et al., 2019</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w:t>
      </w:r>
      <w:r>
        <w:fldChar w:fldCharType="begin"/>
      </w:r>
      <w:r>
        <w:rPr>
          <w:sz w:val="20"/>
          <w:szCs w:val="20"/>
          <w:rFonts w:eastAsia="Calibri" w:cs="Times New Roman" w:ascii="Times New Roman" w:hAnsi="Times New Roman"/>
          <w:lang w:val="en-US"/>
        </w:rPr>
        <w:instrText>ADDIN CSL_CITATION {"citationItems":[{"id":"ITEM-1","itemData":{"author":[{"dropping-particle":"","family":"Alfiero","given":"Simona","non-dropping-particle":"","parse-names":false,"suffix":""},{"dropping-particle":"","family":"Cane","given":"Massimo","non-dropping-particle":"","parse-names":false,"suffix":""},{"dropping-particle":"","family":"Doronzo","given":"Ruggiero","non-dropping-particle":"","parse-names":false,"suffix":""},{"dropping-particle":"","family":"Esposito","given":"Alfredo","non-dropping-particle":"","parse-names":false,"suffix":""}],"container-title":"International Business Management","id":"ITEM-1","issue":"3","issued":{"date-parts":[["2019"]]},"page":"92 -100","title":"Board Diversity and Efficiency Evaluation Evidence from European Listed Manufacturing Companies","type":"article-journal","volume":"13"},"uris":["http://www.mendeley.com/documents/?uuid=120ab694-71cf-44cd-92d7-11c4287cd6bc"]}],"mendeley":{"formattedCitation":"(Alfiero et al., 2019)","manualFormatting":"Alfiero et al., 2019","plainTextFormattedCitation":"(Alfiero et al., 2019)","previouslyFormattedCitation":"(Alfiero et al., 2019)"},"properties":{"noteIndex":0},"schema":"https://github.com/citation-style-language/schema/raw/master/csl-citation.json"}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Alfiero et al., 2019</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w:t>
      </w:r>
      <w:r>
        <w:fldChar w:fldCharType="begin"/>
      </w:r>
      <w:r>
        <w:rPr>
          <w:sz w:val="20"/>
          <w:szCs w:val="20"/>
          <w:rFonts w:eastAsia="Calibri" w:cs="Times New Roman" w:ascii="Times New Roman" w:hAnsi="Times New Roman"/>
          <w:lang w:val="en-US"/>
        </w:rPr>
        <w:instrText>ADDIN CSL_CITATION {"citationItems":[{"id":"ITEM-1","itemData":{"ISSN":"14720701","abstract":"Purpose: The purpose of this paper is to explore how multiple facets of board diversity influence technical efficiency (TE) and total factor productivity (TFP). Design/methodology/approach: The authors measure board diversity in two dimensions: relation-related dimension (age and gender) and task-related dimension (tenure, education and expertise). The authors use a balanced panel data of 806 nonfinancial Chinese firms over the period 2009–2017. The authors use a two-stage approach for analysis. In the first stage, the authors use a non-parametric frontier approach to calculate the TE and factor productivity scores. In the second stage, the authors regressed these scores on board diversity attributes (relation-related diversity and task-related diversity). Findings: By using tobit regression and two-step system GMM, the authors find that board diversity improves TE and TFP. The authors’ analyses illustrate that a higher diversity on corporate board (in terms of age, gender, tenure, education and expertise) positively influence firm efficiency. Practical implications: The findings have important implications for policymakers. The findings suggest that regulators should devise policies to encourage board diversity. Because a diverse board can bring knowledge, skills, abilities, expertise and experience of diverse group members, which will ultimately enhance a firm’s efficiency. Especially, in the emerging markets (such as China), there is still a need for standard governance mechanisms; therefore, the authors suggest that policymakers should develop regulations and promote diversity of directors as one of the factors for improving the governance mechanisms, which will ultimately improve firms productivity. Originality/value: Prior studies mostly considered only one dimension (such as gender) of diversity and, therefore, have overlooked how other dimensions influence firms. The authors consider several dimensions of diversity and quantify them into relation-related (age and gender) and task-related (tenure, education and expertise) attributes and show how they influence firms’ efficiency. To the best of the authors’ knowledge, this is the first study to comprehensively investigate how several facets of diversity influence a firm’s TE and TFP.","author":[{"dropping-particle":"","family":"Ali","given":"Farman","non-dropping-particle":"","parse-names":false,"suffix":""},{"dropping-particle":"","family":"Wang","given":"Man","non-dropping-particle":"","parse-names":false,"suffix":""},{"dropping-particle":"","family":"Jebran","given":"Khalil","non-dropping-particle":"","parse-names":false,"suffix":""},{"dropping-particle":"","family":"Ali","given":"Syed Tauseef","non-dropping-particle":"","parse-names":false,"suffix":""}],"container-title":"Corporate Governance (Bingley)","id":"ITEM-1","issue":"4","issued":{"date-parts":[["2021"]]},"page":"587-607","title":"Board diversity and firm efficiency: evidence from China","type":"article-journal","volume":"21"},"uris":["http://www.mendeley.com/documents/?uuid=597ef335-dc7f-45fd-802a-98a3498d01b6"]}],"mendeley":{"formattedCitation":"(Ali et al., 2021)","manualFormatting":"Ali et al., 2021","plainTextFormattedCitation":"(Ali et al., 2021)","previouslyFormattedCitation":"(Ali et al., 2021)"},"properties":{"noteIndex":0},"schema":"https://github.com/citation-style-language/schema/raw/master/csl-citation.json"}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Ali et al., 2021</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In contrast, some studies have integrated moderators, contributing to contradictory outcomes (</w:t>
      </w:r>
      <w:bookmarkStart w:id="4" w:name="_Hlk147698635"/>
      <w:r>
        <w:rPr>
          <w:rFonts w:eastAsia="Calibri" w:cs="Times New Roman" w:ascii="Times New Roman" w:hAnsi="Times New Roman"/>
          <w:sz w:val="20"/>
          <w:szCs w:val="20"/>
          <w:lang w:val="en-US"/>
        </w:rPr>
        <w:t xml:space="preserve">Coupet, 2017; </w:t>
      </w:r>
      <w:r>
        <w:fldChar w:fldCharType="begin"/>
      </w:r>
      <w:r>
        <w:rPr>
          <w:sz w:val="20"/>
          <w:szCs w:val="20"/>
          <w:rFonts w:eastAsia="Calibri" w:cs="Times New Roman" w:ascii="Times New Roman" w:hAnsi="Times New Roman"/>
          <w:lang w:val="en-US"/>
        </w:rPr>
        <w:instrText>ADDIN CSL_CITATION {"citationItems":[{"id":"ITEM-1","itemData":{"abstract":"This paper investigates the relationships among board gender diversity, firm performance, and firm size. Our paper provides new insights into the relationship between board gender diversity and firm performance by examining whether firm size alters the impact of board gender diversity on firm performance. We use a panel data from A-share-listed non-financial firms in China to examine the relationship during the period of 2007–2012. Our finding demonstrates that the gender diver- sity on the board has a positive impact on firm performance if and only if the value of firm size is less than some critical value. In addition, we also find that firm size may undermine the positive impact of board gender diversity on firm performance. This paper contributes to the literature by offering a contingency approach to examine the relationship between board gender diversity and firm performance as well as shedding light on the relationship in the context of a developing economy","author":[{"dropping-particle":"","family":"Li","given":"Haishan","non-dropping-particle":"","parse-names":false,"suffix":""},{"dropping-particle":"","family":"Chen","given":"Peng","non-dropping-particle":"","parse-names":false,"suffix":""}],"container-title":"Business Ethics: A European Review","id":"ITEM-1","issued":{"date-parts":[["2018"]]},"page":"1-15","title":"Board gender diversity and firm performance : The moderating role of firm size","type":"article-journal"},"uris":["http://www.mendeley.com/documents/?uuid=e3cfed39-e5b9-4d0c-8370-bc38e86a6076"]}],"mendeley":{"formattedCitation":"(Li &amp; Chen, 2018)","manualFormatting":"Li &amp; Chen, 2018","plainTextFormattedCitation":"(Li &amp; Chen, 2018)","previouslyFormattedCitation":"(Li &amp; Chen, 2018)"},"properties":{"noteIndex":0},"schema":"https://github.com/citation-style-language/schema/raw/master/csl-citation.json"}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Li &amp; Chen, 2018</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w:t>
      </w:r>
      <w:r>
        <w:fldChar w:fldCharType="begin"/>
      </w:r>
      <w:r>
        <w:rPr>
          <w:sz w:val="20"/>
          <w:szCs w:val="20"/>
          <w:rFonts w:eastAsia="Calibri" w:cs="Times New Roman" w:ascii="Times New Roman" w:hAnsi="Times New Roman"/>
          <w:lang w:val="en-US"/>
        </w:rPr>
        <w:instrText>ADDIN CSL_CITATION {"citationItems":[{"id":"ITEM-1","itemData":{"abstract":"This paper builds on a two- stage Data Envelopment Analysis to determine factors on the efficiency of universities in Turkey in 2006-2010. The first stage is concerned with data envelopment analysis to measure the efficiency of the universities. This is followed by factors that affect the efficiency of the universities. The results of the model demonstrate that, the effect of project allocations found to be insignificant. Additionally, number of students per academic has a positive effect on relative efficiency of universities in Turkey. It is seen the highest increase at doctorate level. Employment and number of publications, as expected, have positive effect on efficiency. Because the central government budget appropriations has a negative effect on efficiency, the higher education institutions in Turkey may lead to the search for alternative financing such as Triple Spiral model in co-operation with the private sector, R&amp;D support, project support, counselling, within the framework of university-industry-government. ©","author":[{"dropping-particle":"","family":"Selim","given":"Sibel","non-dropping-particle":"","parse-names":false,"suffix":""},{"dropping-particle":"","family":"Bursalioglu","given":"Sibel Aybarc","non-dropping-particle":"","parse-names":false,"suffix":""}],"container-title":"Procedia Social and Behavioral Sciences","id":"ITEM-1","issued":{"date-parts":[["2013"]]},"page":"895-900","publisher":"Elsevier Ltd","title":"Analysis of the Determinants of Universities Efficiency in Turkey : Application of the Data Envelopment Analysis and Panel Tobit Model","type":"article-journal","volume":"89"},"uris":["http://www.mendeley.com/documents/?uuid=ec2bc561-eb3b-475d-a814-16b39b47af97"]}],"mendeley":{"formattedCitation":"(Selim &amp; Bursalioglu, 2013)","manualFormatting":"Selim &amp; Bursalioglu, 2013)","plainTextFormattedCitation":"(Selim &amp; Bursalioglu, 2013)","previouslyFormattedCitation":"(Selim &amp; Bursalioglu, 2013)"},"properties":{"noteIndex":0},"schema":"https://github.com/citation-style-language/schema/raw/master/csl-citation.json"}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Selim &amp; Bursalioglu, 2013)</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bookmarkEnd w:id="4"/>
      <w:r>
        <w:rPr>
          <w:rFonts w:eastAsia="Calibri" w:cs="Times New Roman" w:ascii="Times New Roman" w:hAnsi="Times New Roman"/>
          <w:sz w:val="20"/>
          <w:szCs w:val="20"/>
          <w:lang w:val="en-US"/>
        </w:rPr>
        <w:t xml:space="preserve">. At the contextual level, mixed findings can be traced to sectorial disparities and variation between the developed and the developing markets based on regulatory, economic, political and cultural settings. A study by </w:t>
      </w:r>
      <w:r>
        <w:fldChar w:fldCharType="begin"/>
      </w:r>
      <w:r>
        <w:rPr>
          <w:sz w:val="20"/>
          <w:szCs w:val="20"/>
          <w:rFonts w:eastAsia="Calibri" w:cs="Times New Roman" w:ascii="Times New Roman" w:hAnsi="Times New Roman"/>
          <w:lang w:val="en-US"/>
        </w:rPr>
        <w:instrText>ADDIN CSL_CITATION {"citationItems":[{"id":"ITEM-1","itemData":{"abstract":"The upper Echelons Theory reiterates the importance of top management in an organization and recognizes that the mangers make decisions that grow the entity. Before the establishment of this theory, the premise was that larger firms which drive high amounts of income, are capable of running themselves without failure. Although Organizations that command large amounts of income are deemed to be successful the upper echelons theory holds that these entities cannot be successful without proper management and guidance by top management where the board of directors in this case is considered as top management organ for SACCOs. Savings and Credit Cooperatives (SACCOs) require good governance to avoid the experience of financial distress. The current research was therefore aimed at establishing the influence of firm revenue on the relationship between board characteristics and financial distress of deposit taking SACCOs in Nairobi County. Large entities command more revenue as compared to small firms. Board Characteristics is of importance to this study because it influences Corporate Governance which according to previous research has shown that the practice helps revolutionize performance of various institutions. The study is guided by upper echelons theory which reiterates the importance of top management. Descriptive research design was adopted while Nairobi County was purposively chosen and a census was carried out on deposit taking SACCOs in the county. Secondary data was collected from SASRA using a data collection sheet and a panel data analysis performed using STATA software and findings were presented using tables. The study concluded that firm revenue does not mediate the relationship between board characteristics and financial distress of Deposit Taking SACCOs. Though firm revenue should be enhanced, governance should be improved since it remains a critical success factor in alleviation of financial distress.","author":[{"dropping-particle":"","family":"Nguta","given":"Munene Halldess","non-dropping-particle":"","parse-names":false,"suffix":""},{"dropping-particle":"","family":"Ndegwa","given":"James","non-dropping-particle":"","parse-names":false,"suffix":""}],"container-title":"International Journal of Finance &amp; Banking Studies","id":"ITEM-1","issue":"1","issued":{"date-parts":[["2021"]]},"page":"34-47","publisher":"SSBFNET","title":"Finance &amp; Banking Studies The Mediating Effect of Firm Revenue on the Relationship Between Board Characteristics on Financial Distress of Deposit Taking Saccos in Nairobi County","type":"article-journal","volume":"10"},"uris":["http://www.mendeley.com/documents/?uuid=61bb0167-b327-4299-a745-320752a2798d"]}],"mendeley":{"formattedCitation":"(Nguta &amp; Ndegwa, 2021)","manualFormatting":"Nguta and Ndegwa (2021)","plainTextFormattedCitation":"(Nguta &amp; Ndegwa, 2021)","previouslyFormattedCitation":"(Nguta &amp; Ndegwa, 2021)"},"properties":{"noteIndex":0},"schema":"https://github.com/citation-style-language/schema/raw/master/csl-citation.json"}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Nguta and Ndegwa (2021)</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color w:val="FF0000"/>
          <w:sz w:val="20"/>
          <w:szCs w:val="20"/>
          <w:lang w:val="en-US"/>
        </w:rPr>
        <w:t xml:space="preserve"> </w:t>
      </w:r>
      <w:r>
        <w:rPr>
          <w:rFonts w:eastAsia="Calibri" w:cs="Times New Roman" w:ascii="Times New Roman" w:hAnsi="Times New Roman"/>
          <w:sz w:val="20"/>
          <w:szCs w:val="20"/>
          <w:lang w:val="en-US"/>
        </w:rPr>
        <w:t xml:space="preserve">was carried out in a SACCO context and established that the firm revenue did not serve as a mediator between board characteristics and financial stability, while a study that was undertaken by </w:t>
      </w:r>
      <w:r>
        <w:fldChar w:fldCharType="begin"/>
      </w:r>
      <w:r>
        <w:rPr>
          <w:sz w:val="20"/>
          <w:szCs w:val="20"/>
          <w:rFonts w:eastAsia="Calibri" w:cs="Times New Roman" w:ascii="Times New Roman" w:hAnsi="Times New Roman"/>
          <w:lang w:val="en-US"/>
        </w:rPr>
        <w:instrText>ADDIN CSL_CITATION {"citationItems":[{"id":"ITEM-1","itemData":{"ISSN":"1360-080X","abstract":"Historically Black Colleges and Universities (HBCUs), a set of US higher education institutions historically tasked with educating African–American students, receive both state and federal funding. However, state governments often assert operational control through the political process, potentially influencing how key resources are used. Do these different sources of publicness have competing effects on efficiency? Using a 5-year panel of financial and organisational data of HBCUs, this study explores the relative effect of each of these revenue sources on efficiency. The study finds that the efficiency of HBCUs is negatively impacted by higher proportions of state revenue, and that higher proportions of fed- eral revenue have a positive effect on efficiency. This suggests that state governments should consider their political roles in assessing the performance of HBCUs, and that HBCUs might look to lessons from other organisations for methods to reduce the impact of state external control.","author":[{"dropping-particle":"","family":"Coupet","given":"Jason","non-dropping-particle":"","parse-names":false,"suffix":""}],"container-title":"Journal of Higher Education Policy and Management","id":"ITEM-1","issue":"1","issued":{"date-parts":[["2017"]]},"page":"40-57","publisher":"Routledge","title":"Strings attached ? Linking Historically Black Colleges and Universities public revenue sources with efficiency","type":"article-journal","volume":"39"},"uris":["http://www.mendeley.com/documents/?uuid=109bb9ff-7b69-4660-89f6-51fb94d7dca5"]}],"mendeley":{"formattedCitation":"(Coupet, 2017)","manualFormatting":"Coupet (2017)","plainTextFormattedCitation":"(Coupet, 2017)","previouslyFormattedCitation":"(Coupet, 2017)"},"properties":{"noteIndex":0},"schema":"https://github.com/citation-style-language/schema/raw/master/csl-citation.json"}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Coupet (2017)</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established that funding sources mediated the connection between board diversity and institutional efficiency in the United States. Scholars have varied views on the connections between board diversity and efficiency in a corporate setup; it is, however, puzzling to notice the limited work on this relationship within a university setup. At a methodological level, inconsistent findings can be attributed to the choice of econometric or estimation model, the type of data applied (cross-sectional/longitudinal), sampling differences, and varying study time frames. Since board diversity and efficiency relationship among universities in Kenya is largely understudied, the study investigated this linkage by incorporating funding sources as the mediator. Consistent with the research problem, this study addressed these gaps by offering an answer to the research question: What is the role of funding sources in the relation between the diversity of a board and the efficiency of universities registered in Kenya?</w:t>
      </w:r>
    </w:p>
    <w:p>
      <w:pPr>
        <w:pStyle w:val="Normal"/>
        <w:widowControl w:val="false"/>
        <w:spacing w:lineRule="auto" w:line="252" w:before="0" w:after="0"/>
        <w:ind w:firstLine="202"/>
        <w:jc w:val="both"/>
        <w:rPr>
          <w:rFonts w:ascii="Times New Roman" w:hAnsi="Times New Roman" w:eastAsia="Calibri" w:cs="Times New Roman"/>
          <w:sz w:val="20"/>
          <w:szCs w:val="20"/>
          <w:lang w:val="en-US"/>
        </w:rPr>
      </w:pPr>
      <w:r>
        <w:rPr>
          <w:rFonts w:eastAsia="Calibri" w:cs="Times New Roman" w:ascii="Times New Roman" w:hAnsi="Times New Roman"/>
          <w:sz w:val="20"/>
          <w:szCs w:val="20"/>
          <w:lang w:val="en-US"/>
        </w:rPr>
      </w:r>
    </w:p>
    <w:p>
      <w:pPr>
        <w:pStyle w:val="Normal"/>
        <w:keepNext w:val="true"/>
        <w:numPr>
          <w:ilvl w:val="0"/>
          <w:numId w:val="0"/>
        </w:numPr>
        <w:spacing w:lineRule="auto" w:line="240" w:before="240" w:after="120"/>
        <w:ind w:left="0" w:hanging="0"/>
        <w:jc w:val="center"/>
        <w:outlineLvl w:val="0"/>
        <w:rPr>
          <w:rFonts w:ascii="Times New Roman" w:hAnsi="Times New Roman" w:eastAsia="PMingLiU" w:cs="Times New Roman"/>
          <w:smallCaps/>
          <w:kern w:val="2"/>
          <w:sz w:val="20"/>
          <w:szCs w:val="20"/>
          <w:lang w:val="en-US"/>
        </w:rPr>
      </w:pPr>
      <w:r>
        <w:rPr>
          <w:rFonts w:eastAsia="PMingLiU" w:cs="Times New Roman" w:ascii="Times New Roman" w:hAnsi="Times New Roman"/>
          <w:smallCaps/>
          <w:kern w:val="2"/>
          <w:sz w:val="20"/>
          <w:szCs w:val="20"/>
          <w:lang w:val="en-US"/>
        </w:rPr>
        <w:t>II. Literature Review</w:t>
      </w:r>
    </w:p>
    <w:p>
      <w:pPr>
        <w:pStyle w:val="ListParagraph"/>
        <w:keepNext w:val="true"/>
        <w:numPr>
          <w:ilvl w:val="0"/>
          <w:numId w:val="2"/>
        </w:numPr>
        <w:spacing w:lineRule="auto" w:line="240" w:before="120" w:after="60"/>
        <w:contextualSpacing/>
        <w:outlineLvl w:val="1"/>
        <w:rPr>
          <w:rFonts w:eastAsia="PMingLiU" w:cs="Times New Roman"/>
          <w:i/>
          <w:i/>
          <w:iCs/>
          <w:sz w:val="20"/>
          <w:szCs w:val="20"/>
          <w:lang w:val="en-US"/>
        </w:rPr>
      </w:pPr>
      <w:r>
        <w:rPr>
          <w:rFonts w:eastAsia="PMingLiU" w:cs="Times New Roman"/>
          <w:i/>
          <w:iCs/>
          <w:sz w:val="20"/>
          <w:szCs w:val="20"/>
          <w:lang w:val="en-US"/>
        </w:rPr>
        <w:t>Theoretical Framework</w:t>
      </w:r>
    </w:p>
    <w:p>
      <w:pPr>
        <w:pStyle w:val="Normal"/>
        <w:widowControl w:val="false"/>
        <w:spacing w:lineRule="auto" w:line="252" w:before="0" w:after="0"/>
        <w:ind w:firstLine="202"/>
        <w:jc w:val="both"/>
        <w:rPr>
          <w:rFonts w:ascii="Times New Roman" w:hAnsi="Times New Roman" w:eastAsia="Calibri" w:cs="Times New Roman"/>
          <w:sz w:val="20"/>
          <w:szCs w:val="20"/>
          <w:lang w:val="en-US"/>
        </w:rPr>
      </w:pPr>
      <w:r>
        <w:rPr>
          <w:rFonts w:eastAsia="Calibri" w:cs="Times New Roman" w:ascii="Times New Roman" w:hAnsi="Times New Roman"/>
          <w:sz w:val="20"/>
          <w:szCs w:val="20"/>
          <w:lang w:val="en-US"/>
        </w:rPr>
        <w:t>The theories discussed hereunder are the agency, human capital, and pecking order theories</w:t>
      </w:r>
      <w:r>
        <w:rPr>
          <w:rFonts w:cs="Times New Roman" w:ascii="Times New Roman" w:hAnsi="Times New Roman"/>
          <w:sz w:val="20"/>
          <w:szCs w:val="20"/>
        </w:rPr>
        <w:t xml:space="preserve">. </w:t>
      </w:r>
      <w:r>
        <w:fldChar w:fldCharType="begin"/>
      </w:r>
      <w:r>
        <w:rPr>
          <w:sz w:val="20"/>
          <w:szCs w:val="20"/>
          <w:rFonts w:cs="Times New Roman" w:ascii="Times New Roman" w:hAnsi="Times New Roman"/>
        </w:rPr>
        <w:instrText>ADDIN CSL_CITATION {"citationItems":[{"id":"ITEM-1","itemData":{"ISSN":"1741282X","abstract":"The benefits and drawbacks of diversity inside organizations have been the focus of attention for researchers and practitioners for several decades. In our article, we investigate the business case for racial diversity across different hierarchical levels. More precisely, we ask: How does racial diversity within organizations and its asymmetry across hierarchical levels affect their financial performance? From a sample of 143 US law firms from 2008 to 2012, we provide strong support for the business case and show that greater racial diversity for the entire organization is positively associated with firm financial performance. However, contrary to our initial expectations, the benefits of diversity are not more pronounced at the top of the organization, where its effects should arguably be more clearly observable. Diversity seems to have a similar effect across the three levels in law firms: associates, mid-level and partners. Furthermore, we find that the most profitable firms actually have their racial diversity heavily concentrated at the associate level. We discuss alternative explanations for this surprising finding and why the top-performing law firms have both overall higher degree of racial diversity and more concentration of its diversity at the lower level.","author":[{"dropping-particle":"","family":"Jensen","given":"Michael C","non-dropping-particle":"","parse-names":false,"suffix":""},{"dropping-particle":"","family":"Meckling","given":"William H","non-dropping-particle":"","parse-names":false,"suffix":""}],"container-title":"Human Relations","id":"ITEM-1","issue":"4","issued":{"date-parts":[["1976"]]},"page":"305-360","title":"Theory of the Firm: Managerial Behaviour, Agency Costs, and Ownership Structure","type":"article-journal","volume":"3"},"uris":["http://www.mendeley.com/documents/?uuid=32ffbd6b-ddf5-4ef7-8536-f1cd25adb566"]}],"mendeley":{"formattedCitation":"(Jensen &amp; Meckling, 1976)","manualFormatting":"Jensen and Meckling (1976)","plainTextFormattedCitation":"(Jensen &amp; Meckling, 1976)","previouslyFormattedCitation":"(Jensen &amp; Meckling, 1976)"},"properties":{"noteIndex":0},"schema":"https://github.com/citation-style-language/schema/raw/master/csl-citation.json"}</w:instrText>
      </w:r>
      <w:r>
        <w:rPr>
          <w:rFonts w:cs="Times New Roman" w:ascii="Times New Roman" w:hAnsi="Times New Roman"/>
          <w:sz w:val="20"/>
          <w:szCs w:val="20"/>
        </w:rPr>
      </w:r>
      <w:r>
        <w:rPr>
          <w:sz w:val="20"/>
          <w:szCs w:val="20"/>
          <w:rFonts w:cs="Times New Roman" w:ascii="Times New Roman" w:hAnsi="Times New Roman"/>
        </w:rPr>
        <w:fldChar w:fldCharType="separate"/>
      </w:r>
      <w:r>
        <w:rPr>
          <w:rFonts w:cs="Times New Roman" w:ascii="Times New Roman" w:hAnsi="Times New Roman"/>
          <w:sz w:val="20"/>
          <w:szCs w:val="20"/>
        </w:rPr>
      </w:r>
      <w:r>
        <w:rPr>
          <w:rFonts w:eastAsia="Calibri" w:cs="Times New Roman" w:ascii="Times New Roman" w:hAnsi="Times New Roman"/>
          <w:sz w:val="20"/>
          <w:szCs w:val="20"/>
        </w:rPr>
        <w:t>Jensen and Meckling (1976)</w:t>
      </w:r>
      <w:r>
        <w:rPr>
          <w:rFonts w:cs="Times New Roman" w:ascii="Times New Roman" w:hAnsi="Times New Roman"/>
          <w:sz w:val="20"/>
          <w:szCs w:val="20"/>
        </w:rPr>
      </w:r>
      <w:r>
        <w:rPr>
          <w:sz w:val="20"/>
          <w:szCs w:val="20"/>
          <w:rFonts w:cs="Times New Roman" w:ascii="Times New Roman" w:hAnsi="Times New Roman"/>
        </w:rPr>
        <w:fldChar w:fldCharType="end"/>
      </w:r>
      <w:r>
        <w:rPr>
          <w:rFonts w:eastAsia="Calibri" w:cs="Times New Roman" w:ascii="Times New Roman" w:hAnsi="Times New Roman"/>
          <w:sz w:val="20"/>
          <w:szCs w:val="20"/>
        </w:rPr>
        <w:t xml:space="preserve"> </w:t>
      </w:r>
      <w:r>
        <w:rPr>
          <w:rFonts w:eastAsia="Calibri" w:cs="Times New Roman" w:ascii="Times New Roman" w:hAnsi="Times New Roman"/>
          <w:sz w:val="20"/>
          <w:szCs w:val="20"/>
          <w:lang w:val="en-US"/>
        </w:rPr>
        <w:t xml:space="preserve">propounded the agency theory (AT), which indicates that an agency relationship exists when an individual, the principal, hires an agent to perform specific duties on his behalf. Conflicts may arise between the agent and the principal during their operations. The agents may wish to award themselves a maximum compensation for their efforts; alternatively, if the compensation is certain, reduce their effort. Sometimes, agents may take too much risk to the discomfort of the principal. The principal would like to maximize the output from the agent and, at the same time, minimize the costs of hiring the agent. The disconnect of interests between two parties results in an agency conflict; agency clashes are frequently severe and most repeatedly done in public institutions. The principal-agent problem is often associated with larger firms, especially universities, where the government, parents, and financiers own ownership. However, the university councils and vice-chancellors make most decisions </w:t>
      </w:r>
      <w:r>
        <w:fldChar w:fldCharType="begin"/>
      </w:r>
      <w:r>
        <w:rPr>
          <w:sz w:val="20"/>
          <w:szCs w:val="20"/>
          <w:rFonts w:eastAsia="Calibri" w:cs="Times New Roman" w:ascii="Times New Roman" w:hAnsi="Times New Roman"/>
          <w:lang w:val="en-US"/>
        </w:rPr>
        <w:instrText>ADDIN CSL_CITATION {"citationItems":[{"id":"ITEM-1","itemData":{"ISSN":"05723043","abstract":"The main aim of the paper is to present the most important conflicts of interest between “agents and principals” as well as the mechanisms for limiting these conflicts. The reduc- tion of free cash flow through the use of debt, and the use of protective bond covenants, are important means of reducing agency costs. It is pointed out that new equity dilutes the hold- ings of managers with equity interests, increasing their motive to waste resources, while debt reduces free cash flow, and the opportunity for managers to waste resources. Various types of protective covenants are presented in the paper. Because shareholders must pay higher interest rates as insurance against their own selfish strategies they frequently make agreements with bondholders in the hope of paying lower interest rates. These agreements are incorporated as part of the loan document between shareholders and bondholders. These protective covenants should reduce the costs of bankruptcy and ultimately increase the value of the firm.","author":[{"dropping-particle":"","family":"Jerzemowska","given":"Magdalena","non-dropping-particle":"","parse-names":false,"suffix":""}],"container-title":"Acta Oeconomica Pragensia","id":"ITEM-1","issue":"3","issued":{"date-parts":[["2006"]]},"page":"9-17","publisher":"Acta Oeconomica Pragensia","title":"The Main Agency Problems and Their Consequences","type":"article-journal","volume":"14"},"uris":["http://www.mendeley.com/documents/?uuid=adbf4322-df76-4ce3-a295-a28ae1127201"]}],"mendeley":{"formattedCitation":"(Jerzemowska, 2006)","plainTextFormattedCitation":"(Jerzemowska, 2006)","previouslyFormattedCitation":"(Jerzemowska, 2006)"},"properties":{"noteIndex":0},"schema":"https://github.com/citation-style-language/schema/raw/master/csl-citation.json"}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(Jerzemowska, 2006)</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w:t>
      </w:r>
    </w:p>
    <w:p>
      <w:pPr>
        <w:pStyle w:val="Normal"/>
        <w:widowControl w:val="false"/>
        <w:spacing w:lineRule="auto" w:line="252" w:before="0" w:after="0"/>
        <w:ind w:firstLine="202"/>
        <w:jc w:val="both"/>
        <w:rPr>
          <w:rFonts w:ascii="Times New Roman" w:hAnsi="Times New Roman" w:eastAsia="Calibri" w:cs="Times New Roman"/>
          <w:sz w:val="20"/>
          <w:szCs w:val="20"/>
          <w:lang w:val="en-US"/>
        </w:rPr>
      </w:pPr>
      <w:r>
        <w:rPr>
          <w:rFonts w:eastAsia="Calibri" w:cs="Times New Roman" w:ascii="Times New Roman" w:hAnsi="Times New Roman"/>
          <w:sz w:val="20"/>
          <w:szCs w:val="20"/>
          <w:lang w:val="en-US"/>
        </w:rPr>
        <w:t xml:space="preserve">In line with agency theory, board diversity leads to better executive monitoring, which leads to improved performance. Moreover, diversity brings a wealth of new ideas, experiences, points of view, and information, typically leading to better decision-making processes </w:t>
      </w:r>
      <w:r>
        <w:fldChar w:fldCharType="begin"/>
      </w:r>
      <w:r>
        <w:rPr>
          <w:sz w:val="20"/>
          <w:szCs w:val="20"/>
          <w:rFonts w:eastAsia="Calibri" w:cs="Times New Roman" w:ascii="Times New Roman" w:hAnsi="Times New Roman"/>
          <w:lang w:val="en-US"/>
        </w:rPr>
        <w:instrText>ADDIN CSL_CITATION {"citationItems":[{"id":"ITEM-1","itemData":{"ISSN":"14678683","abstract":"Despite progress understanding the costs and benefits of diversity in corporate boardrooms we continue to have many unanswered questions. As questions begin to be partially answered, more questions arise. Here I explore those layers of the boardroom diversity onion.","author":[{"dropping-particle":"","family":"Hillman","given":"Amy J.","non-dropping-particle":"","parse-names":false,"suffix":""}],"container-title":"Corporate Governance: An International Review","id":"ITEM-1","issue":"2","issued":{"date-parts":[["2015"]]},"page":"104-107","title":"Board diversity: Beginning to unpeel the onion","type":"article-journal","volume":"23"},"uris":["http://www.mendeley.com/documents/?uuid=46b6c054-485b-4894-9247-bccfca3065af"]}],"mendeley":{"formattedCitation":"(Hillman, 2015)","plainTextFormattedCitation":"(Hillman, 2015)","previouslyFormattedCitation":"(Hillman, 2015)"},"properties":{"noteIndex":0},"schema":"https://github.com/citation-style-language/schema/raw/master/csl-citation.json"}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(Hillman, 2015)</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Despite the overwhelming support for diversity within the boards, an argument still exists that diversity can negatively affect firms. Agency theory points out that increased board diversity tends to inhibit the process of coming up with decisions, and this can influence performance in a negative way </w:t>
      </w:r>
      <w:r>
        <w:fldChar w:fldCharType="begin"/>
      </w:r>
      <w:r>
        <w:rPr>
          <w:sz w:val="20"/>
          <w:szCs w:val="20"/>
          <w:rFonts w:eastAsia="Calibri" w:cs="Times New Roman" w:ascii="Times New Roman" w:hAnsi="Times New Roman"/>
          <w:lang w:val="en-US"/>
        </w:rPr>
        <w:instrText>ADDIN CSL_CITATION {"citationItems":[{"id":"ITEM-1","itemData":{"author":[{"dropping-particle":"","family":"Krishnan","given":"Hema A","non-dropping-particle":"","parse-names":false,"suffix":""},{"dropping-particle":"","family":"Park","given":"Daewoo","non-dropping-particle":"","parse-names":false,"suffix":""}],"container-title":"Journal of Business Research","id":"ITEM-1","issue":"September 2004","issued":{"date-parts":[["2005"]]},"page":"1712-1720","title":"A few good women — on top management teams","type":"article-journal","volume":"58"},"uris":["http://www.mendeley.com/documents/?uuid=ee0dec54-0435-4a27-a023-36d57fc7f530"]}],"mendeley":{"formattedCitation":"(Krishnan &amp; Park, 2005)","plainTextFormattedCitation":"(Krishnan &amp; Park, 2005)","previouslyFormattedCitation":"(Krishnan &amp; Park, 2005)"},"properties":{"noteIndex":0},"schema":"https://github.com/citation-style-language/schema/raw/master/csl-citation.json"}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(Krishnan &amp; Park, 2005)</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In addition, Increased diversity may result in a clash of opinions and ideas among board members, lowering firm performance </w:t>
      </w:r>
      <w:r>
        <w:fldChar w:fldCharType="begin"/>
      </w:r>
      <w:r>
        <w:rPr>
          <w:sz w:val="20"/>
          <w:szCs w:val="20"/>
          <w:rFonts w:eastAsia="Calibri" w:cs="Times New Roman" w:ascii="Times New Roman" w:hAnsi="Times New Roman"/>
          <w:lang w:val="en-US"/>
        </w:rPr>
        <w:instrText>ADDIN CSL_CITATION {"citationItems":[{"id":"ITEM-1","itemData":{"author":[{"dropping-particle":"","family":"Lincoln","given":"A","non-dropping-particle":"","parse-names":false,"suffix":""},{"dropping-particle":"","family":"Adedoyin","given":"O","non-dropping-particle":"","parse-names":false,"suffix":""}],"container-title":"World Academy of Science, Engineering and Technology","id":"ITEM-1","issued":{"date-parts":[["2012"]]},"page":"1853-1859","title":"Corporate Governance and Gender Diversity in Nigerian Boardrooms","type":"article-journal","volume":"71"},"uris":["http://www.mendeley.com/documents/?uuid=a7746111-c006-4cb1-a66f-4e74393a2ca6"]}],"mendeley":{"formattedCitation":"(Lincoln &amp; Adedoyin, 2012)","plainTextFormattedCitation":"(Lincoln &amp; Adedoyin, 2012)","previouslyFormattedCitation":"(Lincoln &amp; Adedoyin, 2012)"},"properties":{"noteIndex":0},"schema":"https://github.com/citation-style-language/schema/raw/master/csl-citation.json"}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(Lincoln &amp; Adedoyin, 2012)</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To carry out its supervisory role, the board must have the prudent combination of knowledge and the ability to review corporate strategies </w:t>
      </w:r>
      <w:r>
        <w:fldChar w:fldCharType="begin"/>
      </w:r>
      <w:r>
        <w:rPr>
          <w:sz w:val="20"/>
          <w:szCs w:val="20"/>
          <w:rFonts w:eastAsia="Calibri" w:cs="Times New Roman" w:ascii="Times New Roman" w:hAnsi="Times New Roman"/>
          <w:lang w:val="en-US"/>
        </w:rPr>
        <w:instrText>ADDIN CSL_CITATION {"citationItems":[{"id":"ITEM-1","itemData":{"ISSN":"03637425","abstract":"Boards of directors serve two important functions for organizations: monitoring management on behalf of shareholders and providing resources. Agency theorists assert that effective monitoring is a function of a board's incentives, whereas resource dependence theorists contend that the provision of resources is a function of board capital. We combine the two perspectives and argue that board capital affects both board monitoring and the provision of resources and that board incentives moderate these relationships.","author":[{"dropping-particle":"","family":"Hillman","given":"Amy J.","non-dropping-particle":"","parse-names":false,"suffix":""},{"dropping-particle":"","family":"Dalziel","given":"Thomas","non-dropping-particle":"","parse-names":false,"suffix":""}],"container-title":"Academy of Management Review","id":"ITEM-1","issue":"3","issued":{"date-parts":[["2003"]]},"page":"383-396","title":"Boards of directors and firm performance: Integrating agency and resource dependence perspectives","type":"article-journal","volume":"28"},"uris":["http://www.mendeley.com/documents/?uuid=a177b13e-f33d-41b4-ae4d-67ca3c3398e9"]}],"mendeley":{"formattedCitation":"(Hillman &amp; Dalziel, 2003)","manualFormatting":"(Hillman, 2015)","plainTextFormattedCitation":"(Hillman &amp; Dalziel, 2003)","previouslyFormattedCitation":"(Hillman &amp; Dalziel, 2003)"},"properties":{"noteIndex":0},"schema":"https://github.com/citation-style-language/schema/raw/master/csl-citation.json"}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(Hillman, 2015)</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Therefore, AT offers justification for the board’s essential role of overseeing administration practices on behalf of the owners. However, there is inconsistency in explaining how board diversity affects decision-making and firm efficiency. From a corporate governance point of view, the management of public universities is monitored by university councils appointed by the government. In contrast, that of private universities shall be an individual or a duly registered or incorporated legal entity. </w:t>
      </w:r>
    </w:p>
    <w:p>
      <w:pPr>
        <w:pStyle w:val="Normal"/>
        <w:widowControl w:val="false"/>
        <w:spacing w:lineRule="auto" w:line="252" w:before="0" w:after="0"/>
        <w:ind w:firstLine="202"/>
        <w:jc w:val="both"/>
        <w:rPr>
          <w:rFonts w:ascii="Times New Roman" w:hAnsi="Times New Roman" w:eastAsia="Calibri" w:cs="Times New Roman"/>
          <w:sz w:val="20"/>
          <w:szCs w:val="20"/>
          <w:lang w:val="en-US"/>
        </w:rPr>
      </w:pPr>
      <w:r>
        <w:rPr>
          <w:rFonts w:eastAsia="Calibri" w:cs="Times New Roman" w:ascii="Times New Roman" w:hAnsi="Times New Roman"/>
          <w:sz w:val="20"/>
          <w:szCs w:val="20"/>
          <w:lang w:val="en-US"/>
        </w:rPr>
        <w:t xml:space="preserve">The human capital theory (HCT), propounded by </w:t>
      </w:r>
      <w:r>
        <w:fldChar w:fldCharType="begin"/>
      </w:r>
      <w:r>
        <w:rPr>
          <w:sz w:val="20"/>
          <w:szCs w:val="20"/>
          <w:rFonts w:eastAsia="Calibri" w:cs="Times New Roman" w:ascii="Times New Roman" w:hAnsi="Times New Roman"/>
          <w:lang w:val="en-US"/>
        </w:rPr>
        <w:instrText>ADDIN CSL_CITATION {"citationItems":[{"id":"ITEM-1","itemData":{"ISSN":"00197939","abstract":"Reviews the book \"Internal Labor Markets and Manpower Analysis,\" by Peter Doeringer and Michael Piore.","author":[{"dropping-particle":"","family":"Doeringer","given":"Peter B.","non-dropping-particle":"","parse-names":false,"suffix":""},{"dropping-particle":"","family":"Piore","given":"Michael J.","non-dropping-particle":"","parse-names":false,"suffix":""}],"container-title":"Industrial and Labor Relations Review","id":"ITEM-1","issue":"2","issued":{"date-parts":[["1971"]]},"page":"273","title":"Internal Labor Markets and Manpower Analysis.","type":"article-journal","volume":"25"},"uris":["http://www.mendeley.com/documents/?uuid=ca9145d1-2f4e-4844-a44f-baee91aab34b"]}],"mendeley":{"formattedCitation":"(Doeringer &amp; Piore, 1971)","plainTextFormattedCitation":"(Doeringer &amp; Piore, 1971)","previouslyFormattedCitation":"(Doeringer &amp; Piore, 1971)"},"properties":{"noteIndex":0},"schema":"https://github.com/citation-style-language/schema/raw/master/csl-citation.json"}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Doeringer and Piore (1971)</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w:t>
      </w:r>
      <w:r>
        <w:rPr>
          <w:rFonts w:eastAsia="Calibri" w:cs="Times New Roman" w:ascii="Times New Roman" w:hAnsi="Times New Roman"/>
          <w:color w:val="FF0000"/>
          <w:sz w:val="20"/>
          <w:szCs w:val="20"/>
          <w:lang w:val="en-US"/>
        </w:rPr>
        <w:t xml:space="preserve"> </w:t>
      </w:r>
      <w:r>
        <w:rPr>
          <w:rFonts w:eastAsia="Calibri" w:cs="Times New Roman" w:ascii="Times New Roman" w:hAnsi="Times New Roman"/>
          <w:sz w:val="20"/>
          <w:szCs w:val="20"/>
          <w:lang w:val="en-US"/>
        </w:rPr>
        <w:t xml:space="preserve">views formal education as instrumental and capable of improving a group’s dynamic capacity, which then positively impacts efficiency in productivity. Human capital theorists believe in private support from students, parents and other shareholders because education is a private and government asset; they further argue that all it gains should finance education. Based on HTC, there is a connection between the financial resources spent on education provision and the efficiency of those institutions. Since stakeholders such as government, industry, and society benefit from education, they should be willing to pay for it to improve the efficiency of such institutions. However, a study by </w:t>
      </w:r>
      <w:r>
        <w:fldChar w:fldCharType="begin"/>
      </w:r>
      <w:r>
        <w:rPr>
          <w:sz w:val="20"/>
          <w:szCs w:val="20"/>
          <w:rFonts w:eastAsia="Calibri" w:cs="Times New Roman" w:ascii="Times New Roman" w:hAnsi="Times New Roman"/>
          <w:lang w:val="en-US"/>
        </w:rPr>
        <w:instrText>ADDIN CSL_CITATION {"citationItems":[{"id":"ITEM-1","itemData":{"author":[{"dropping-particle":"","family":"Mathenge","given":"Phylis Wangari","non-dropping-particle":"","parse-names":false,"suffix":""},{"dropping-particle":"","family":"Muturi","given":"Willy","non-dropping-particle":"","parse-names":false,"suffix":""}],"container-title":"International Journal of Social Sciences and Infromation Technology","id":"ITEM-1","issue":"8","issued":{"date-parts":[["2017"]]},"page":"2354-2363","title":"Effect of Financial Management Practices on Performance of Public Universities in Kenya","type":"article-journal","volume":"3"},"uris":["http://www.mendeley.com/documents/?uuid=158c5734-5e67-495b-a542-b3b5821abe5f"]}],"mendeley":{"formattedCitation":"(Mathenge &amp; Muturi, 2017)","manualFormatting":"Mathenge and Muturi (2017)","plainTextFormattedCitation":"(Mathenge &amp; Muturi, 2017)","previouslyFormattedCitation":"(Mathenge &amp; Muturi, 2017)"},"properties":{"noteIndex":0},"schema":"https://github.com/citation-style-language/schema/raw/master/csl-citation.json"}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Mathenge and Muturi (2017)</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reveals that some universities continue to perform well with the bit of funding allocation they receive. Hence, poor performance may be related to limited funds and how such institutions are governed. Moreover, education, being a public good, may suffer from many free riders who may be unwilling to pay, negatively impacting such institutions’ efficiency.</w:t>
      </w:r>
    </w:p>
    <w:p>
      <w:pPr>
        <w:pStyle w:val="Normal"/>
        <w:widowControl w:val="false"/>
        <w:spacing w:lineRule="auto" w:line="252" w:before="0" w:after="0"/>
        <w:ind w:firstLine="202"/>
        <w:jc w:val="both"/>
        <w:rPr>
          <w:rFonts w:ascii="Times New Roman" w:hAnsi="Times New Roman" w:eastAsia="Calibri" w:cs="Times New Roman"/>
          <w:sz w:val="20"/>
          <w:szCs w:val="20"/>
          <w:lang w:val="en-US"/>
        </w:rPr>
      </w:pPr>
      <w:r>
        <w:rPr>
          <w:rFonts w:eastAsia="Calibri" w:cs="Times New Roman" w:ascii="Times New Roman" w:hAnsi="Times New Roman"/>
          <w:sz w:val="20"/>
          <w:szCs w:val="20"/>
          <w:lang w:val="en-US"/>
        </w:rPr>
        <w:t xml:space="preserve">The pecking order theory (POT) postulates that firms select their funding sources guided by the cost of financing. Internal funds are supposed to be used first, and when that is exhausted, debt is raised, and when no more debt is possible, equity is issued. POT assumes the presence of an information gap between stockholders and management and that management has information about the firm’s performance that external investors do not </w:t>
      </w:r>
      <w:r>
        <w:fldChar w:fldCharType="begin"/>
      </w:r>
      <w:r>
        <w:rPr>
          <w:sz w:val="20"/>
          <w:szCs w:val="20"/>
          <w:rFonts w:eastAsia="Calibri" w:cs="Times New Roman" w:ascii="Times New Roman" w:hAnsi="Times New Roman"/>
          <w:lang w:val="en-US"/>
        </w:rPr>
        <w:instrText>ADDIN CSL_CITATION {"citationItems":[{"id":"ITEM-1","itemData":{"author":[{"dropping-particle":"","family":"Nirajini","given":"A.","non-dropping-particle":"","parse-names":false,"suffix":""},{"dropping-particle":"","family":"Priya","given":"K. B.","non-dropping-particle":"","parse-names":false,"suffix":""}],"container-title":"International Journal of Scientific and Research Publications","id":"ITEM-1","issue":"5","issued":{"date-parts":[["2013"]]},"page":"1-9","title":"Impact of Capital Structure on Financial Performance of the Listed Trading Companies in Sri Lanka","type":"article-journal","volume":"3"},"uris":["http://www.mendeley.com/documents/?uuid=e9023961-765a-410e-8418-6d8cd56eac65"]}],"mendeley":{"formattedCitation":"(Nirajini &amp; Priya, 2013)","plainTextFormattedCitation":"(Nirajini &amp; Priya, 2013)","previouslyFormattedCitation":"(Nirajini &amp; Priya, 2013)"},"properties":{"noteIndex":0},"schema":"https://github.com/citation-style-language/schema/raw/master/csl-citation.json"}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(Nirajini &amp; Priya, 2013)</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To minimize the additional costs and drawbacks of asymmetric information, institutions should use external sources of financing in the following order: debt financing first, preferred stock issuance second, and common stock issuance </w:t>
      </w:r>
      <w:r>
        <w:fldChar w:fldCharType="begin"/>
      </w:r>
      <w:r>
        <w:rPr>
          <w:sz w:val="20"/>
          <w:szCs w:val="20"/>
          <w:rFonts w:eastAsia="Calibri" w:cs="Times New Roman" w:ascii="Times New Roman" w:hAnsi="Times New Roman"/>
          <w:lang w:val="en-US"/>
        </w:rPr>
        <w:instrText>ADDIN CSL_CITATION {"citationItems":[{"id":"ITEM-1","itemData":{"abstract":"Constructing the capital structure of business organization depends on quite very many perspectives and theories. One of these outlooks is the pecking order approach to capital structure construction. The approach is yet to have seemingly homogenous test both qualitative and quantitative. The non-homogeneity posture has been traced to methodology of analysis and assumptions of adverse selection and moral hazards (Meier and Tarhan, 2007). It is the view of this author that, methodology apart, at least two other probable rationales for pecking order model are, 1) avoidance of share ownership dilution by firm managers to maintain status quo and retain the confidence of firm owners, and 2) to make managers (agents) remain on the path of efficient resource management, to maximize shareholders' wealth and at the same time resolve agency problems between shareholders and bondholders (Jensen and Meckling, 1976 and Jensen, 1986). Concomitant to this is the possibility of adopting pecking order as fall out from the necessities of agency theory where increasing leverage is taken as a way of making managers to be cautiously responsible in the utilization of resources and incurring managerial slack expenses. In the final analysis the incidental increase in the gearing level of the firm up to the point where benefits from tax deductibility of interest on debts and bankruptcy costs are equal will maximize firm value.","author":[{"dropping-particle":"","family":"Abosede","given":"Adebiyi Julius","non-dropping-particle":"","parse-names":false,"suffix":""}],"container-title":"Journal of Business Management and Applied Economics","id":"ITEM-1","issue":"5","issued":{"date-parts":[["2012"]]},"page":"1-11","title":"Pecking Order Theory of Capital Structure : Another Way To Look At It","type":"article-journal","volume":"4"},"uris":["http://www.mendeley.com/documents/?uuid=549a8ec9-2640-4781-8593-873eb16e9b4c"]}],"mendeley":{"formattedCitation":"(Abosede, 2012)","plainTextFormattedCitation":"(Abosede, 2012)","previouslyFormattedCitation":"(Abosede, 2012)"},"properties":{"noteIndex":0},"schema":"https://github.com/citation-style-language/schema/raw/master/csl-citation.json"}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(Abosede, 2012)</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Managers of universities should set priorities when financing operations so that they first use internally generated funds. Then, if that funding source is exhausted, they turn to debt capital and, if allowed, equity financing. Pecking order theory assumes the existence of only the traditional methods of financing. Universities in Kenya have restricted sources of funds to finance their operations. Universities and other tertiary institutions are regulated by specific parliamentary acts that specify revenue sources, putting them at a disadvantage regarding revenue generation. Universities use the pecking order theory to some extent when making financial decisions. However, the policy that governs universities limits their ability to raise funds to meet their requirements for growth </w:t>
      </w:r>
      <w:r>
        <w:fldChar w:fldCharType="begin"/>
      </w:r>
      <w:r>
        <w:rPr>
          <w:sz w:val="20"/>
          <w:szCs w:val="20"/>
          <w:rFonts w:eastAsia="Calibri" w:cs="Times New Roman" w:ascii="Times New Roman" w:hAnsi="Times New Roman"/>
          <w:lang w:val="en-US"/>
        </w:rPr>
        <w:instrText>ADDIN CSL_CITATION {"citationItems":[{"id":"ITEM-1","itemData":{"author":[{"dropping-particle":"","family":"Nirajini","given":"A.","non-dropping-particle":"","parse-names":false,"suffix":""},{"dropping-particle":"","family":"Priya","given":"K. B.","non-dropping-particle":"","parse-names":false,"suffix":""}],"container-title":"International Journal of Scientific and Research Publications","id":"ITEM-1","issue":"5","issued":{"date-parts":[["2013"]]},"page":"1-9","title":"Impact of Capital Structure on Financial Performance of the Listed Trading Companies in Sri Lanka","type":"article-journal","volume":"3"},"uris":["http://www.mendeley.com/documents/?uuid=e9023961-765a-410e-8418-6d8cd56eac65"]}],"mendeley":{"formattedCitation":"(Nirajini &amp; Priya, 2013)","plainTextFormattedCitation":"(Nirajini &amp; Priya, 2013)","previouslyFormattedCitation":"(Nirajini &amp; Priya, 2013)"},"properties":{"noteIndex":0},"schema":"https://github.com/citation-style-language/schema/raw/master/csl-citation.json"}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(Nirajini &amp; Priya, 2013)</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As a result, according to the theory, there is a constructive linkage between the funding sources and university efficiency.</w:t>
      </w:r>
    </w:p>
    <w:p>
      <w:pPr>
        <w:pStyle w:val="ListParagraph"/>
        <w:keepNext w:val="true"/>
        <w:numPr>
          <w:ilvl w:val="0"/>
          <w:numId w:val="2"/>
        </w:numPr>
        <w:spacing w:lineRule="auto" w:line="240" w:before="120" w:after="60"/>
        <w:contextualSpacing/>
        <w:outlineLvl w:val="1"/>
        <w:rPr>
          <w:rFonts w:eastAsia="PMingLiU" w:cs="Times New Roman"/>
          <w:i/>
          <w:i/>
          <w:iCs/>
          <w:sz w:val="20"/>
          <w:szCs w:val="20"/>
          <w:lang w:val="en-US"/>
        </w:rPr>
      </w:pPr>
      <w:r>
        <w:rPr>
          <w:rFonts w:eastAsia="PMingLiU" w:cs="Times New Roman"/>
          <w:i/>
          <w:iCs/>
          <w:sz w:val="20"/>
          <w:szCs w:val="20"/>
          <w:lang w:val="en-US"/>
        </w:rPr>
        <w:t>Conceptual Framework</w:t>
      </w:r>
    </w:p>
    <w:p>
      <w:pPr>
        <w:pStyle w:val="Normal"/>
        <w:widowControl w:val="false"/>
        <w:spacing w:lineRule="auto" w:line="252" w:before="0" w:after="0"/>
        <w:ind w:firstLine="202"/>
        <w:jc w:val="both"/>
        <w:rPr>
          <w:rFonts w:ascii="Times New Roman" w:hAnsi="Times New Roman" w:eastAsia="Calibri" w:cs="Times New Roman"/>
          <w:sz w:val="20"/>
          <w:szCs w:val="20"/>
          <w:lang w:val="en-US"/>
        </w:rPr>
      </w:pPr>
      <w:r>
        <w:rPr>
          <w:rFonts w:eastAsia="Calibri" w:cs="Times New Roman" w:ascii="Times New Roman" w:hAnsi="Times New Roman"/>
          <w:sz w:val="20"/>
          <w:szCs w:val="20"/>
          <w:lang w:val="en-US"/>
        </w:rPr>
        <w:t xml:space="preserve">This study’s independent and dependent variables are board diversity and efficiency, respectively. This is premised on the reality that </w:t>
      </w:r>
      <w:r>
        <w:rPr>
          <w:rFonts w:eastAsia="Calibri" w:cs="Times New Roman" w:ascii="Times New Roman" w:hAnsi="Times New Roman"/>
          <w:sz w:val="20"/>
          <w:szCs w:val="20"/>
        </w:rPr>
        <w:t xml:space="preserve">a diverse university board plays a significant role in attaining efficiency. They cultivate the frameworks and identify control variables that can influence the funding sources </w:t>
      </w:r>
      <w:r>
        <w:fldChar w:fldCharType="begin"/>
      </w:r>
      <w:r>
        <w:rPr>
          <w:sz w:val="20"/>
          <w:szCs w:val="20"/>
          <w:rFonts w:eastAsia="Calibri" w:cs="Times New Roman" w:ascii="Times New Roman" w:hAnsi="Times New Roman"/>
        </w:rPr>
        <w:instrText>ADDIN CSL_CITATION {"citationItems":[{"id":"ITEM-1","itemData":{"author":[{"dropping-particle":"","family":"Konrad","given":"Alison M","non-dropping-particle":"","parse-names":false,"suffix":""},{"dropping-particle":"","family":"Prasad","given":"Pushkala","non-dropping-particle":"","parse-names":false,"suffix":""},{"dropping-particle":"","family":"Pringle","given":"Judith K","non-dropping-particle":"","parse-names":false,"suffix":""}],"container-title":"Academy of Management Review","id":"ITEM-1","issue":"4","issued":{"date-parts":[["2016"]]},"page":"1100-1102","publisher":"sage","title":"Handbook of Workplace Diversity","type":"article-journal","volume":"31"},"uris":["http://www.mendeley.com/documents/?uuid=b549e09c-90bc-423c-8f07-64e327754935"]}],"mendeley":{"formattedCitation":"(Konrad et al., 2016)","manualFormatting":"(Konrad et al., 2016)","plainTextFormattedCitation":"(Konrad et al., 2016)","previouslyFormattedCitation":"(Konrad et al., 2016)"},"properties":{"noteIndex":0},"schema":"https://github.com/citation-style-language/schema/raw/master/csl-citation.json"}</w:instrText>
      </w:r>
      <w:r>
        <w:rPr>
          <w:rFonts w:eastAsia="Calibri" w:cs="Times New Roman" w:ascii="Times New Roman" w:hAnsi="Times New Roman"/>
          <w:sz w:val="20"/>
          <w:szCs w:val="20"/>
        </w:rPr>
      </w:r>
      <w:r>
        <w:rPr>
          <w:sz w:val="20"/>
          <w:szCs w:val="20"/>
          <w:rFonts w:eastAsia="Calibri" w:cs="Times New Roman" w:ascii="Times New Roman" w:hAnsi="Times New Roman"/>
        </w:rPr>
        <w:fldChar w:fldCharType="separate"/>
      </w:r>
      <w:r>
        <w:rPr>
          <w:rFonts w:eastAsia="Calibri" w:cs="Times New Roman" w:ascii="Times New Roman" w:hAnsi="Times New Roman"/>
          <w:sz w:val="20"/>
          <w:szCs w:val="20"/>
        </w:rPr>
        <w:t>(Konrad et al., 2016)</w:t>
      </w:r>
      <w:r>
        <w:rPr>
          <w:rFonts w:eastAsia="Calibri" w:cs="Times New Roman" w:ascii="Times New Roman" w:hAnsi="Times New Roman"/>
          <w:sz w:val="20"/>
          <w:szCs w:val="20"/>
        </w:rPr>
      </w:r>
      <w:r>
        <w:rPr>
          <w:sz w:val="20"/>
          <w:szCs w:val="20"/>
          <w:rFonts w:eastAsia="Calibri" w:cs="Times New Roman" w:ascii="Times New Roman" w:hAnsi="Times New Roman"/>
        </w:rPr>
        <w:fldChar w:fldCharType="end"/>
      </w:r>
      <w:r>
        <w:rPr>
          <w:rFonts w:eastAsia="Calibri" w:cs="Times New Roman" w:ascii="Times New Roman" w:hAnsi="Times New Roman"/>
          <w:sz w:val="20"/>
          <w:szCs w:val="20"/>
        </w:rPr>
        <w:t xml:space="preserve">. </w:t>
      </w:r>
      <w:r>
        <w:rPr>
          <w:rFonts w:eastAsia="Calibri" w:cs="Times New Roman" w:ascii="Times New Roman" w:hAnsi="Times New Roman"/>
          <w:bCs/>
          <w:sz w:val="20"/>
          <w:szCs w:val="20"/>
        </w:rPr>
        <w:t xml:space="preserve">The </w:t>
      </w:r>
      <w:r>
        <w:rPr>
          <w:rFonts w:eastAsia="Calibri" w:cs="Times New Roman" w:ascii="Times New Roman" w:hAnsi="Times New Roman"/>
          <w:sz w:val="20"/>
          <w:szCs w:val="20"/>
          <w:lang w:val="en-US"/>
        </w:rPr>
        <w:t xml:space="preserve">diversity of a board plays a key role in enhancing optimal efficiency and better corporate governance practices in an organization; this, in turn, fosters better decision-making and brings about innovation, improves information sharing, reduces uncertainty, and assists firms in resource management </w:t>
      </w:r>
      <w:r>
        <w:fldChar w:fldCharType="begin"/>
      </w:r>
      <w:r>
        <w:rPr>
          <w:sz w:val="20"/>
          <w:szCs w:val="20"/>
          <w:rFonts w:eastAsia="Calibri" w:cs="Times New Roman" w:ascii="Times New Roman" w:hAnsi="Times New Roman"/>
          <w:lang w:val="en-US"/>
        </w:rPr>
        <w:instrText>ADDIN CSL_CITATION {"citationItems":[{"id":"ITEM-1","itemData":{"ISSN":"03637425","abstract":"Boards of directors serve two important functions for organizations: monitoring management on behalf of shareholders and providing resources. Agency theorists assert that effective monitoring is a function of a board's incentives, whereas resource dependence theorists contend that the provision of resources is a function of board capital. We combine the two perspectives and argue that board capital affects both board monitoring and the provision of resources and that board incentives moderate these relationships.","author":[{"dropping-particle":"","family":"Hillman","given":"Amy J.","non-dropping-particle":"","parse-names":false,"suffix":""},{"dropping-particle":"","family":"Dalziel","given":"Thomas","non-dropping-particle":"","parse-names":false,"suffix":""}],"container-title":"Academy of Management Review","id":"ITEM-1","issue":"3","issued":{"date-parts":[["2003"]]},"page":"383-396","title":"Boards of directors and firm performance: Integrating agency and resource dependence perspectives","type":"article-journal","volume":"28"},"uris":["http://www.mendeley.com/documents/?uuid=a177b13e-f33d-41b4-ae4d-67ca3c3398e9"]}],"mendeley":{"formattedCitation":"(Hillman &amp; Dalziel, 2003)","plainTextFormattedCitation":"(Hillman &amp; Dalziel, 2003)","previouslyFormattedCitation":"(Hillman &amp; Dalziel, 2003)"},"properties":{"noteIndex":0},"schema":"https://github.com/citation-style-language/schema/raw/master/csl-citation.json"}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(Hillman &amp; Dalziel, 2003)</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In this study, university board diversity comprises the educational level, gender, ethnicity and professional qualifications of university council members, hence incorporating both the directly observable and the less observable aspects expected to influence the efficiency of universities. </w:t>
      </w:r>
    </w:p>
    <w:p>
      <w:pPr>
        <w:pStyle w:val="Normal"/>
        <w:widowControl w:val="false"/>
        <w:spacing w:lineRule="auto" w:line="252" w:before="0" w:after="0"/>
        <w:ind w:firstLine="202"/>
        <w:jc w:val="both"/>
        <w:rPr>
          <w:rFonts w:ascii="Times New Roman" w:hAnsi="Times New Roman" w:eastAsia="Calibri" w:cs="Times New Roman"/>
          <w:sz w:val="20"/>
          <w:szCs w:val="20"/>
          <w:lang w:val="en-US"/>
        </w:rPr>
      </w:pPr>
      <w:r>
        <w:rPr>
          <w:rFonts w:eastAsia="Calibri" w:cs="Times New Roman" w:ascii="Times New Roman" w:hAnsi="Times New Roman"/>
          <w:sz w:val="20"/>
          <w:szCs w:val="20"/>
          <w:lang w:val="en-US"/>
        </w:rPr>
        <w:t>This study looked further into the role of dependent and independent variables. This was achieved by how the board diversity influences the funding sources and whether it reduces or increases the effect on efficiency, answering whether funding sources are products of board diversity. The funding sources for this study included government capitation, student fees, grants and donations from development partners or partner institutions, and other incomes generated revenue based on the categorization by CUE since they can easily be derived from the audited financial accounts of each university or CUE data bank and expressed as a proportion of each funding source to the total funds. Depending on various skills, competencies and linkages among the board members who might raise funds from different sources and hence higher efficiency of universities. Hence, the funding source may make a university less or more efficient. The role of the intervening variable (funding sources) in the board diversity efficiency is shown in route H</w:t>
      </w:r>
      <w:r>
        <w:rPr>
          <w:rFonts w:eastAsia="Calibri" w:cs="Times New Roman" w:ascii="Times New Roman" w:hAnsi="Times New Roman"/>
          <w:sz w:val="20"/>
          <w:szCs w:val="20"/>
          <w:vertAlign w:val="subscript"/>
          <w:lang w:val="en-US"/>
        </w:rPr>
        <w:t>1</w:t>
      </w:r>
      <w:r>
        <w:rPr>
          <w:rFonts w:eastAsia="Calibri" w:cs="Times New Roman" w:ascii="Times New Roman" w:hAnsi="Times New Roman"/>
          <w:sz w:val="20"/>
          <w:szCs w:val="20"/>
          <w:lang w:val="en-US"/>
        </w:rPr>
        <w:t>. This entire relationship is shown in the conceptual framework in Fig. 1.</w:t>
      </w:r>
    </w:p>
    <w:p>
      <w:pPr>
        <w:pStyle w:val="Normal"/>
        <w:widowControl w:val="false"/>
        <w:spacing w:lineRule="auto" w:line="252" w:before="0" w:after="0"/>
        <w:ind w:firstLine="202"/>
        <w:jc w:val="both"/>
        <w:rPr>
          <w:rFonts w:ascii="Times New Roman" w:hAnsi="Times New Roman" w:eastAsia="Calibri" w:cs="Times New Roman"/>
          <w:sz w:val="20"/>
          <w:szCs w:val="20"/>
          <w:lang w:val="en-US"/>
        </w:rPr>
      </w:pPr>
      <w:r>
        <w:rPr>
          <w:rFonts w:eastAsia="Calibri" w:cs="Times New Roman" w:ascii="Times New Roman" w:hAnsi="Times New Roman"/>
          <w:sz w:val="20"/>
          <w:szCs w:val="20"/>
          <w:lang w:val="en-US"/>
        </w:rPr>
      </w:r>
    </w:p>
    <w:p>
      <w:pPr>
        <w:pStyle w:val="Normal"/>
        <w:widowControl w:val="false"/>
        <w:spacing w:lineRule="auto" w:line="252" w:before="0" w:after="0"/>
        <w:jc w:val="center"/>
        <w:rPr>
          <w:rFonts w:ascii="Times New Roman" w:hAnsi="Times New Roman" w:eastAsia="Calibri" w:cs="Times New Roman"/>
          <w:sz w:val="20"/>
          <w:szCs w:val="20"/>
          <w:lang w:val="en-US"/>
        </w:rPr>
      </w:pPr>
      <w:r>
        <w:rPr/>
        <w:drawing>
          <wp:inline distT="0" distB="0" distL="0" distR="0">
            <wp:extent cx="5930900" cy="26314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930900" cy="2631440"/>
                    </a:xfrm>
                    <a:prstGeom prst="rect">
                      <a:avLst/>
                    </a:prstGeom>
                  </pic:spPr>
                </pic:pic>
              </a:graphicData>
            </a:graphic>
          </wp:inline>
        </w:drawing>
      </w:r>
    </w:p>
    <w:p>
      <w:pPr>
        <w:pStyle w:val="Normal"/>
        <w:spacing w:lineRule="auto" w:line="240" w:before="0" w:after="0"/>
        <w:jc w:val="center"/>
        <w:rPr>
          <w:rFonts w:ascii="Times New Roman" w:hAnsi="Times New Roman" w:eastAsia="PMingLiU" w:cs="Times New Roman"/>
          <w:sz w:val="16"/>
          <w:szCs w:val="16"/>
          <w:lang w:val="en-US"/>
        </w:rPr>
      </w:pPr>
      <w:r>
        <w:rPr>
          <w:rFonts w:eastAsia="PMingLiU" w:cs="Times New Roman" w:ascii="Times New Roman" w:hAnsi="Times New Roman"/>
          <w:sz w:val="16"/>
          <w:szCs w:val="16"/>
          <w:lang w:val="en-US"/>
        </w:rPr>
        <w:t>Fig. 1. Conceptual framework.</w:t>
      </w:r>
    </w:p>
    <w:p>
      <w:pPr>
        <w:pStyle w:val="Normal"/>
        <w:spacing w:lineRule="auto" w:line="240" w:before="0" w:after="0"/>
        <w:jc w:val="center"/>
        <w:rPr>
          <w:rFonts w:ascii="Times New Roman" w:hAnsi="Times New Roman" w:eastAsia="PMingLiU" w:cs="Times New Roman"/>
          <w:sz w:val="16"/>
          <w:szCs w:val="16"/>
          <w:lang w:val="en-US"/>
        </w:rPr>
      </w:pPr>
      <w:r>
        <w:rPr>
          <w:rFonts w:eastAsia="PMingLiU" w:cs="Times New Roman" w:ascii="Times New Roman" w:hAnsi="Times New Roman"/>
          <w:sz w:val="16"/>
          <w:szCs w:val="16"/>
          <w:lang w:val="en-US"/>
        </w:rPr>
      </w:r>
    </w:p>
    <w:p>
      <w:pPr>
        <w:pStyle w:val="Normal"/>
        <w:widowControl w:val="false"/>
        <w:spacing w:lineRule="auto" w:line="252" w:before="0" w:after="0"/>
        <w:ind w:firstLine="202"/>
        <w:jc w:val="both"/>
        <w:rPr>
          <w:rFonts w:ascii="Times New Roman" w:hAnsi="Times New Roman" w:eastAsia="PMingLiU" w:cs="Times New Roman"/>
          <w:sz w:val="20"/>
          <w:szCs w:val="20"/>
          <w:lang w:val="en-US"/>
        </w:rPr>
      </w:pPr>
      <w:r>
        <w:rPr>
          <w:rFonts w:eastAsia="PMingLiU" w:cs="Times New Roman" w:ascii="Times New Roman" w:hAnsi="Times New Roman"/>
          <w:sz w:val="20"/>
          <w:szCs w:val="20"/>
          <w:lang w:val="en-US"/>
        </w:rPr>
        <w:t xml:space="preserve">From the conceptual model, the following null hypothesis was formulated and tested: </w:t>
      </w:r>
    </w:p>
    <w:p>
      <w:pPr>
        <w:pStyle w:val="Normal"/>
        <w:widowControl w:val="false"/>
        <w:spacing w:lineRule="auto" w:line="252" w:before="0" w:after="0"/>
        <w:ind w:left="202" w:hanging="0"/>
        <w:jc w:val="both"/>
        <w:rPr>
          <w:rFonts w:ascii="Times New Roman" w:hAnsi="Times New Roman" w:eastAsia="Calibri" w:cs="Times New Roman"/>
          <w:i/>
          <w:i/>
          <w:sz w:val="16"/>
          <w:szCs w:val="16"/>
          <w:lang w:val="en-US"/>
        </w:rPr>
      </w:pPr>
      <w:r>
        <w:rPr>
          <w:rFonts w:eastAsia="Calibri" w:cs="Times New Roman" w:ascii="Times New Roman" w:hAnsi="Times New Roman"/>
          <w:i/>
          <w:sz w:val="16"/>
          <w:szCs w:val="16"/>
          <w:lang w:val="en-US"/>
        </w:rPr>
      </w:r>
    </w:p>
    <w:p>
      <w:pPr>
        <w:pStyle w:val="Normal"/>
        <w:widowControl w:val="false"/>
        <w:spacing w:lineRule="auto" w:line="252" w:before="0" w:after="0"/>
        <w:ind w:left="202" w:hanging="0"/>
        <w:jc w:val="both"/>
        <w:rPr>
          <w:rFonts w:ascii="Times New Roman" w:hAnsi="Times New Roman" w:eastAsia="Calibri" w:cs="Times New Roman"/>
          <w:i/>
          <w:i/>
          <w:sz w:val="20"/>
          <w:szCs w:val="20"/>
          <w:lang w:val="en-US"/>
        </w:rPr>
      </w:pPr>
      <w:r>
        <w:rPr>
          <w:rFonts w:eastAsia="Calibri" w:cs="Times New Roman" w:ascii="Times New Roman" w:hAnsi="Times New Roman"/>
          <w:i/>
          <w:sz w:val="20"/>
          <w:szCs w:val="20"/>
          <w:lang w:val="en-US"/>
        </w:rPr>
        <w:t>H</w:t>
      </w:r>
      <w:r>
        <w:rPr>
          <w:rFonts w:eastAsia="Calibri" w:cs="Times New Roman" w:ascii="Times New Roman" w:hAnsi="Times New Roman"/>
          <w:i/>
          <w:sz w:val="20"/>
          <w:szCs w:val="20"/>
          <w:vertAlign w:val="subscript"/>
          <w:lang w:val="en-US"/>
        </w:rPr>
        <w:t>1</w:t>
      </w:r>
      <w:r>
        <w:rPr>
          <w:rFonts w:eastAsia="Calibri" w:cs="Times New Roman" w:ascii="Times New Roman" w:hAnsi="Times New Roman"/>
          <w:i/>
          <w:sz w:val="20"/>
          <w:szCs w:val="20"/>
          <w:lang w:val="en-US"/>
        </w:rPr>
        <w:t xml:space="preserve">: Funding sources do not significantly mediate </w:t>
      </w:r>
      <w:bookmarkStart w:id="5" w:name="_Hlk84194443"/>
      <w:r>
        <w:rPr>
          <w:rFonts w:eastAsia="Calibri" w:cs="Times New Roman" w:ascii="Times New Roman" w:hAnsi="Times New Roman"/>
          <w:i/>
          <w:sz w:val="20"/>
          <w:szCs w:val="20"/>
          <w:lang w:val="en-US"/>
        </w:rPr>
        <w:t>the relationship between board diversity and the efficiency of universities registered in Kenya.</w:t>
      </w:r>
      <w:bookmarkEnd w:id="5"/>
    </w:p>
    <w:p>
      <w:pPr>
        <w:pStyle w:val="Normal"/>
        <w:widowControl w:val="false"/>
        <w:spacing w:lineRule="auto" w:line="252" w:before="0" w:after="0"/>
        <w:ind w:left="202" w:hanging="0"/>
        <w:jc w:val="both"/>
        <w:rPr>
          <w:rFonts w:ascii="Times New Roman" w:hAnsi="Times New Roman" w:eastAsia="Calibri" w:cs="Times New Roman"/>
          <w:iCs/>
          <w:sz w:val="20"/>
          <w:szCs w:val="20"/>
          <w:lang w:val="en-US"/>
        </w:rPr>
      </w:pPr>
      <w:r>
        <w:rPr>
          <w:rFonts w:eastAsia="Calibri" w:cs="Times New Roman" w:ascii="Times New Roman" w:hAnsi="Times New Roman"/>
          <w:iCs/>
          <w:sz w:val="20"/>
          <w:szCs w:val="20"/>
          <w:lang w:val="en-US"/>
        </w:rPr>
      </w:r>
    </w:p>
    <w:p>
      <w:pPr>
        <w:pStyle w:val="Normal"/>
        <w:keepNext w:val="true"/>
        <w:numPr>
          <w:ilvl w:val="0"/>
          <w:numId w:val="0"/>
        </w:numPr>
        <w:spacing w:lineRule="auto" w:line="240" w:before="240" w:after="120"/>
        <w:ind w:left="0" w:hanging="0"/>
        <w:jc w:val="center"/>
        <w:outlineLvl w:val="0"/>
        <w:rPr>
          <w:rFonts w:ascii="Times New Roman" w:hAnsi="Times New Roman" w:eastAsia="PMingLiU" w:cs="Times New Roman"/>
          <w:smallCaps/>
          <w:kern w:val="2"/>
          <w:sz w:val="20"/>
          <w:szCs w:val="20"/>
          <w:lang w:val="en-US"/>
        </w:rPr>
      </w:pPr>
      <w:r>
        <w:rPr>
          <w:rFonts w:eastAsia="PMingLiU" w:cs="Times New Roman" w:ascii="Times New Roman" w:hAnsi="Times New Roman"/>
          <w:smallCaps/>
          <w:kern w:val="2"/>
          <w:sz w:val="20"/>
          <w:szCs w:val="20"/>
          <w:lang w:val="en-US"/>
        </w:rPr>
        <w:t>III. Methodology</w:t>
      </w:r>
    </w:p>
    <w:p>
      <w:pPr>
        <w:pStyle w:val="ListParagraph"/>
        <w:keepNext w:val="true"/>
        <w:numPr>
          <w:ilvl w:val="0"/>
          <w:numId w:val="3"/>
        </w:numPr>
        <w:spacing w:lineRule="auto" w:line="240" w:before="120" w:after="60"/>
        <w:contextualSpacing/>
        <w:outlineLvl w:val="1"/>
        <w:rPr>
          <w:rFonts w:eastAsia="PMingLiU" w:cs="Times New Roman"/>
          <w:i/>
          <w:i/>
          <w:iCs/>
          <w:sz w:val="20"/>
          <w:szCs w:val="20"/>
          <w:lang w:val="en-US"/>
        </w:rPr>
      </w:pPr>
      <w:r>
        <w:rPr>
          <w:rFonts w:eastAsia="PMingLiU" w:cs="Times New Roman"/>
          <w:i/>
          <w:iCs/>
          <w:sz w:val="20"/>
          <w:szCs w:val="20"/>
          <w:lang w:val="en-US"/>
        </w:rPr>
        <w:t>Data</w:t>
      </w:r>
    </w:p>
    <w:p>
      <w:pPr>
        <w:pStyle w:val="Normal"/>
        <w:widowControl w:val="false"/>
        <w:spacing w:lineRule="auto" w:line="252" w:before="0" w:after="0"/>
        <w:ind w:firstLine="202"/>
        <w:jc w:val="both"/>
        <w:rPr>
          <w:rFonts w:ascii="Times New Roman" w:hAnsi="Times New Roman" w:eastAsia="Calibri" w:cs="Times New Roman"/>
          <w:sz w:val="20"/>
          <w:szCs w:val="20"/>
          <w:lang w:val="en-US"/>
        </w:rPr>
      </w:pPr>
      <w:r>
        <w:rPr>
          <w:rFonts w:eastAsia="Calibri" w:cs="Times New Roman" w:ascii="Times New Roman" w:hAnsi="Times New Roman"/>
          <w:sz w:val="20"/>
          <w:szCs w:val="20"/>
          <w:lang w:val="en-US"/>
        </w:rPr>
        <w:t xml:space="preserve">The study targeted all 75 Kenyan public and private universities, including the constituent university colleges, from 2013 to 2020. A census survey of all public and private universities registered by Kenya’s Commission of University Education (CUE) was used. Secondary data was collected from CUE data bank, official university websites and the audited annual reports and financial statements for public and private universities registered by CUE from 2013 to 2020. This study period is justified because it was during this period that CUE, through its Planning, Research and Development Division, could collect accurate data and information about universities in Kenya through a first-ever status report </w:t>
      </w:r>
      <w:r>
        <w:fldChar w:fldCharType="begin"/>
      </w:r>
      <w:r>
        <w:rPr>
          <w:sz w:val="20"/>
          <w:szCs w:val="20"/>
          <w:rFonts w:eastAsia="Calibri" w:cs="Times New Roman" w:ascii="Times New Roman" w:hAnsi="Times New Roman"/>
          <w:lang w:val="en-US"/>
        </w:rPr>
        <w:instrText>ADDIN CSL_CITATION {"citationItems":[{"id":"ITEM-1","itemData":{"author":[{"dropping-particle":"","family":"Commission for University Education","given":"","non-dropping-particle":"","parse-names":false,"suffix":""}],"id":"ITEM-1","issued":{"date-parts":[["2016"]]},"number-of-pages":"1 - 176","title":"State of University Education in Kenya (2015/2016). (E. J. Mukhwana, Ed.), Commission of University Education","type":"report"},"uris":["http://www.mendeley.com/documents/?uuid=4f432b34-bfa5-4eb7-bfe7-7a87f7e038ed","http://www.mendeley.com/documents/?uuid=f0cee581-2295-4a93-b87d-b5bb5ebd8e5e"]}],"mendeley":{"formattedCitation":"(Commission for University Education, 2016)","manualFormatting":"(CUE, 2021)","plainTextFormattedCitation":"(Commission for University Education, 2016)","previouslyFormattedCitation":"(Commission for University Education, 2016)"},"properties":{"noteIndex":0},"schema":"https://github.com/citation-style-language/schema/raw/master/csl-citation.json"}</w:instrTex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separate"/>
      </w:r>
      <w:r>
        <w:rPr>
          <w:rFonts w:eastAsia="Calibri" w:cs="Times New Roman" w:ascii="Times New Roman" w:hAnsi="Times New Roman"/>
          <w:sz w:val="20"/>
          <w:szCs w:val="20"/>
          <w:lang w:val="en-US"/>
        </w:rPr>
        <w:t>(CUE, 2021)</w:t>
      </w:r>
      <w:r>
        <w:rPr>
          <w:rFonts w:eastAsia="Calibri" w:cs="Times New Roman" w:ascii="Times New Roman" w:hAnsi="Times New Roman"/>
          <w:sz w:val="20"/>
          <w:szCs w:val="20"/>
          <w:lang w:val="en-US"/>
        </w:rPr>
      </w:r>
      <w:r>
        <w:rPr>
          <w:sz w:val="20"/>
          <w:szCs w:val="20"/>
          <w:rFonts w:eastAsia="Calibri" w:cs="Times New Roman" w:ascii="Times New Roman" w:hAnsi="Times New Roman"/>
          <w:lang w:val="en-US"/>
        </w:rPr>
        <w:fldChar w:fldCharType="end"/>
      </w:r>
      <w:r>
        <w:rPr>
          <w:rFonts w:eastAsia="Calibri" w:cs="Times New Roman" w:ascii="Times New Roman" w:hAnsi="Times New Roman"/>
          <w:sz w:val="20"/>
          <w:szCs w:val="20"/>
          <w:lang w:val="en-US"/>
        </w:rPr>
        <w:t xml:space="preserve">. Hence signifying the availability of accurate data during the period. Also, the same period that the Universities Act 2012 was established significantly impacted the governance of universities in Kenya. Most of the university councils of public universities in Kenya were appointed in 2013 under the new Universities Act 2012 to serve for an initial term of 4 years and one more term of 3 years. Therefore, to observe two cycles in a university council required a minimum of 7 years in the study. </w:t>
      </w:r>
    </w:p>
    <w:p>
      <w:pPr>
        <w:pStyle w:val="Normal"/>
        <w:widowControl w:val="false"/>
        <w:spacing w:lineRule="auto" w:line="252" w:before="0" w:after="0"/>
        <w:ind w:firstLine="202"/>
        <w:jc w:val="both"/>
        <w:rPr>
          <w:rFonts w:ascii="Times New Roman" w:hAnsi="Times New Roman" w:cs="Times New Roman"/>
          <w:sz w:val="20"/>
          <w:szCs w:val="20"/>
          <w:lang w:val="en-US"/>
        </w:rPr>
      </w:pPr>
      <w:r>
        <w:rPr>
          <w:rFonts w:eastAsia="Calibri" w:cs="Times New Roman" w:ascii="Times New Roman" w:hAnsi="Times New Roman"/>
          <w:sz w:val="20"/>
          <w:szCs w:val="20"/>
          <w:lang w:val="en-US"/>
        </w:rPr>
        <w:t xml:space="preserve">Data from yearly reports and financial statements was collected and recorded. For each variable, data was obtained from the yearly reports and official university websites and recorded in a data collection sheet to minimize omission and other errors that may result in time-saving during editing and coding. </w:t>
      </w:r>
      <w:r>
        <w:rPr>
          <w:rFonts w:eastAsia="Times New Roman" w:cs="Times New Roman" w:ascii="Times New Roman" w:hAnsi="Times New Roman"/>
          <w:sz w:val="20"/>
          <w:szCs w:val="20"/>
          <w:lang w:val="en-US"/>
        </w:rPr>
        <w:t xml:space="preserve">According to </w:t>
      </w:r>
      <w:r>
        <w:fldChar w:fldCharType="begin"/>
      </w:r>
      <w:r>
        <w:rPr>
          <w:sz w:val="20"/>
          <w:szCs w:val="20"/>
          <w:rFonts w:eastAsia="Times New Roman" w:cs="Times New Roman" w:ascii="Times New Roman" w:hAnsi="Times New Roman"/>
          <w:lang w:val="en-US"/>
        </w:rPr>
        <w:instrText>ADDIN CSL_CITATION {"citationItems":[{"id":"ITEM-1","itemData":{"ISSN":"2393-1795","abstract":"Reliability and validity are two most important and fundamental features in the evaluation of any measurement instrument or toll for a good research. The purpose of this research is to discuss the validity and reliability of measurement instruments that are used in research. Validity concerns what an instrument measures, and how well it does so. Reliability concerns the faith that one can have in the data obtained from use of an instrument, that is, the degree to which any measuring tool controls for random error. An attempt has been taken here to review the reliability and validity, and threat to them in some details.","author":[{"dropping-particle":"","family":"Mohajan","given":"Haradhan Kumar","non-dropping-particle":"","parse-names":false,"suffix":""}],"container-title":"Annals of Spiru Haret University. Economic Series","id":"ITEM-1","issue":"4","issued":{"date-parts":[["2017"]]},"page":"59-82","title":"Two Criteria for Good Measurements in Research: Validity and Reliability","type":"article-journal","volume":"17"},"uris":["http://www.mendeley.com/documents/?uuid=f97b1bbf-2bd0-4d14-9ce9-4e2fef257081"]}],"mendeley":{"formattedCitation":"(Mohajan, 2017)","manualFormatting":"Mohajan (2017)","plainTextFormattedCitation":"(Mohajan, 2017)","previouslyFormattedCitation":"(Mohajan, 2017)"},"properties":{"noteIndex":0},"schema":"https://github.com/citation-style-language/schema/raw/master/csl-citation.json"}</w:instrText>
      </w:r>
      <w:r>
        <w:rPr>
          <w:rFonts w:eastAsia="Times New Roman" w:cs="Times New Roman" w:ascii="Times New Roman" w:hAnsi="Times New Roman"/>
          <w:sz w:val="20"/>
          <w:szCs w:val="20"/>
          <w:lang w:val="en-US"/>
        </w:rPr>
      </w:r>
      <w:r>
        <w:rPr>
          <w:sz w:val="20"/>
          <w:szCs w:val="20"/>
          <w:rFonts w:eastAsia="Times New Roman" w:cs="Times New Roman" w:ascii="Times New Roman" w:hAnsi="Times New Roman"/>
          <w:lang w:val="en-US"/>
        </w:rPr>
        <w:fldChar w:fldCharType="separate"/>
      </w:r>
      <w:r>
        <w:rPr>
          <w:rFonts w:eastAsia="Times New Roman" w:cs="Times New Roman" w:ascii="Times New Roman" w:hAnsi="Times New Roman"/>
          <w:sz w:val="20"/>
          <w:szCs w:val="20"/>
          <w:lang w:val="en-US"/>
        </w:rPr>
        <w:t>Mohajan (2017)</w:t>
      </w:r>
      <w:r>
        <w:rPr>
          <w:rFonts w:eastAsia="Times New Roman" w:cs="Times New Roman" w:ascii="Times New Roman" w:hAnsi="Times New Roman"/>
          <w:sz w:val="20"/>
          <w:szCs w:val="20"/>
          <w:lang w:val="en-US"/>
        </w:rPr>
      </w:r>
      <w:r>
        <w:rPr>
          <w:sz w:val="20"/>
          <w:szCs w:val="20"/>
          <w:rFonts w:eastAsia="Times New Roman" w:cs="Times New Roman" w:ascii="Times New Roman" w:hAnsi="Times New Roman"/>
          <w:lang w:val="en-US"/>
        </w:rPr>
        <w:fldChar w:fldCharType="end"/>
      </w:r>
      <w:r>
        <w:rPr>
          <w:rFonts w:eastAsia="Times New Roman" w:cs="Times New Roman" w:ascii="Times New Roman" w:hAnsi="Times New Roman"/>
          <w:sz w:val="20"/>
          <w:szCs w:val="20"/>
          <w:lang w:val="en-US"/>
        </w:rPr>
        <w:t>, panel data is widely applied since it gives increased precise inference of model parameters. It offers an increased capacity for capturing complex human behaviour than a single time series or cross-section data; it is suited for testing and constructing more complicated behavioural hypotheses; It is essential for limiting the effect of omitted variables; it uncovers dynamic relationships; it is capable of producing more concise estimates for individual upshots by data pooling in place of individual outcomes estimates generation; it generates micro-foundations for the data analysis and finally making it easier to undertake computation and statistical inference. In this study, unbalanced panel data was used since some universities were registered after 2013.</w:t>
      </w:r>
    </w:p>
    <w:p>
      <w:pPr>
        <w:pStyle w:val="ListParagraph"/>
        <w:keepNext w:val="true"/>
        <w:numPr>
          <w:ilvl w:val="0"/>
          <w:numId w:val="3"/>
        </w:numPr>
        <w:spacing w:lineRule="auto" w:line="240" w:before="120" w:after="60"/>
        <w:contextualSpacing/>
        <w:outlineLvl w:val="1"/>
        <w:rPr>
          <w:rFonts w:eastAsia="PMingLiU" w:cs="Times New Roman"/>
          <w:i/>
          <w:i/>
          <w:iCs/>
          <w:sz w:val="20"/>
          <w:szCs w:val="20"/>
          <w:lang w:val="en-US"/>
        </w:rPr>
      </w:pPr>
      <w:r>
        <w:rPr>
          <w:rFonts w:eastAsia="PMingLiU" w:cs="Times New Roman"/>
          <w:i/>
          <w:iCs/>
          <w:sz w:val="20"/>
          <w:szCs w:val="20"/>
          <w:lang w:val="en-US"/>
        </w:rPr>
        <w:t>Data Analysis</w:t>
      </w:r>
    </w:p>
    <w:p>
      <w:pPr>
        <w:pStyle w:val="Normal"/>
        <w:widowControl w:val="false"/>
        <w:spacing w:lineRule="auto" w:line="240" w:before="0" w:after="0"/>
        <w:ind w:firstLine="202"/>
        <w:jc w:val="both"/>
        <w:rPr>
          <w:rFonts w:ascii="Times New Roman" w:hAnsi="Times New Roman" w:eastAsia="Times New Roman" w:cs="Times New Roman"/>
          <w:sz w:val="20"/>
          <w:szCs w:val="20"/>
          <w:lang w:val="en-US"/>
        </w:rPr>
      </w:pPr>
      <w:r>
        <w:rPr>
          <w:rFonts w:eastAsia="Calibri" w:cs="Times New Roman" w:ascii="Times New Roman" w:hAnsi="Times New Roman"/>
          <w:sz w:val="20"/>
          <w:szCs w:val="20"/>
          <w:lang w:val="en-US"/>
        </w:rPr>
        <w:t xml:space="preserve">Descriptive and inferential statistics were used to analyze data in this study. Two stages of analysis were employed: first, computation of efficiency scores using DEA, and second, regressing scores on the predictor variables. </w:t>
      </w:r>
      <w:r>
        <w:rPr>
          <w:rFonts w:eastAsia="Times New Roman" w:cs="Times New Roman" w:ascii="Times New Roman" w:hAnsi="Times New Roman"/>
          <w:sz w:val="20"/>
          <w:szCs w:val="20"/>
          <w:lang w:val="en-US"/>
        </w:rPr>
        <w:t xml:space="preserve">The mediation is a causal chain where the explanatory variable (board diversity) affects the second variable (funding sources), which in turn affects a third variable (efficiency). According to </w:t>
      </w:r>
      <w:r>
        <w:fldChar w:fldCharType="begin"/>
      </w:r>
      <w:r>
        <w:rPr>
          <w:sz w:val="20"/>
          <w:szCs w:val="20"/>
          <w:rFonts w:eastAsia="Times New Roman" w:cs="Times New Roman" w:ascii="Times New Roman" w:hAnsi="Times New Roman"/>
          <w:lang w:val="en-US"/>
        </w:rPr>
        <w:instrText>ADDIN CSL_CITATION {"citationItems":[{"id":"ITEM-1","itemData":{"abstract":"In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 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 propriate for making the most effective use of the moderator and mediator distinction, both sepa- rately and in terms of a broader causal system that includes both moderators and mediators.","author":[{"dropping-particle":"","family":"Baron","given":"Reuben","non-dropping-particle":"","parse-names":false,"suffix":""},{"dropping-particle":"","family":"Kenny","given":"David","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Considerations","type":"article-journal","volume":"51"},"uris":["http://www.mendeley.com/documents/?uuid=e2f3017c-f868-43f2-8920-02b1e8dd8d1a"]}],"mendeley":{"formattedCitation":"(Baron &amp; Kenny, 1986)","manualFormatting":"Baron and Kenny (1986)","plainTextFormattedCitation":"(Baron &amp; Kenny, 1986)"},"properties":{"noteIndex":0},"schema":"https://github.com/citation-style-language/schema/raw/master/csl-citation.json"}</w:instrText>
      </w:r>
      <w:r>
        <w:rPr>
          <w:rFonts w:eastAsia="Times New Roman" w:cs="Times New Roman" w:ascii="Times New Roman" w:hAnsi="Times New Roman"/>
          <w:sz w:val="20"/>
          <w:szCs w:val="20"/>
          <w:lang w:val="en-US"/>
        </w:rPr>
      </w:r>
      <w:r>
        <w:rPr>
          <w:sz w:val="20"/>
          <w:szCs w:val="20"/>
          <w:rFonts w:eastAsia="Times New Roman" w:cs="Times New Roman" w:ascii="Times New Roman" w:hAnsi="Times New Roman"/>
          <w:lang w:val="en-US"/>
        </w:rPr>
        <w:fldChar w:fldCharType="separate"/>
      </w:r>
      <w:r>
        <w:rPr>
          <w:rFonts w:eastAsia="Times New Roman" w:cs="Times New Roman" w:ascii="Times New Roman" w:hAnsi="Times New Roman"/>
          <w:sz w:val="20"/>
          <w:szCs w:val="20"/>
          <w:lang w:val="en-US"/>
        </w:rPr>
        <w:t>Baron and Kenny (1986)</w:t>
      </w:r>
      <w:r>
        <w:rPr>
          <w:rFonts w:eastAsia="Times New Roman" w:cs="Times New Roman" w:ascii="Times New Roman" w:hAnsi="Times New Roman"/>
          <w:sz w:val="20"/>
          <w:szCs w:val="20"/>
          <w:lang w:val="en-US"/>
        </w:rPr>
      </w:r>
      <w:r>
        <w:rPr>
          <w:sz w:val="20"/>
          <w:szCs w:val="20"/>
          <w:rFonts w:eastAsia="Times New Roman" w:cs="Times New Roman" w:ascii="Times New Roman" w:hAnsi="Times New Roman"/>
          <w:lang w:val="en-US"/>
        </w:rPr>
        <w:fldChar w:fldCharType="end"/>
      </w: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color w:val="FF0000"/>
          <w:sz w:val="20"/>
          <w:szCs w:val="20"/>
          <w:lang w:val="en-US"/>
        </w:rPr>
        <w:t xml:space="preserve"> </w:t>
      </w:r>
      <w:r>
        <w:rPr>
          <w:rFonts w:eastAsia="Times New Roman" w:cs="Times New Roman" w:ascii="Times New Roman" w:hAnsi="Times New Roman"/>
          <w:sz w:val="20"/>
          <w:szCs w:val="20"/>
          <w:lang w:val="en-US"/>
        </w:rPr>
        <w:t>there are two main methods to evaluate the mediation: (1) The causal steps strategy, which assesses the significance of the regression weights of the individual paths in the mediation models, and the product of coefficients approach, which evaluates the significance of the indirect effect. Since this study is longitudinal, the causal steps strategy of testing mediation is the most plausible approach. Four essential conditions must be met to accomplish mediation using a causal steps strategy. First, there should be a significant link between the explanatory variable (board diversity) and the outcome variable (efficiency). Secondly, there should be a significant association between the predictor variable (board diversity) and the mediator (funding sources). Thirdly, the mediating variable (funding) may be significantly related to the outcome variable (efficiency) while controlling for the predictor variable (board diversity). Fourthly, the independent variable (board diversity) should be insignificantly related to the outcome variable (efficiency) while controlling for the mediator (funding sources).</w:t>
      </w:r>
    </w:p>
    <w:p>
      <w:pPr>
        <w:pStyle w:val="Normal"/>
        <w:widowControl w:val="false"/>
        <w:spacing w:lineRule="auto" w:line="240" w:before="0" w:after="0"/>
        <w:ind w:firstLine="202"/>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The mediation relationships are established in</w:t>
      </w:r>
      <w:r>
        <w:rPr>
          <w:rFonts w:eastAsia="Times New Roman" w:cs="Times New Roman" w:ascii="Times New Roman" w:hAnsi="Times New Roman"/>
          <w:spacing w:val="1"/>
          <w:sz w:val="20"/>
          <w:szCs w:val="20"/>
          <w:lang w:val="en-US"/>
        </w:rPr>
        <w:t xml:space="preserve"> </w:t>
      </w:r>
      <w:r>
        <w:rPr>
          <w:rFonts w:eastAsia="Times New Roman" w:cs="Times New Roman" w:ascii="Times New Roman" w:hAnsi="Times New Roman"/>
          <w:sz w:val="20"/>
          <w:szCs w:val="20"/>
          <w:lang w:val="en-US"/>
        </w:rPr>
        <w:t>four</w:t>
      </w:r>
      <w:r>
        <w:rPr>
          <w:rFonts w:eastAsia="Times New Roman" w:cs="Times New Roman" w:ascii="Times New Roman" w:hAnsi="Times New Roman"/>
          <w:spacing w:val="-4"/>
          <w:sz w:val="20"/>
          <w:szCs w:val="20"/>
          <w:lang w:val="en-US"/>
        </w:rPr>
        <w:t xml:space="preserve"> </w:t>
      </w:r>
      <w:r>
        <w:rPr>
          <w:rFonts w:eastAsia="Times New Roman" w:cs="Times New Roman" w:ascii="Times New Roman" w:hAnsi="Times New Roman"/>
          <w:sz w:val="20"/>
          <w:szCs w:val="20"/>
          <w:lang w:val="en-US"/>
        </w:rPr>
        <w:t>steps</w:t>
      </w:r>
      <w:r>
        <w:rPr>
          <w:rFonts w:eastAsia="Times New Roman" w:cs="Times New Roman" w:ascii="Times New Roman" w:hAnsi="Times New Roman"/>
          <w:spacing w:val="-1"/>
          <w:sz w:val="20"/>
          <w:szCs w:val="20"/>
          <w:lang w:val="en-US"/>
        </w:rPr>
        <w:t xml:space="preserve"> </w:t>
      </w:r>
      <w:r>
        <w:rPr>
          <w:rFonts w:eastAsia="Times New Roman" w:cs="Times New Roman" w:ascii="Times New Roman" w:hAnsi="Times New Roman"/>
          <w:sz w:val="20"/>
          <w:szCs w:val="20"/>
          <w:lang w:val="en-US"/>
        </w:rPr>
        <w:t>with</w:t>
      </w:r>
      <w:r>
        <w:rPr>
          <w:rFonts w:eastAsia="Times New Roman" w:cs="Times New Roman" w:ascii="Times New Roman" w:hAnsi="Times New Roman"/>
          <w:spacing w:val="-1"/>
          <w:sz w:val="20"/>
          <w:szCs w:val="20"/>
          <w:lang w:val="en-US"/>
        </w:rPr>
        <w:t xml:space="preserve"> </w:t>
      </w:r>
      <w:r>
        <w:rPr>
          <w:rFonts w:eastAsia="Times New Roman" w:cs="Times New Roman" w:ascii="Times New Roman" w:hAnsi="Times New Roman"/>
          <w:sz w:val="20"/>
          <w:szCs w:val="20"/>
          <w:lang w:val="en-US"/>
        </w:rPr>
        <w:t>the</w:t>
      </w:r>
      <w:r>
        <w:rPr>
          <w:rFonts w:eastAsia="Times New Roman" w:cs="Times New Roman" w:ascii="Times New Roman" w:hAnsi="Times New Roman"/>
          <w:spacing w:val="-3"/>
          <w:sz w:val="20"/>
          <w:szCs w:val="20"/>
          <w:lang w:val="en-US"/>
        </w:rPr>
        <w:t xml:space="preserve"> </w:t>
      </w:r>
      <w:r>
        <w:rPr>
          <w:rFonts w:eastAsia="Times New Roman" w:cs="Times New Roman" w:ascii="Times New Roman" w:hAnsi="Times New Roman"/>
          <w:sz w:val="20"/>
          <w:szCs w:val="20"/>
          <w:lang w:val="en-US"/>
        </w:rPr>
        <w:t>help of</w:t>
      </w:r>
      <w:r>
        <w:rPr>
          <w:rFonts w:eastAsia="Times New Roman" w:cs="Times New Roman" w:ascii="Times New Roman" w:hAnsi="Times New Roman"/>
          <w:spacing w:val="-1"/>
          <w:sz w:val="20"/>
          <w:szCs w:val="20"/>
          <w:lang w:val="en-US"/>
        </w:rPr>
        <w:t xml:space="preserve"> </w:t>
      </w:r>
      <w:r>
        <w:rPr>
          <w:rFonts w:eastAsia="Times New Roman" w:cs="Times New Roman" w:ascii="Times New Roman" w:hAnsi="Times New Roman"/>
          <w:sz w:val="20"/>
          <w:szCs w:val="20"/>
          <w:lang w:val="en-US"/>
        </w:rPr>
        <w:t>three</w:t>
      </w:r>
      <w:r>
        <w:rPr>
          <w:rFonts w:eastAsia="Times New Roman" w:cs="Times New Roman" w:ascii="Times New Roman" w:hAnsi="Times New Roman"/>
          <w:spacing w:val="-2"/>
          <w:sz w:val="20"/>
          <w:szCs w:val="20"/>
          <w:lang w:val="en-US"/>
        </w:rPr>
        <w:t xml:space="preserve"> </w:t>
      </w:r>
      <w:r>
        <w:rPr>
          <w:rFonts w:eastAsia="Times New Roman" w:cs="Times New Roman" w:ascii="Times New Roman" w:hAnsi="Times New Roman"/>
          <w:sz w:val="20"/>
          <w:szCs w:val="20"/>
          <w:lang w:val="en-US"/>
        </w:rPr>
        <w:t>regression</w:t>
      </w:r>
      <w:r>
        <w:rPr>
          <w:rFonts w:eastAsia="Times New Roman" w:cs="Times New Roman" w:ascii="Times New Roman" w:hAnsi="Times New Roman"/>
          <w:spacing w:val="-2"/>
          <w:sz w:val="20"/>
          <w:szCs w:val="20"/>
          <w:lang w:val="en-US"/>
        </w:rPr>
        <w:t xml:space="preserve"> </w:t>
      </w:r>
      <w:r>
        <w:rPr>
          <w:rFonts w:eastAsia="Times New Roman" w:cs="Times New Roman" w:ascii="Times New Roman" w:hAnsi="Times New Roman"/>
          <w:sz w:val="20"/>
          <w:szCs w:val="20"/>
          <w:lang w:val="en-US"/>
        </w:rPr>
        <w:t>equations (Baron &amp; Kenny, 1986). To</w:t>
      </w:r>
      <w:r>
        <w:rPr>
          <w:rFonts w:eastAsia="Times New Roman" w:cs="Times New Roman" w:ascii="Times New Roman" w:hAnsi="Times New Roman"/>
          <w:spacing w:val="-1"/>
          <w:sz w:val="20"/>
          <w:szCs w:val="20"/>
          <w:lang w:val="en-US"/>
        </w:rPr>
        <w:t xml:space="preserve"> </w:t>
      </w:r>
      <w:r>
        <w:rPr>
          <w:rFonts w:eastAsia="Times New Roman" w:cs="Times New Roman" w:ascii="Times New Roman" w:hAnsi="Times New Roman"/>
          <w:sz w:val="20"/>
          <w:szCs w:val="20"/>
          <w:lang w:val="en-US"/>
        </w:rPr>
        <w:t>determine</w:t>
      </w:r>
      <w:r>
        <w:rPr>
          <w:rFonts w:eastAsia="Times New Roman" w:cs="Times New Roman" w:ascii="Times New Roman" w:hAnsi="Times New Roman"/>
          <w:spacing w:val="-3"/>
          <w:sz w:val="20"/>
          <w:szCs w:val="20"/>
          <w:lang w:val="en-US"/>
        </w:rPr>
        <w:t xml:space="preserve"> </w:t>
      </w:r>
      <w:r>
        <w:rPr>
          <w:rFonts w:eastAsia="Times New Roman" w:cs="Times New Roman" w:ascii="Times New Roman" w:hAnsi="Times New Roman"/>
          <w:sz w:val="20"/>
          <w:szCs w:val="20"/>
          <w:lang w:val="en-US"/>
        </w:rPr>
        <w:t>the</w:t>
      </w:r>
      <w:r>
        <w:rPr>
          <w:rFonts w:eastAsia="Times New Roman" w:cs="Times New Roman" w:ascii="Times New Roman" w:hAnsi="Times New Roman"/>
          <w:spacing w:val="-1"/>
          <w:sz w:val="20"/>
          <w:szCs w:val="20"/>
          <w:lang w:val="en-US"/>
        </w:rPr>
        <w:t xml:space="preserve"> </w:t>
      </w:r>
      <w:r>
        <w:rPr>
          <w:rFonts w:eastAsia="Times New Roman" w:cs="Times New Roman" w:ascii="Times New Roman" w:hAnsi="Times New Roman"/>
          <w:sz w:val="20"/>
          <w:szCs w:val="20"/>
          <w:lang w:val="en-US"/>
        </w:rPr>
        <w:t>intervening</w:t>
      </w:r>
      <w:r>
        <w:rPr>
          <w:rFonts w:eastAsia="Times New Roman" w:cs="Times New Roman" w:ascii="Times New Roman" w:hAnsi="Times New Roman"/>
          <w:spacing w:val="-1"/>
          <w:sz w:val="20"/>
          <w:szCs w:val="20"/>
          <w:lang w:val="en-US"/>
        </w:rPr>
        <w:t xml:space="preserve"> effect of</w:t>
      </w:r>
      <w:r>
        <w:rPr>
          <w:rFonts w:eastAsia="Times New Roman" w:cs="Times New Roman" w:ascii="Times New Roman" w:hAnsi="Times New Roman"/>
          <w:sz w:val="20"/>
          <w:szCs w:val="20"/>
          <w:lang w:val="en-US"/>
        </w:rPr>
        <w:t xml:space="preserve"> funding sources on the link between the diversity of a board and efficiency</w:t>
      </w:r>
      <w:r>
        <w:rPr>
          <w:rFonts w:eastAsia="Times New Roman" w:cs="Times New Roman" w:ascii="Times New Roman" w:hAnsi="Times New Roman"/>
          <w:position w:val="2"/>
          <w:sz w:val="20"/>
          <w:szCs w:val="20"/>
          <w:lang w:val="en-US"/>
        </w:rPr>
        <w:t>,</w:t>
      </w:r>
      <w:r>
        <w:rPr>
          <w:rFonts w:eastAsia="Times New Roman" w:cs="Times New Roman" w:ascii="Times New Roman" w:hAnsi="Times New Roman"/>
          <w:spacing w:val="1"/>
          <w:position w:val="2"/>
          <w:sz w:val="20"/>
          <w:szCs w:val="20"/>
          <w:lang w:val="en-US"/>
        </w:rPr>
        <w:t xml:space="preserve"> </w:t>
      </w:r>
      <w:r>
        <w:rPr>
          <w:rFonts w:eastAsia="Times New Roman" w:cs="Times New Roman" w:ascii="Times New Roman" w:hAnsi="Times New Roman"/>
          <w:position w:val="2"/>
          <w:sz w:val="20"/>
          <w:szCs w:val="20"/>
          <w:lang w:val="en-US"/>
        </w:rPr>
        <w:t>a</w:t>
      </w:r>
      <w:r>
        <w:rPr>
          <w:rFonts w:eastAsia="Times New Roman" w:cs="Times New Roman" w:ascii="Times New Roman" w:hAnsi="Times New Roman"/>
          <w:spacing w:val="1"/>
          <w:position w:val="2"/>
          <w:sz w:val="20"/>
          <w:szCs w:val="20"/>
          <w:lang w:val="en-US"/>
        </w:rPr>
        <w:t xml:space="preserve"> </w:t>
      </w:r>
      <w:r>
        <w:rPr>
          <w:rFonts w:eastAsia="Times New Roman" w:cs="Times New Roman" w:ascii="Times New Roman" w:hAnsi="Times New Roman"/>
          <w:position w:val="2"/>
          <w:sz w:val="20"/>
          <w:szCs w:val="20"/>
          <w:lang w:val="en-US"/>
        </w:rPr>
        <w:t>three</w:t>
      </w:r>
      <w:r>
        <w:rPr>
          <w:rFonts w:eastAsia="Times New Roman" w:cs="Times New Roman" w:ascii="Times New Roman" w:hAnsi="Times New Roman"/>
          <w:spacing w:val="1"/>
          <w:position w:val="2"/>
          <w:sz w:val="20"/>
          <w:szCs w:val="20"/>
          <w:lang w:val="en-US"/>
        </w:rPr>
        <w:t>-</w:t>
      </w:r>
      <w:r>
        <w:rPr>
          <w:rFonts w:eastAsia="Times New Roman" w:cs="Times New Roman" w:ascii="Times New Roman" w:hAnsi="Times New Roman"/>
          <w:position w:val="2"/>
          <w:sz w:val="20"/>
          <w:szCs w:val="20"/>
          <w:lang w:val="en-US"/>
        </w:rPr>
        <w:t>stepwise</w:t>
      </w:r>
      <w:r>
        <w:rPr>
          <w:rFonts w:eastAsia="Times New Roman" w:cs="Times New Roman" w:ascii="Times New Roman" w:hAnsi="Times New Roman"/>
          <w:spacing w:val="1"/>
          <w:position w:val="2"/>
          <w:sz w:val="20"/>
          <w:szCs w:val="20"/>
          <w:lang w:val="en-US"/>
        </w:rPr>
        <w:t xml:space="preserve"> </w:t>
      </w:r>
      <w:r>
        <w:rPr>
          <w:rFonts w:eastAsia="Times New Roman" w:cs="Times New Roman" w:ascii="Times New Roman" w:hAnsi="Times New Roman"/>
          <w:position w:val="2"/>
          <w:sz w:val="20"/>
          <w:szCs w:val="20"/>
          <w:lang w:val="en-US"/>
        </w:rPr>
        <w:t>regression</w:t>
      </w:r>
      <w:r>
        <w:rPr>
          <w:rFonts w:eastAsia="Times New Roman" w:cs="Times New Roman" w:ascii="Times New Roman" w:hAnsi="Times New Roman"/>
          <w:spacing w:val="1"/>
          <w:position w:val="2"/>
          <w:sz w:val="20"/>
          <w:szCs w:val="20"/>
          <w:lang w:val="en-US"/>
        </w:rPr>
        <w:t xml:space="preserve"> </w:t>
      </w:r>
      <w:r>
        <w:rPr>
          <w:rFonts w:eastAsia="Times New Roman" w:cs="Times New Roman" w:ascii="Times New Roman" w:hAnsi="Times New Roman"/>
          <w:position w:val="2"/>
          <w:sz w:val="20"/>
          <w:szCs w:val="20"/>
          <w:lang w:val="en-US"/>
        </w:rPr>
        <w:t>and hypothesis test and various approaches were formed. At each step, the significance of the path coefficient was observed.</w:t>
      </w:r>
    </w:p>
    <w:p>
      <w:pPr>
        <w:pStyle w:val="Normal"/>
        <w:widowControl w:val="false"/>
        <w:spacing w:lineRule="auto" w:line="240" w:before="0" w:after="0"/>
        <w:ind w:firstLine="202"/>
        <w:jc w:val="both"/>
        <w:rPr>
          <w:rFonts w:ascii="Times New Roman" w:hAnsi="Times New Roman" w:eastAsia="Times New Roman" w:cs="Times New Roman"/>
          <w:sz w:val="20"/>
          <w:szCs w:val="20"/>
          <w:lang w:val="en-US"/>
        </w:rPr>
      </w:pPr>
      <w:r>
        <w:rPr>
          <w:rFonts w:eastAsia="Times New Roman" w:cs="Times New Roman" w:ascii="Times New Roman" w:hAnsi="Times New Roman"/>
          <w:position w:val="2"/>
          <w:sz w:val="20"/>
          <w:szCs w:val="20"/>
          <w:lang w:val="en-US"/>
        </w:rPr>
        <w:t>In</w:t>
      </w:r>
      <w:r>
        <w:rPr>
          <w:rFonts w:eastAsia="Times New Roman" w:cs="Times New Roman" w:ascii="Times New Roman" w:hAnsi="Times New Roman"/>
          <w:b/>
          <w:sz w:val="20"/>
          <w:szCs w:val="20"/>
          <w:lang w:val="en-US"/>
        </w:rPr>
        <w:t xml:space="preserve"> </w:t>
      </w:r>
      <w:r>
        <w:rPr>
          <w:rFonts w:eastAsia="Times New Roman" w:cs="Times New Roman" w:ascii="Times New Roman" w:hAnsi="Times New Roman"/>
          <w:bCs/>
          <w:sz w:val="20"/>
          <w:szCs w:val="20"/>
          <w:lang w:val="en-US"/>
        </w:rPr>
        <w:t>Step 1</w:t>
      </w:r>
      <w:r>
        <w:rPr>
          <w:rFonts w:eastAsia="Times New Roman" w:cs="Times New Roman" w:ascii="Times New Roman" w:hAnsi="Times New Roman"/>
          <w:b/>
          <w:spacing w:val="-10"/>
          <w:sz w:val="20"/>
          <w:szCs w:val="20"/>
          <w:lang w:val="en-US"/>
        </w:rPr>
        <w:t xml:space="preserve">, </w:t>
      </w:r>
      <w:r>
        <w:rPr>
          <w:rFonts w:eastAsia="Times New Roman" w:cs="Times New Roman" w:ascii="Times New Roman" w:hAnsi="Times New Roman"/>
          <w:sz w:val="20"/>
          <w:szCs w:val="20"/>
          <w:lang w:val="en-US"/>
        </w:rPr>
        <w:t>simple panel regression analysis was undertaken with board diversity predicting efficiency. A</w:t>
      </w:r>
      <w:r>
        <w:rPr>
          <w:rFonts w:eastAsia="Times New Roman" w:cs="Times New Roman" w:ascii="Times New Roman" w:hAnsi="Times New Roman"/>
          <w:position w:val="2"/>
          <w:sz w:val="20"/>
          <w:szCs w:val="20"/>
          <w:lang w:val="en-US"/>
        </w:rPr>
        <w:t xml:space="preserve"> general linear panel regression model stated below </w:t>
      </w:r>
      <w:r>
        <w:rPr>
          <w:rFonts w:eastAsia="Times New Roman" w:cs="Times New Roman" w:ascii="Times New Roman" w:hAnsi="Times New Roman"/>
          <w:sz w:val="20"/>
          <w:szCs w:val="20"/>
          <w:lang w:val="en-US"/>
        </w:rPr>
        <w:t>was</w:t>
      </w:r>
      <w:r>
        <w:rPr>
          <w:rFonts w:eastAsia="Times New Roman" w:cs="Times New Roman" w:ascii="Times New Roman" w:hAnsi="Times New Roman"/>
          <w:position w:val="2"/>
          <w:sz w:val="20"/>
          <w:szCs w:val="20"/>
          <w:lang w:val="en-US"/>
        </w:rPr>
        <w:t xml:space="preserve"> applied for estimation purposes:</w:t>
      </w:r>
    </w:p>
    <w:p>
      <w:pPr>
        <w:pStyle w:val="Normal"/>
        <w:widowControl w:val="false"/>
        <w:spacing w:lineRule="auto" w:line="240" w:before="0" w:after="0"/>
        <w:ind w:firstLine="202"/>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widowControl w:val="false"/>
        <w:spacing w:lineRule="auto" w:line="240" w:before="0" w:after="0"/>
        <w:jc w:val="center"/>
        <w:rPr>
          <w:rFonts w:ascii="Times New Roman" w:hAnsi="Times New Roman" w:eastAsia="Times New Roman" w:cs="Times New Roman"/>
          <w:sz w:val="20"/>
          <w:szCs w:val="20"/>
          <w:lang w:val="en-US"/>
        </w:rPr>
      </w:pPr>
      <w:r>
        <w:rPr/>
      </w:r>
      <m:oMath xmlns:m="http://schemas.openxmlformats.org/officeDocument/2006/math">
        <m:sSub>
          <m:e>
            <m:r>
              <w:rPr>
                <w:rFonts w:ascii="Cambria Math" w:hAnsi="Cambria Math"/>
              </w:rPr>
              <m:t xml:space="preserve">EF</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BD</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Ԑ</m:t>
            </m:r>
          </m:e>
          <m:sub>
            <m:r>
              <w:rPr>
                <w:rFonts w:ascii="Cambria Math" w:hAnsi="Cambria Math"/>
              </w:rPr>
              <m:t xml:space="preserve">it</m:t>
            </m:r>
          </m:sub>
        </m:sSub>
      </m:oMath>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lang w:val="en-US"/>
        </w:rPr>
        <w:t>(1)</w:t>
      </w:r>
    </w:p>
    <w:p>
      <w:pPr>
        <w:pStyle w:val="Normal"/>
        <w:widowControl w:val="false"/>
        <w:spacing w:lineRule="auto" w:line="240" w:before="0" w:after="0"/>
        <w:jc w:val="center"/>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widowControl w:val="false"/>
        <w:spacing w:lineRule="auto" w:line="240" w:before="0" w:after="0"/>
        <w:jc w:val="center"/>
        <w:rPr>
          <w:u w:val="double"/>
        </w:rPr>
      </w:pPr>
      <w:r>
        <w:rPr>
          <w:u w:val="double"/>
        </w:rPr>
      </w:r>
    </w:p>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widowControl w:val="false"/>
        <w:spacing w:lineRule="auto" w:line="240" w:before="0" w:after="0"/>
        <w:ind w:firstLine="202"/>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 xml:space="preserve">In Step 2, simple regression panel regression analysis was undertaken with board diversity predicting funding sources. A general linear panel regression model indicated below was </w:t>
      </w:r>
      <w:r>
        <w:rPr/>
      </w:r>
      <m:oMath xmlns:m="http://schemas.openxmlformats.org/officeDocument/2006/math">
        <m:sSub>
          <m:e>
            <m:r>
              <w:rPr>
                <w:rFonts w:ascii="Cambria Math" w:hAnsi="Cambria Math"/>
              </w:rPr>
              <m:t xml:space="preserve">FS</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BD</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Ԑ</m:t>
            </m:r>
          </m:e>
          <m:sub>
            <m:r>
              <w:rPr>
                <w:rFonts w:ascii="Cambria Math" w:hAnsi="Cambria Math"/>
              </w:rPr>
              <m:t xml:space="preserve">it</m:t>
            </m:r>
          </m:sub>
        </m:sSub>
      </m:oMath>
      <w:r>
        <w:rPr>
          <w:rFonts w:eastAsia="Times New Roman" w:cs="Times New Roman" w:ascii="Times New Roman" w:hAnsi="Times New Roman"/>
          <w:sz w:val="20"/>
          <w:szCs w:val="20"/>
          <w:lang w:val="en-US"/>
        </w:rPr>
        <w:t xml:space="preserve">  (2)</w:t>
      </w:r>
    </w:p>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widowControl w:val="false"/>
        <w:spacing w:lineRule="auto" w:line="240" w:before="0" w:after="0"/>
        <w:ind w:firstLine="202"/>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In Steps 3 and 4, multiple panel regression analysis was undertaken with board diversity and funding sources predicting efficiency. A general linear panel regression model indicated below was applied for estimation purposes:</w:t>
      </w:r>
    </w:p>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
      <m:oMath xmlns:m="http://schemas.openxmlformats.org/officeDocument/2006/math">
        <m:sSub>
          <m:e>
            <m:r>
              <w:rPr>
                <w:rFonts w:ascii="Cambria Math" w:hAnsi="Cambria Math"/>
              </w:rPr>
              <m:t xml:space="preserve">EF</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BD</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FS</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Ԑ</m:t>
            </m:r>
          </m:e>
          <m:sub>
            <m:r>
              <w:rPr>
                <w:rFonts w:ascii="Cambria Math" w:hAnsi="Cambria Math"/>
              </w:rPr>
              <m:t xml:space="preserve">it</m:t>
            </m:r>
          </m:sub>
        </m:sSub>
      </m:oMath>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lang w:val="en-US"/>
        </w:rPr>
        <w:t>(3)</w:t>
      </w:r>
    </w:p>
    <w:p>
      <w:pPr>
        <w:pStyle w:val="Normal"/>
        <w:widowControl w:val="false"/>
        <w:tabs>
          <w:tab w:val="clear" w:pos="720"/>
          <w:tab w:val="left" w:pos="8135" w:leader="dot"/>
        </w:tabs>
        <w:spacing w:lineRule="auto" w:line="240" w:before="0" w:after="0"/>
        <w:rPr>
          <w:rFonts w:ascii="Times New Roman" w:hAnsi="Times New Roman" w:eastAsia="Cambria Math" w:cs="Times New Roman"/>
          <w:sz w:val="20"/>
          <w:szCs w:val="20"/>
          <w:lang w:val="en-US"/>
        </w:rPr>
      </w:pPr>
      <w:r>
        <w:rPr>
          <w:rFonts w:eastAsia="Cambria Math" w:cs="Times New Roman" w:ascii="Times New Roman" w:hAnsi="Times New Roman"/>
          <w:sz w:val="20"/>
          <w:szCs w:val="20"/>
          <w:lang w:val="en-US"/>
        </w:rPr>
      </w:r>
    </w:p>
    <w:p>
      <w:pPr>
        <w:pStyle w:val="Normal"/>
        <w:keepNext w:val="true"/>
        <w:numPr>
          <w:ilvl w:val="0"/>
          <w:numId w:val="0"/>
        </w:numPr>
        <w:spacing w:lineRule="auto" w:line="240" w:before="240" w:after="120"/>
        <w:ind w:left="0" w:hanging="0"/>
        <w:jc w:val="center"/>
        <w:outlineLvl w:val="0"/>
        <w:rPr>
          <w:rFonts w:ascii="Times New Roman" w:hAnsi="Times New Roman" w:eastAsia="PMingLiU" w:cs="Times New Roman"/>
          <w:smallCaps/>
          <w:kern w:val="2"/>
          <w:sz w:val="20"/>
          <w:szCs w:val="20"/>
          <w:lang w:val="en-US"/>
        </w:rPr>
      </w:pPr>
      <w:r>
        <w:rPr>
          <w:rFonts w:eastAsia="PMingLiU" w:cs="Times New Roman" w:ascii="Times New Roman" w:hAnsi="Times New Roman"/>
          <w:smallCaps/>
          <w:kern w:val="2"/>
          <w:sz w:val="20"/>
          <w:szCs w:val="20"/>
          <w:lang w:val="en-US"/>
        </w:rPr>
        <w:t>IV. Findings And Discussion</w:t>
      </w:r>
    </w:p>
    <w:p>
      <w:pPr>
        <w:pStyle w:val="Normal"/>
        <w:widowControl w:val="false"/>
        <w:spacing w:lineRule="auto" w:line="240" w:before="0" w:after="0"/>
        <w:ind w:firstLine="202"/>
        <w:jc w:val="both"/>
        <w:rPr>
          <w:rFonts w:ascii="Times New Roman" w:hAnsi="Times New Roman" w:cs="Times New Roman"/>
          <w:sz w:val="20"/>
          <w:szCs w:val="20"/>
        </w:rPr>
      </w:pPr>
      <w:r>
        <w:rPr>
          <w:rFonts w:eastAsia="Calibri" w:cs="Times New Roman" w:ascii="Times New Roman" w:hAnsi="Times New Roman"/>
          <w:sz w:val="20"/>
          <w:szCs w:val="20"/>
        </w:rPr>
        <w:t xml:space="preserve">The study determined descriptive statistics of </w:t>
      </w:r>
      <w:r>
        <w:rPr>
          <w:rFonts w:cs="Times New Roman" w:ascii="Times New Roman" w:hAnsi="Times New Roman"/>
          <w:sz w:val="20"/>
          <w:szCs w:val="20"/>
        </w:rPr>
        <w:t xml:space="preserve">funding sources measured by government grants, student fees, income-generating units, </w:t>
      </w:r>
      <w:r>
        <w:rPr>
          <w:rFonts w:eastAsia="Times New Roman" w:cs="Times New Roman" w:ascii="Times New Roman" w:hAnsi="Times New Roman"/>
          <w:sz w:val="20"/>
          <w:szCs w:val="20"/>
          <w:lang w:val="en-US"/>
        </w:rPr>
        <w:t>and</w:t>
      </w:r>
      <w:r>
        <w:rPr>
          <w:rFonts w:cs="Times New Roman" w:ascii="Times New Roman" w:hAnsi="Times New Roman"/>
          <w:sz w:val="20"/>
          <w:szCs w:val="20"/>
        </w:rPr>
        <w:t xml:space="preserve"> donations and grants. The findings are in Table I.</w:t>
      </w:r>
    </w:p>
    <w:p>
      <w:pPr>
        <w:pStyle w:val="Normal"/>
        <w:widowControl w:val="false"/>
        <w:spacing w:lineRule="auto" w:line="240" w:before="0" w:after="0"/>
        <w:ind w:firstLine="202"/>
        <w:jc w:val="both"/>
        <w:rPr>
          <w:rFonts w:ascii="Times New Roman" w:hAnsi="Times New Roman" w:eastAsia="Calibri" w:cs="Times New Roman"/>
          <w:sz w:val="20"/>
          <w:szCs w:val="20"/>
        </w:rPr>
      </w:pPr>
      <w:r>
        <w:rPr>
          <w:rFonts w:eastAsia="Calibri" w:cs="Times New Roman" w:ascii="Times New Roman" w:hAnsi="Times New Roman"/>
          <w:sz w:val="20"/>
          <w:szCs w:val="20"/>
        </w:rPr>
        <w:t>Table I depicts that students’ fees had an average mean score of .468, a standard deviation of .284, and a coefficient of variation of 60.8%. This implies that over 46% of funding sources are generated by student fees. It can also be depicted from the high coefficient of variation that there is a high variation in student fees among the universities in Kenya. Government grants also showed an average mean of .405, a standard deviation of .317 and a coefficient of variation of 78.3%. This depicts that 40% and above of the funding sources are generated from government grants with a high coefficient of variation, depicting that government grants vary sharply among the</w:t>
      </w:r>
      <w:r>
        <w:rPr>
          <w:sz w:val="20"/>
          <w:szCs w:val="20"/>
        </w:rPr>
        <w:t xml:space="preserve"> </w:t>
      </w:r>
      <w:r>
        <w:rPr>
          <w:rFonts w:eastAsia="Calibri" w:cs="Times New Roman" w:ascii="Times New Roman" w:hAnsi="Times New Roman"/>
          <w:sz w:val="20"/>
          <w:szCs w:val="20"/>
        </w:rPr>
        <w:t xml:space="preserve">universities. Other income-generating units, donations, and grants registered the lowest mean scores of .093 and .030, respectively, implying that they contribute little to overall funding sources. </w:t>
      </w:r>
    </w:p>
    <w:p>
      <w:pPr>
        <w:pStyle w:val="Caption1"/>
        <w:spacing w:lineRule="auto" w:line="240"/>
        <w:rPr>
          <w:sz w:val="20"/>
          <w:szCs w:val="20"/>
        </w:rPr>
      </w:pPr>
      <w:r>
        <w:rPr>
          <w:sz w:val="20"/>
          <w:szCs w:val="20"/>
        </w:rPr>
      </w:r>
    </w:p>
    <w:p>
      <w:pPr>
        <w:pStyle w:val="Caption1"/>
        <w:spacing w:lineRule="auto" w:line="240"/>
        <w:jc w:val="center"/>
        <w:rPr>
          <w:b w:val="false"/>
          <w:b w:val="false"/>
          <w:bCs/>
          <w:sz w:val="20"/>
          <w:szCs w:val="20"/>
        </w:rPr>
      </w:pPr>
      <w:bookmarkStart w:id="6" w:name="_Toc138857156"/>
      <w:bookmarkStart w:id="7" w:name="_Toc138857085"/>
      <w:r>
        <w:rPr>
          <w:b w:val="false"/>
          <w:bCs/>
          <w:sz w:val="20"/>
          <w:szCs w:val="20"/>
        </w:rPr>
        <w:t>TABLE I: Descriptive Statistics for Funding Sources</w:t>
      </w:r>
      <w:bookmarkEnd w:id="6"/>
      <w:bookmarkEnd w:id="7"/>
    </w:p>
    <w:tbl>
      <w:tblPr>
        <w:tblStyle w:val="TableGrid"/>
        <w:tblW w:w="8108" w:type="dxa"/>
        <w:jc w:val="center"/>
        <w:tblInd w:w="0" w:type="dxa"/>
        <w:tblCellMar>
          <w:top w:w="0" w:type="dxa"/>
          <w:left w:w="108" w:type="dxa"/>
          <w:bottom w:w="0" w:type="dxa"/>
          <w:right w:w="108" w:type="dxa"/>
        </w:tblCellMar>
        <w:tblLook w:val="04a0" w:noHBand="0" w:noVBand="1" w:firstColumn="1" w:lastRow="0" w:lastColumn="0" w:firstRow="1"/>
      </w:tblPr>
      <w:tblGrid>
        <w:gridCol w:w="2166"/>
        <w:gridCol w:w="516"/>
        <w:gridCol w:w="664"/>
        <w:gridCol w:w="668"/>
        <w:gridCol w:w="672"/>
        <w:gridCol w:w="1327"/>
        <w:gridCol w:w="2094"/>
      </w:tblGrid>
      <w:tr>
        <w:trPr/>
        <w:tc>
          <w:tcPr>
            <w:tcW w:w="2166" w:type="dxa"/>
            <w:tcBorders/>
          </w:tcPr>
          <w:p>
            <w:pPr>
              <w:pStyle w:val="Default"/>
              <w:spacing w:lineRule="auto" w:line="240" w:before="240" w:after="0"/>
              <w:rPr>
                <w:color w:val="auto"/>
                <w:sz w:val="20"/>
                <w:szCs w:val="20"/>
              </w:rPr>
            </w:pPr>
            <w:r>
              <w:rPr>
                <w:color w:val="auto"/>
                <w:sz w:val="20"/>
                <w:szCs w:val="20"/>
              </w:rPr>
              <w:t>Funding source</w:t>
            </w:r>
          </w:p>
        </w:tc>
        <w:tc>
          <w:tcPr>
            <w:tcW w:w="516" w:type="dxa"/>
            <w:tcBorders/>
          </w:tcPr>
          <w:p>
            <w:pPr>
              <w:pStyle w:val="Default"/>
              <w:spacing w:lineRule="auto" w:line="240" w:before="240" w:after="0"/>
              <w:jc w:val="center"/>
              <w:rPr>
                <w:color w:val="auto"/>
                <w:sz w:val="20"/>
                <w:szCs w:val="20"/>
              </w:rPr>
            </w:pPr>
            <w:r>
              <w:rPr>
                <w:sz w:val="20"/>
                <w:szCs w:val="20"/>
              </w:rPr>
              <w:t>N</w:t>
            </w:r>
          </w:p>
        </w:tc>
        <w:tc>
          <w:tcPr>
            <w:tcW w:w="664" w:type="dxa"/>
            <w:tcBorders/>
          </w:tcPr>
          <w:p>
            <w:pPr>
              <w:pStyle w:val="Default"/>
              <w:spacing w:lineRule="auto" w:line="240" w:before="240" w:after="0"/>
              <w:jc w:val="center"/>
              <w:rPr>
                <w:color w:val="auto"/>
                <w:sz w:val="20"/>
                <w:szCs w:val="20"/>
              </w:rPr>
            </w:pPr>
            <w:r>
              <w:rPr>
                <w:sz w:val="20"/>
                <w:szCs w:val="20"/>
              </w:rPr>
              <w:t>Min</w:t>
            </w:r>
          </w:p>
        </w:tc>
        <w:tc>
          <w:tcPr>
            <w:tcW w:w="668" w:type="dxa"/>
            <w:tcBorders/>
          </w:tcPr>
          <w:p>
            <w:pPr>
              <w:pStyle w:val="Default"/>
              <w:spacing w:lineRule="auto" w:line="240" w:before="240" w:after="0"/>
              <w:jc w:val="center"/>
              <w:rPr>
                <w:color w:val="auto"/>
                <w:sz w:val="20"/>
                <w:szCs w:val="20"/>
              </w:rPr>
            </w:pPr>
            <w:r>
              <w:rPr>
                <w:sz w:val="20"/>
                <w:szCs w:val="20"/>
              </w:rPr>
              <w:t>Max</w:t>
            </w:r>
          </w:p>
        </w:tc>
        <w:tc>
          <w:tcPr>
            <w:tcW w:w="672" w:type="dxa"/>
            <w:tcBorders/>
          </w:tcPr>
          <w:p>
            <w:pPr>
              <w:pStyle w:val="Default"/>
              <w:spacing w:lineRule="auto" w:line="240" w:before="240" w:after="0"/>
              <w:jc w:val="center"/>
              <w:rPr>
                <w:color w:val="auto"/>
                <w:sz w:val="20"/>
                <w:szCs w:val="20"/>
              </w:rPr>
            </w:pPr>
            <w:r>
              <w:rPr>
                <w:sz w:val="20"/>
                <w:szCs w:val="20"/>
              </w:rPr>
              <w:t>Mean</w:t>
            </w:r>
          </w:p>
        </w:tc>
        <w:tc>
          <w:tcPr>
            <w:tcW w:w="1327" w:type="dxa"/>
            <w:tcBorders/>
          </w:tcPr>
          <w:p>
            <w:pPr>
              <w:pStyle w:val="Default"/>
              <w:spacing w:lineRule="auto" w:line="240" w:before="240" w:after="0"/>
              <w:jc w:val="center"/>
              <w:rPr>
                <w:color w:val="auto"/>
                <w:sz w:val="20"/>
                <w:szCs w:val="20"/>
              </w:rPr>
            </w:pPr>
            <w:r>
              <w:rPr>
                <w:sz w:val="20"/>
                <w:szCs w:val="20"/>
              </w:rPr>
              <w:t>Std. deviation</w:t>
            </w:r>
          </w:p>
        </w:tc>
        <w:tc>
          <w:tcPr>
            <w:tcW w:w="2094" w:type="dxa"/>
            <w:tcBorders/>
          </w:tcPr>
          <w:p>
            <w:pPr>
              <w:pStyle w:val="Default"/>
              <w:spacing w:lineRule="auto" w:line="240" w:before="240" w:after="0"/>
              <w:jc w:val="center"/>
              <w:rPr>
                <w:color w:val="auto"/>
                <w:sz w:val="20"/>
                <w:szCs w:val="20"/>
              </w:rPr>
            </w:pPr>
            <w:r>
              <w:rPr>
                <w:sz w:val="20"/>
                <w:szCs w:val="20"/>
              </w:rPr>
              <w:t>Coefficient of variation</w:t>
            </w:r>
          </w:p>
        </w:tc>
      </w:tr>
      <w:tr>
        <w:trPr/>
        <w:tc>
          <w:tcPr>
            <w:tcW w:w="2166" w:type="dxa"/>
            <w:tcBorders/>
          </w:tcPr>
          <w:p>
            <w:pPr>
              <w:pStyle w:val="Default"/>
              <w:spacing w:lineRule="auto" w:line="240" w:before="240" w:after="0"/>
              <w:rPr>
                <w:color w:val="auto"/>
                <w:sz w:val="20"/>
                <w:szCs w:val="20"/>
              </w:rPr>
            </w:pPr>
            <w:r>
              <w:rPr>
                <w:sz w:val="20"/>
                <w:szCs w:val="20"/>
              </w:rPr>
              <w:t>Government</w:t>
            </w:r>
          </w:p>
        </w:tc>
        <w:tc>
          <w:tcPr>
            <w:tcW w:w="516" w:type="dxa"/>
            <w:tcBorders/>
          </w:tcPr>
          <w:p>
            <w:pPr>
              <w:pStyle w:val="Default"/>
              <w:spacing w:lineRule="auto" w:line="240" w:before="240" w:after="0"/>
              <w:jc w:val="center"/>
              <w:rPr>
                <w:color w:val="auto"/>
                <w:sz w:val="20"/>
                <w:szCs w:val="20"/>
              </w:rPr>
            </w:pPr>
            <w:r>
              <w:rPr>
                <w:sz w:val="20"/>
                <w:szCs w:val="20"/>
              </w:rPr>
              <w:t>361</w:t>
            </w:r>
          </w:p>
        </w:tc>
        <w:tc>
          <w:tcPr>
            <w:tcW w:w="664" w:type="dxa"/>
            <w:tcBorders/>
          </w:tcPr>
          <w:p>
            <w:pPr>
              <w:pStyle w:val="Default"/>
              <w:spacing w:lineRule="auto" w:line="240" w:before="240" w:after="0"/>
              <w:jc w:val="center"/>
              <w:rPr>
                <w:color w:val="auto"/>
                <w:sz w:val="20"/>
                <w:szCs w:val="20"/>
              </w:rPr>
            </w:pPr>
            <w:r>
              <w:rPr>
                <w:sz w:val="20"/>
                <w:szCs w:val="20"/>
              </w:rPr>
              <w:t>0.000</w:t>
            </w:r>
          </w:p>
        </w:tc>
        <w:tc>
          <w:tcPr>
            <w:tcW w:w="668" w:type="dxa"/>
            <w:tcBorders/>
          </w:tcPr>
          <w:p>
            <w:pPr>
              <w:pStyle w:val="Default"/>
              <w:spacing w:lineRule="auto" w:line="240" w:before="240" w:after="0"/>
              <w:jc w:val="center"/>
              <w:rPr>
                <w:color w:val="auto"/>
                <w:sz w:val="20"/>
                <w:szCs w:val="20"/>
              </w:rPr>
            </w:pPr>
            <w:r>
              <w:rPr>
                <w:sz w:val="20"/>
                <w:szCs w:val="20"/>
              </w:rPr>
              <w:t>0.985</w:t>
            </w:r>
          </w:p>
        </w:tc>
        <w:tc>
          <w:tcPr>
            <w:tcW w:w="672" w:type="dxa"/>
            <w:tcBorders/>
          </w:tcPr>
          <w:p>
            <w:pPr>
              <w:pStyle w:val="Default"/>
              <w:spacing w:lineRule="auto" w:line="240" w:before="240" w:after="0"/>
              <w:jc w:val="center"/>
              <w:rPr>
                <w:color w:val="auto"/>
                <w:sz w:val="20"/>
                <w:szCs w:val="20"/>
              </w:rPr>
            </w:pPr>
            <w:r>
              <w:rPr>
                <w:sz w:val="20"/>
                <w:szCs w:val="20"/>
              </w:rPr>
              <w:t>0.405</w:t>
            </w:r>
          </w:p>
        </w:tc>
        <w:tc>
          <w:tcPr>
            <w:tcW w:w="1327" w:type="dxa"/>
            <w:tcBorders/>
          </w:tcPr>
          <w:p>
            <w:pPr>
              <w:pStyle w:val="Default"/>
              <w:spacing w:lineRule="auto" w:line="240" w:before="240" w:after="0"/>
              <w:jc w:val="center"/>
              <w:rPr>
                <w:color w:val="auto"/>
                <w:sz w:val="20"/>
                <w:szCs w:val="20"/>
              </w:rPr>
            </w:pPr>
            <w:r>
              <w:rPr>
                <w:sz w:val="20"/>
                <w:szCs w:val="20"/>
              </w:rPr>
              <w:t>0.317</w:t>
            </w:r>
          </w:p>
        </w:tc>
        <w:tc>
          <w:tcPr>
            <w:tcW w:w="2094" w:type="dxa"/>
            <w:tcBorders/>
          </w:tcPr>
          <w:p>
            <w:pPr>
              <w:pStyle w:val="Default"/>
              <w:spacing w:lineRule="auto" w:line="240" w:before="240" w:after="0"/>
              <w:jc w:val="center"/>
              <w:rPr>
                <w:color w:val="auto"/>
                <w:sz w:val="20"/>
                <w:szCs w:val="20"/>
              </w:rPr>
            </w:pPr>
            <w:r>
              <w:rPr>
                <w:rFonts w:eastAsia="Times New Roman"/>
                <w:sz w:val="20"/>
                <w:szCs w:val="20"/>
              </w:rPr>
              <w:t>0.783</w:t>
            </w:r>
          </w:p>
        </w:tc>
      </w:tr>
      <w:tr>
        <w:trPr/>
        <w:tc>
          <w:tcPr>
            <w:tcW w:w="2166" w:type="dxa"/>
            <w:tcBorders/>
          </w:tcPr>
          <w:p>
            <w:pPr>
              <w:pStyle w:val="Default"/>
              <w:spacing w:lineRule="auto" w:line="240" w:before="240" w:after="0"/>
              <w:rPr>
                <w:color w:val="auto"/>
                <w:sz w:val="20"/>
                <w:szCs w:val="20"/>
              </w:rPr>
            </w:pPr>
            <w:r>
              <w:rPr>
                <w:sz w:val="20"/>
                <w:szCs w:val="20"/>
              </w:rPr>
              <w:t>Student fees</w:t>
            </w:r>
          </w:p>
        </w:tc>
        <w:tc>
          <w:tcPr>
            <w:tcW w:w="516" w:type="dxa"/>
            <w:tcBorders/>
          </w:tcPr>
          <w:p>
            <w:pPr>
              <w:pStyle w:val="Default"/>
              <w:spacing w:lineRule="auto" w:line="240" w:before="240" w:after="0"/>
              <w:jc w:val="center"/>
              <w:rPr>
                <w:color w:val="auto"/>
                <w:sz w:val="20"/>
                <w:szCs w:val="20"/>
              </w:rPr>
            </w:pPr>
            <w:r>
              <w:rPr>
                <w:sz w:val="20"/>
                <w:szCs w:val="20"/>
              </w:rPr>
              <w:t>358</w:t>
            </w:r>
          </w:p>
        </w:tc>
        <w:tc>
          <w:tcPr>
            <w:tcW w:w="664" w:type="dxa"/>
            <w:tcBorders/>
          </w:tcPr>
          <w:p>
            <w:pPr>
              <w:pStyle w:val="Default"/>
              <w:spacing w:lineRule="auto" w:line="240" w:before="240" w:after="0"/>
              <w:jc w:val="center"/>
              <w:rPr>
                <w:color w:val="auto"/>
                <w:sz w:val="20"/>
                <w:szCs w:val="20"/>
              </w:rPr>
            </w:pPr>
            <w:r>
              <w:rPr>
                <w:sz w:val="20"/>
                <w:szCs w:val="20"/>
              </w:rPr>
              <w:t>0.001</w:t>
            </w:r>
          </w:p>
        </w:tc>
        <w:tc>
          <w:tcPr>
            <w:tcW w:w="668" w:type="dxa"/>
            <w:tcBorders/>
          </w:tcPr>
          <w:p>
            <w:pPr>
              <w:pStyle w:val="Default"/>
              <w:spacing w:lineRule="auto" w:line="240" w:before="240" w:after="0"/>
              <w:jc w:val="center"/>
              <w:rPr>
                <w:color w:val="auto"/>
                <w:sz w:val="20"/>
                <w:szCs w:val="20"/>
              </w:rPr>
            </w:pPr>
            <w:r>
              <w:rPr>
                <w:sz w:val="20"/>
                <w:szCs w:val="20"/>
              </w:rPr>
              <w:t>1.000</w:t>
            </w:r>
          </w:p>
        </w:tc>
        <w:tc>
          <w:tcPr>
            <w:tcW w:w="672" w:type="dxa"/>
            <w:tcBorders/>
          </w:tcPr>
          <w:p>
            <w:pPr>
              <w:pStyle w:val="Default"/>
              <w:spacing w:lineRule="auto" w:line="240" w:before="240" w:after="0"/>
              <w:jc w:val="center"/>
              <w:rPr>
                <w:color w:val="auto"/>
                <w:sz w:val="20"/>
                <w:szCs w:val="20"/>
              </w:rPr>
            </w:pPr>
            <w:r>
              <w:rPr>
                <w:sz w:val="20"/>
                <w:szCs w:val="20"/>
              </w:rPr>
              <w:t>0.468</w:t>
            </w:r>
          </w:p>
        </w:tc>
        <w:tc>
          <w:tcPr>
            <w:tcW w:w="1327" w:type="dxa"/>
            <w:tcBorders/>
          </w:tcPr>
          <w:p>
            <w:pPr>
              <w:pStyle w:val="Default"/>
              <w:spacing w:lineRule="auto" w:line="240" w:before="240" w:after="0"/>
              <w:jc w:val="center"/>
              <w:rPr>
                <w:color w:val="auto"/>
                <w:sz w:val="20"/>
                <w:szCs w:val="20"/>
              </w:rPr>
            </w:pPr>
            <w:r>
              <w:rPr/>
            </w:r>
            <m:oMath xmlns:m="http://schemas.openxmlformats.org/officeDocument/2006/math">
              <m:sSub>
                <m:e>
                  <m:r>
                    <w:rPr>
                      <w:rFonts w:ascii="Cambria Math" w:hAnsi="Cambria Math"/>
                    </w:rPr>
                    <m:t xml:space="preserve">FS</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BD</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Ԑ</m:t>
                  </m:r>
                </m:e>
                <m:sub>
                  <m:r>
                    <w:rPr>
                      <w:rFonts w:ascii="Cambria Math" w:hAnsi="Cambria Math"/>
                    </w:rPr>
                    <m:t xml:space="preserve">it</m:t>
                  </m:r>
                </m:sub>
              </m:sSub>
            </m:oMath>
          </w:p>
        </w:tc>
        <w:tc>
          <w:tcPr>
            <w:tcW w:w="2094" w:type="dxa"/>
            <w:tcBorders/>
          </w:tcPr>
          <w:p>
            <w:pPr>
              <w:pStyle w:val="Default"/>
              <w:spacing w:lineRule="auto" w:line="240" w:before="240" w:after="0"/>
              <w:jc w:val="center"/>
              <w:rPr>
                <w:color w:val="auto"/>
                <w:sz w:val="20"/>
                <w:szCs w:val="20"/>
              </w:rPr>
            </w:pPr>
            <w:r>
              <w:rPr>
                <w:rFonts w:eastAsia="Times New Roman"/>
                <w:sz w:val="20"/>
                <w:szCs w:val="20"/>
              </w:rPr>
              <w:t>0.608</w:t>
            </w:r>
          </w:p>
        </w:tc>
      </w:tr>
      <w:tr>
        <w:trPr/>
        <w:tc>
          <w:tcPr>
            <w:tcW w:w="2166" w:type="dxa"/>
            <w:tcBorders/>
          </w:tcPr>
          <w:p>
            <w:pPr>
              <w:pStyle w:val="Default"/>
              <w:spacing w:lineRule="auto" w:line="240" w:before="240" w:after="0"/>
              <w:rPr>
                <w:color w:val="auto"/>
                <w:sz w:val="20"/>
                <w:szCs w:val="20"/>
              </w:rPr>
            </w:pPr>
            <w:r>
              <w:rPr>
                <w:sz w:val="20"/>
                <w:szCs w:val="20"/>
              </w:rPr>
              <w:t>Income-generating units</w:t>
            </w:r>
          </w:p>
        </w:tc>
        <w:tc>
          <w:tcPr>
            <w:tcW w:w="516" w:type="dxa"/>
            <w:tcBorders/>
          </w:tcPr>
          <w:p>
            <w:pPr>
              <w:pStyle w:val="Default"/>
              <w:spacing w:lineRule="auto" w:line="240" w:before="240" w:after="0"/>
              <w:jc w:val="center"/>
              <w:rPr>
                <w:color w:val="auto"/>
                <w:sz w:val="20"/>
                <w:szCs w:val="20"/>
              </w:rPr>
            </w:pPr>
            <w:r>
              <w:rPr>
                <w:sz w:val="20"/>
                <w:szCs w:val="20"/>
              </w:rPr>
              <w:t>359</w:t>
            </w:r>
          </w:p>
        </w:tc>
        <w:tc>
          <w:tcPr>
            <w:tcW w:w="664" w:type="dxa"/>
            <w:tcBorders/>
          </w:tcPr>
          <w:p>
            <w:pPr>
              <w:pStyle w:val="Default"/>
              <w:spacing w:lineRule="auto" w:line="240" w:before="240" w:after="0"/>
              <w:jc w:val="center"/>
              <w:rPr>
                <w:color w:val="auto"/>
                <w:sz w:val="20"/>
                <w:szCs w:val="20"/>
              </w:rPr>
            </w:pPr>
            <w:r>
              <w:rPr>
                <w:sz w:val="20"/>
                <w:szCs w:val="20"/>
              </w:rPr>
              <w:t>0.000</w:t>
            </w:r>
          </w:p>
        </w:tc>
        <w:tc>
          <w:tcPr>
            <w:tcW w:w="668" w:type="dxa"/>
            <w:tcBorders/>
          </w:tcPr>
          <w:p>
            <w:pPr>
              <w:pStyle w:val="Default"/>
              <w:spacing w:lineRule="auto" w:line="240" w:before="240" w:after="0"/>
              <w:jc w:val="center"/>
              <w:rPr>
                <w:color w:val="auto"/>
                <w:sz w:val="20"/>
                <w:szCs w:val="20"/>
              </w:rPr>
            </w:pPr>
            <w:r>
              <w:rPr>
                <w:sz w:val="20"/>
                <w:szCs w:val="20"/>
              </w:rPr>
              <w:t>0.928</w:t>
            </w:r>
          </w:p>
        </w:tc>
        <w:tc>
          <w:tcPr>
            <w:tcW w:w="672" w:type="dxa"/>
            <w:tcBorders/>
          </w:tcPr>
          <w:p>
            <w:pPr>
              <w:pStyle w:val="Default"/>
              <w:spacing w:lineRule="auto" w:line="240" w:before="240" w:after="0"/>
              <w:jc w:val="center"/>
              <w:rPr>
                <w:color w:val="auto"/>
                <w:sz w:val="20"/>
                <w:szCs w:val="20"/>
              </w:rPr>
            </w:pPr>
            <w:r>
              <w:rPr>
                <w:sz w:val="20"/>
                <w:szCs w:val="20"/>
              </w:rPr>
              <w:t>0.093</w:t>
            </w:r>
          </w:p>
        </w:tc>
        <w:tc>
          <w:tcPr>
            <w:tcW w:w="1327" w:type="dxa"/>
            <w:tcBorders/>
          </w:tcPr>
          <w:p>
            <w:pPr>
              <w:pStyle w:val="Default"/>
              <w:spacing w:lineRule="auto" w:line="240" w:before="240" w:after="0"/>
              <w:jc w:val="center"/>
              <w:rPr>
                <w:color w:val="auto"/>
                <w:sz w:val="20"/>
                <w:szCs w:val="20"/>
              </w:rPr>
            </w:pPr>
            <w:r>
              <w:rPr>
                <w:sz w:val="20"/>
                <w:szCs w:val="20"/>
              </w:rPr>
              <w:t>0.041</w:t>
            </w:r>
          </w:p>
        </w:tc>
        <w:tc>
          <w:tcPr>
            <w:tcW w:w="2094" w:type="dxa"/>
            <w:tcBorders/>
          </w:tcPr>
          <w:p>
            <w:pPr>
              <w:pStyle w:val="Default"/>
              <w:spacing w:lineRule="auto" w:line="240" w:before="240" w:after="0"/>
              <w:jc w:val="center"/>
              <w:rPr>
                <w:color w:val="auto"/>
                <w:sz w:val="20"/>
                <w:szCs w:val="20"/>
              </w:rPr>
            </w:pPr>
            <w:r>
              <w:rPr>
                <w:rFonts w:eastAsia="Times New Roman"/>
                <w:sz w:val="20"/>
                <w:szCs w:val="20"/>
              </w:rPr>
              <w:t>0.441</w:t>
            </w:r>
          </w:p>
        </w:tc>
      </w:tr>
      <w:tr>
        <w:trPr/>
        <w:tc>
          <w:tcPr>
            <w:tcW w:w="2166" w:type="dxa"/>
            <w:tcBorders/>
          </w:tcPr>
          <w:p>
            <w:pPr>
              <w:pStyle w:val="Default"/>
              <w:spacing w:lineRule="auto" w:line="240" w:before="240" w:after="0"/>
              <w:rPr>
                <w:color w:val="auto"/>
                <w:sz w:val="20"/>
                <w:szCs w:val="20"/>
              </w:rPr>
            </w:pPr>
            <w:r>
              <w:rPr>
                <w:sz w:val="20"/>
                <w:szCs w:val="20"/>
              </w:rPr>
              <w:t>Donations and grants</w:t>
            </w:r>
          </w:p>
        </w:tc>
        <w:tc>
          <w:tcPr>
            <w:tcW w:w="516" w:type="dxa"/>
            <w:tcBorders/>
          </w:tcPr>
          <w:p>
            <w:pPr>
              <w:pStyle w:val="Default"/>
              <w:spacing w:lineRule="auto" w:line="240" w:before="240" w:after="0"/>
              <w:jc w:val="center"/>
              <w:rPr>
                <w:sz w:val="20"/>
                <w:szCs w:val="20"/>
              </w:rPr>
            </w:pPr>
            <w:r>
              <w:rPr>
                <w:sz w:val="20"/>
                <w:szCs w:val="20"/>
              </w:rPr>
              <w:t>361</w:t>
            </w:r>
          </w:p>
        </w:tc>
        <w:tc>
          <w:tcPr>
            <w:tcW w:w="664" w:type="dxa"/>
            <w:tcBorders/>
          </w:tcPr>
          <w:p>
            <w:pPr>
              <w:pStyle w:val="Default"/>
              <w:spacing w:lineRule="auto" w:line="240" w:before="240" w:after="0"/>
              <w:jc w:val="center"/>
              <w:rPr>
                <w:color w:val="auto"/>
                <w:sz w:val="20"/>
                <w:szCs w:val="20"/>
              </w:rPr>
            </w:pPr>
            <w:r>
              <w:rPr>
                <w:sz w:val="20"/>
                <w:szCs w:val="20"/>
              </w:rPr>
              <w:t>0.000</w:t>
            </w:r>
          </w:p>
        </w:tc>
        <w:tc>
          <w:tcPr>
            <w:tcW w:w="668" w:type="dxa"/>
            <w:tcBorders/>
          </w:tcPr>
          <w:p>
            <w:pPr>
              <w:pStyle w:val="Default"/>
              <w:spacing w:lineRule="auto" w:line="240" w:before="240" w:after="0"/>
              <w:jc w:val="center"/>
              <w:rPr>
                <w:color w:val="auto"/>
                <w:sz w:val="20"/>
                <w:szCs w:val="20"/>
              </w:rPr>
            </w:pPr>
            <w:r>
              <w:rPr>
                <w:sz w:val="20"/>
                <w:szCs w:val="20"/>
              </w:rPr>
              <w:t>0.922</w:t>
            </w:r>
          </w:p>
        </w:tc>
        <w:tc>
          <w:tcPr>
            <w:tcW w:w="672" w:type="dxa"/>
            <w:tcBorders/>
          </w:tcPr>
          <w:p>
            <w:pPr>
              <w:pStyle w:val="Default"/>
              <w:spacing w:lineRule="auto" w:line="240" w:before="240" w:after="0"/>
              <w:jc w:val="center"/>
              <w:rPr>
                <w:color w:val="auto"/>
                <w:sz w:val="20"/>
                <w:szCs w:val="20"/>
              </w:rPr>
            </w:pPr>
            <w:r>
              <w:rPr>
                <w:sz w:val="20"/>
                <w:szCs w:val="20"/>
              </w:rPr>
              <w:t>0.030</w:t>
            </w:r>
          </w:p>
        </w:tc>
        <w:tc>
          <w:tcPr>
            <w:tcW w:w="1327" w:type="dxa"/>
            <w:tcBorders/>
          </w:tcPr>
          <w:p>
            <w:pPr>
              <w:pStyle w:val="Default"/>
              <w:spacing w:lineRule="auto" w:line="240" w:before="240" w:after="0"/>
              <w:jc w:val="center"/>
              <w:rPr>
                <w:color w:val="auto"/>
                <w:sz w:val="20"/>
                <w:szCs w:val="20"/>
              </w:rPr>
            </w:pPr>
            <w:r>
              <w:rPr>
                <w:sz w:val="20"/>
                <w:szCs w:val="20"/>
              </w:rPr>
              <w:t>0.014</w:t>
            </w:r>
          </w:p>
        </w:tc>
        <w:tc>
          <w:tcPr>
            <w:tcW w:w="2094" w:type="dxa"/>
            <w:tcBorders/>
          </w:tcPr>
          <w:p>
            <w:pPr>
              <w:pStyle w:val="Default"/>
              <w:spacing w:lineRule="auto" w:line="240" w:before="240" w:after="0"/>
              <w:jc w:val="center"/>
              <w:rPr>
                <w:color w:val="auto"/>
                <w:sz w:val="20"/>
                <w:szCs w:val="20"/>
              </w:rPr>
            </w:pPr>
            <w:r>
              <w:rPr>
                <w:rFonts w:eastAsia="Times New Roman"/>
                <w:sz w:val="20"/>
                <w:szCs w:val="20"/>
              </w:rPr>
              <w:t>0.455</w:t>
            </w:r>
          </w:p>
        </w:tc>
      </w:tr>
    </w:tbl>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The results, therefore, depict that funding sources for the surveyed Kenyan universities are mainly from student fees and government grants, with few coming from internally generated sources, donations and grants. </w:t>
      </w:r>
    </w:p>
    <w:p>
      <w:pPr>
        <w:pStyle w:val="Normal"/>
        <w:widowControl w:val="false"/>
        <w:spacing w:lineRule="auto" w:line="252" w:before="0" w:after="0"/>
        <w:ind w:firstLine="204"/>
        <w:jc w:val="both"/>
        <w:rPr>
          <w:rFonts w:ascii="Times New Roman" w:hAnsi="Times New Roman" w:cs="Times New Roman"/>
          <w:i/>
          <w:i/>
          <w:sz w:val="20"/>
          <w:szCs w:val="20"/>
        </w:rPr>
      </w:pPr>
      <w:r>
        <w:rPr>
          <w:rFonts w:cs="Times New Roman" w:ascii="Times New Roman" w:hAnsi="Times New Roman"/>
          <w:sz w:val="20"/>
          <w:szCs w:val="20"/>
        </w:rPr>
        <w:t>The study further tested the hypothesis</w:t>
      </w:r>
      <w:r>
        <w:rPr>
          <w:sz w:val="20"/>
          <w:szCs w:val="20"/>
        </w:rPr>
        <w:t xml:space="preserve"> (</w:t>
      </w:r>
      <w:r>
        <w:rPr>
          <w:rFonts w:cs="Times New Roman" w:ascii="Times New Roman" w:hAnsi="Times New Roman"/>
          <w:sz w:val="20"/>
          <w:szCs w:val="20"/>
        </w:rPr>
        <w:t>H</w:t>
      </w:r>
      <w:r>
        <w:rPr>
          <w:rFonts w:cs="Times New Roman" w:ascii="Times New Roman" w:hAnsi="Times New Roman"/>
          <w:sz w:val="20"/>
          <w:szCs w:val="20"/>
          <w:vertAlign w:val="subscript"/>
        </w:rPr>
        <w:t>1</w:t>
      </w:r>
      <w:r>
        <w:rPr>
          <w:sz w:val="20"/>
          <w:szCs w:val="20"/>
        </w:rPr>
        <w:t>) that t</w:t>
      </w:r>
      <w:r>
        <w:rPr>
          <w:rFonts w:cs="Times New Roman" w:ascii="Times New Roman" w:hAnsi="Times New Roman"/>
          <w:sz w:val="20"/>
          <w:szCs w:val="20"/>
        </w:rPr>
        <w:t xml:space="preserve">he mediating effect of the funding sources on the relationship between board diversity and the </w:t>
      </w:r>
      <w:r>
        <w:rPr>
          <w:rFonts w:cs="Times New Roman" w:ascii="Times New Roman" w:hAnsi="Times New Roman"/>
          <w:spacing w:val="-2"/>
          <w:sz w:val="20"/>
          <w:szCs w:val="20"/>
        </w:rPr>
        <w:t>efficiency of universities registered in Kenya</w:t>
      </w:r>
      <w:r>
        <w:rPr>
          <w:rFonts w:cs="Times New Roman" w:ascii="Times New Roman" w:hAnsi="Times New Roman"/>
          <w:sz w:val="20"/>
          <w:szCs w:val="20"/>
        </w:rPr>
        <w:t xml:space="preserve"> is insignificant.</w:t>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t>The mediation effect was examined following Baron and Kenny’s (1986) method. The four stages of multiple regression analyses were completed, with each step evaluating the significance of the coefficients. Simple linear regression is used in the first two phases, whereas multiple regression is used in the third and fourth phases.</w:t>
      </w:r>
    </w:p>
    <w:p>
      <w:pPr>
        <w:pStyle w:val="Normal"/>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t>The structural model and mediation process were reviewed using the path coefficients based on the paths depicted in Fig. 2 (Baron &amp; Kenny, 1986)</w:t>
      </w:r>
      <w:bookmarkStart w:id="8" w:name="_Toc138857173"/>
      <w:bookmarkStart w:id="9" w:name="_Toc138857102"/>
      <w:r>
        <w:rPr>
          <w:rFonts w:cs="Times New Roman" w:ascii="Times New Roman" w:hAnsi="Times New Roman"/>
          <w:sz w:val="20"/>
          <w:szCs w:val="20"/>
        </w:rPr>
        <w:t>.</w:t>
      </w:r>
      <w:bookmarkEnd w:id="8"/>
      <w:bookmarkEnd w:id="9"/>
    </w:p>
    <w:p>
      <w:pPr>
        <w:pStyle w:val="Normal"/>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360" w:before="0" w:after="0"/>
        <w:jc w:val="center"/>
        <w:rPr>
          <w:rFonts w:eastAsia="Calibri" w:cs="Times New Roman"/>
          <w:bCs/>
          <w:iCs/>
          <w:color w:val="000000"/>
          <w:szCs w:val="24"/>
          <w:lang w:val="en-US"/>
        </w:rPr>
      </w:pPr>
      <w:r>
        <w:rPr/>
        <w:drawing>
          <wp:inline distT="0" distB="0" distL="0" distR="0">
            <wp:extent cx="4845050" cy="1443355"/>
            <wp:effectExtent l="0" t="0" r="0" b="0"/>
            <wp:docPr id="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descr=""/>
                    <pic:cNvPicPr>
                      <a:picLocks noChangeAspect="1" noChangeArrowheads="1"/>
                    </pic:cNvPicPr>
                  </pic:nvPicPr>
                  <pic:blipFill>
                    <a:blip r:embed="rId4"/>
                    <a:srcRect l="24406" t="37092" r="30413" b="44381"/>
                    <a:stretch>
                      <a:fillRect/>
                    </a:stretch>
                  </pic:blipFill>
                  <pic:spPr bwMode="auto">
                    <a:xfrm>
                      <a:off x="0" y="0"/>
                      <a:ext cx="4845050" cy="1443355"/>
                    </a:xfrm>
                    <a:prstGeom prst="rect">
                      <a:avLst/>
                    </a:prstGeom>
                  </pic:spPr>
                </pic:pic>
              </a:graphicData>
            </a:graphic>
          </wp:inline>
        </w:drawing>
      </w:r>
    </w:p>
    <w:p>
      <w:pPr>
        <w:pStyle w:val="Normal"/>
        <w:widowControl w:val="false"/>
        <w:spacing w:lineRule="auto" w:line="252" w:before="0" w:after="0"/>
        <w:jc w:val="center"/>
        <w:rPr>
          <w:rFonts w:ascii="Times New Roman" w:hAnsi="Times New Roman" w:cs="Times New Roman"/>
          <w:bCs/>
          <w:iCs/>
          <w:sz w:val="16"/>
          <w:szCs w:val="16"/>
          <w:lang w:val="en-US"/>
        </w:rPr>
      </w:pPr>
      <w:r>
        <w:rPr>
          <w:rFonts w:cs="Times New Roman" w:ascii="Times New Roman" w:hAnsi="Times New Roman"/>
          <w:bCs/>
          <w:iCs/>
          <w:sz w:val="16"/>
          <w:szCs w:val="16"/>
          <w:lang w:val="en-US"/>
        </w:rPr>
        <w:t xml:space="preserve">Fig. 2. </w:t>
      </w:r>
      <w:r>
        <w:rPr>
          <w:rFonts w:cs="Times New Roman" w:ascii="Times New Roman" w:hAnsi="Times New Roman"/>
          <w:sz w:val="16"/>
          <w:szCs w:val="16"/>
        </w:rPr>
        <w:t>Mediation</w:t>
      </w:r>
      <w:r>
        <w:rPr>
          <w:rFonts w:cs="Times New Roman" w:ascii="Times New Roman" w:hAnsi="Times New Roman"/>
          <w:bCs/>
          <w:iCs/>
          <w:sz w:val="16"/>
          <w:szCs w:val="16"/>
          <w:lang w:val="en-US"/>
        </w:rPr>
        <w:t xml:space="preserve"> process of funding sources on the relationship between board diversity and efficiency.</w:t>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ListParagraph"/>
        <w:widowControl w:val="false"/>
        <w:numPr>
          <w:ilvl w:val="0"/>
          <w:numId w:val="4"/>
        </w:numPr>
        <w:spacing w:lineRule="auto" w:line="252" w:before="240" w:after="0"/>
        <w:contextualSpacing/>
        <w:rPr>
          <w:rFonts w:cs="Times New Roman"/>
          <w:sz w:val="20"/>
          <w:szCs w:val="20"/>
        </w:rPr>
      </w:pPr>
      <w:r>
        <w:rPr>
          <w:rFonts w:cs="Times New Roman"/>
          <w:sz w:val="20"/>
          <w:szCs w:val="20"/>
        </w:rPr>
        <w:t>Step 1: Analyze the association between the independent and dependent variables. Establish the relationship between the criterion and predictor variables. The association between the variables should be statistically significant. This phase establishes the existence of a relationship that can be managed.</w:t>
      </w:r>
    </w:p>
    <w:p>
      <w:pPr>
        <w:pStyle w:val="ListParagraph"/>
        <w:widowControl w:val="false"/>
        <w:numPr>
          <w:ilvl w:val="0"/>
          <w:numId w:val="4"/>
        </w:numPr>
        <w:spacing w:lineRule="auto" w:line="252" w:before="240" w:after="0"/>
        <w:contextualSpacing/>
        <w:rPr>
          <w:rFonts w:cs="Times New Roman"/>
          <w:sz w:val="20"/>
          <w:szCs w:val="20"/>
        </w:rPr>
      </w:pPr>
      <w:r>
        <w:rPr>
          <w:rFonts w:cs="Times New Roman"/>
          <w:sz w:val="20"/>
          <w:szCs w:val="20"/>
        </w:rPr>
        <w:t>Step 2: Determine the association between the mediator and the independent variable. Show a correlation between the mediator and the independent variable. Essentially, the mediator must be considered an outcome variable at this level.</w:t>
      </w:r>
    </w:p>
    <w:p>
      <w:pPr>
        <w:pStyle w:val="ListParagraph"/>
        <w:widowControl w:val="false"/>
        <w:numPr>
          <w:ilvl w:val="0"/>
          <w:numId w:val="4"/>
        </w:numPr>
        <w:spacing w:lineRule="auto" w:line="252" w:before="240" w:after="0"/>
        <w:contextualSpacing/>
        <w:rPr>
          <w:rFonts w:cs="Times New Roman"/>
          <w:sz w:val="20"/>
          <w:szCs w:val="20"/>
        </w:rPr>
      </w:pPr>
      <w:r>
        <w:rPr>
          <w:rFonts w:cs="Times New Roman"/>
          <w:sz w:val="20"/>
          <w:szCs w:val="20"/>
        </w:rPr>
        <w:t>Step 3: Adjust for the predictor variable and determine the relationship between the criterion and the intervening variable. Establish the impact of the mediator on the outcome variable.</w:t>
      </w:r>
    </w:p>
    <w:p>
      <w:pPr>
        <w:pStyle w:val="ListParagraph"/>
        <w:widowControl w:val="false"/>
        <w:numPr>
          <w:ilvl w:val="0"/>
          <w:numId w:val="4"/>
        </w:numPr>
        <w:spacing w:lineRule="auto" w:line="252" w:before="240" w:after="0"/>
        <w:contextualSpacing/>
        <w:rPr>
          <w:rFonts w:cs="Times New Roman"/>
          <w:sz w:val="20"/>
          <w:szCs w:val="20"/>
        </w:rPr>
      </w:pPr>
      <w:r>
        <w:rPr>
          <w:rFonts w:cs="Times New Roman"/>
          <w:sz w:val="20"/>
          <w:szCs w:val="20"/>
        </w:rPr>
        <w:t>Step 4: In the presence of the mediator, the link between the predictor and criterion variables is unimportant. When the mediator is taken into account, the influence of the predictor variable on the criterion variable should be zero, showing that the variable mediates the relationship between the independent and dependent variables.</w:t>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t>For estimation, general linear models based on the causal steps approach proposed by Baron and Kenny (1986) are specified as follows:</w:t>
      </w:r>
    </w:p>
    <w:p>
      <w:pPr>
        <w:pStyle w:val="Normal"/>
        <w:widowControl w:val="false"/>
        <w:spacing w:lineRule="auto" w:line="240" w:before="0" w:after="0"/>
        <w:ind w:firstLine="202"/>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
      <m:oMath xmlns:m="http://schemas.openxmlformats.org/officeDocument/2006/math">
        <m:f>
          <m:fPr>
            <m:type m:val="lin"/>
          </m:fPr>
          <m:num/>
          <m:den/>
        </m:f>
        <m:r>
          <w:rPr>
            <w:rFonts w:ascii="Cambria Math" w:hAnsi="Cambria Math"/>
          </w:rPr>
          <m:t xml:space="preserve">⊙</m:t>
        </m:r>
        <m:sSub>
          <m:e>
            <m:r>
              <w:rPr>
                <w:rFonts w:ascii="Cambria Math" w:hAnsi="Cambria Math"/>
              </w:rPr>
              <m:t xml:space="preserve">EF</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BD</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Ԑ</m:t>
            </m:r>
          </m:e>
          <m:sub>
            <m:r>
              <w:rPr>
                <w:rFonts w:ascii="Cambria Math" w:hAnsi="Cambria Math"/>
              </w:rPr>
              <m:t xml:space="preserve">it</m:t>
            </m:r>
          </m:sub>
        </m:sSub>
      </m:oMath>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lang w:val="en-US"/>
        </w:rPr>
        <w:t xml:space="preserve">(1.1) </w:t>
      </w:r>
    </w:p>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
      <m:oMath xmlns:m="http://schemas.openxmlformats.org/officeDocument/2006/math">
        <m:sSub>
          <m:e>
            <m:r>
              <w:rPr>
                <w:rFonts w:ascii="Cambria Math" w:hAnsi="Cambria Math"/>
              </w:rPr>
              <m:t xml:space="preserve">FS</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BD</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Ԑ</m:t>
            </m:r>
          </m:e>
          <m:sub>
            <m:r>
              <w:rPr>
                <w:rFonts w:ascii="Cambria Math" w:hAnsi="Cambria Math"/>
              </w:rPr>
              <m:t xml:space="preserve">it</m:t>
            </m:r>
          </m:sub>
        </m:sSub>
      </m:oMath>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lang w:val="en-US"/>
        </w:rPr>
        <w:t>(1.2)</w:t>
      </w:r>
    </w:p>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
      <m:oMath xmlns:m="http://schemas.openxmlformats.org/officeDocument/2006/math">
        <m:sSub>
          <m:e>
            <m:r>
              <w:rPr>
                <w:rFonts w:ascii="Cambria Math" w:hAnsi="Cambria Math"/>
              </w:rPr>
              <m:t xml:space="preserve">EF</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BD</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FS</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Ԑ</m:t>
            </m:r>
          </m:e>
          <m:sub>
            <m:r>
              <w:rPr>
                <w:rFonts w:ascii="Cambria Math" w:hAnsi="Cambria Math"/>
              </w:rPr>
              <m:t xml:space="preserve">it</m:t>
            </m:r>
          </m:sub>
        </m:sSub>
      </m:oMath>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lang w:val="en-US"/>
        </w:rPr>
        <w:t>(1.3)</w:t>
      </w:r>
    </w:p>
    <w:p>
      <w:pPr>
        <w:pStyle w:val="Normal"/>
        <w:widowControl w:val="false"/>
        <w:tabs>
          <w:tab w:val="clear" w:pos="720"/>
          <w:tab w:val="left" w:pos="8135" w:leader="dot"/>
        </w:tabs>
        <w:spacing w:lineRule="auto" w:line="240" w:before="0" w:after="0"/>
        <w:rPr>
          <w:rFonts w:ascii="Times New Roman" w:hAnsi="Times New Roman" w:eastAsia="Cambria Math" w:cs="Times New Roman"/>
          <w:sz w:val="20"/>
          <w:szCs w:val="20"/>
          <w:lang w:val="en-US"/>
        </w:rPr>
      </w:pPr>
      <w:r>
        <w:rPr>
          <w:rFonts w:eastAsia="Cambria Math" w:cs="Times New Roman" w:ascii="Times New Roman" w:hAnsi="Times New Roman"/>
          <w:sz w:val="20"/>
          <w:szCs w:val="20"/>
          <w:lang w:val="en-US"/>
        </w:rPr>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t>The study tested the mediation effect following Baron and Kenny’s (1986) four-step approach. In Step 1, the relationship between board diversity and efficiency was estimated using a simple regression model and presented in Table II.</w:t>
      </w:r>
      <w:bookmarkStart w:id="10" w:name="_Toc138857103"/>
      <w:bookmarkStart w:id="11" w:name="_Toc138857174"/>
    </w:p>
    <w:p>
      <w:pPr>
        <w:pStyle w:val="Normal"/>
        <w:widowControl w:val="false"/>
        <w:spacing w:lineRule="auto" w:line="252"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52" w:before="0" w:after="0"/>
        <w:jc w:val="center"/>
        <w:rPr>
          <w:rFonts w:ascii="Times New Roman" w:hAnsi="Times New Roman" w:cs="Times New Roman"/>
          <w:sz w:val="20"/>
          <w:szCs w:val="20"/>
        </w:rPr>
      </w:pPr>
      <w:r>
        <w:rPr>
          <w:rFonts w:cs="Times New Roman" w:ascii="Times New Roman" w:hAnsi="Times New Roman"/>
          <w:sz w:val="20"/>
          <w:szCs w:val="20"/>
        </w:rPr>
        <w:t>TABLE II: Regression Results of Board Diversity and Efficiency</w:t>
      </w:r>
      <w:bookmarkEnd w:id="10"/>
      <w:bookmarkEnd w:id="11"/>
    </w:p>
    <w:tbl>
      <w:tblPr>
        <w:tblStyle w:val="TableGrid"/>
        <w:tblW w:w="6338" w:type="dxa"/>
        <w:jc w:val="center"/>
        <w:tblInd w:w="0" w:type="dxa"/>
        <w:tblCellMar>
          <w:top w:w="0" w:type="dxa"/>
          <w:left w:w="108" w:type="dxa"/>
          <w:bottom w:w="0" w:type="dxa"/>
          <w:right w:w="108" w:type="dxa"/>
        </w:tblCellMar>
        <w:tblLook w:val="04a0" w:noHBand="0" w:noVBand="1" w:firstColumn="1" w:lastRow="0" w:lastColumn="0" w:firstRow="1"/>
      </w:tblPr>
      <w:tblGrid>
        <w:gridCol w:w="1453"/>
        <w:gridCol w:w="1925"/>
        <w:gridCol w:w="666"/>
        <w:gridCol w:w="667"/>
        <w:gridCol w:w="667"/>
        <w:gridCol w:w="959"/>
      </w:tblGrid>
      <w:tr>
        <w:trPr/>
        <w:tc>
          <w:tcPr>
            <w:tcW w:w="1453" w:type="dxa"/>
            <w:vMerge w:val="restart"/>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Effect</w:t>
            </w:r>
          </w:p>
        </w:tc>
        <w:tc>
          <w:tcPr>
            <w:tcW w:w="1925" w:type="dxa"/>
            <w:vMerge w:val="restart"/>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Estimate</w:t>
            </w:r>
          </w:p>
        </w:tc>
        <w:tc>
          <w:tcPr>
            <w:tcW w:w="666" w:type="dxa"/>
            <w:vMerge w:val="restart"/>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t>SE</w:t>
            </w:r>
          </w:p>
        </w:tc>
        <w:tc>
          <w:tcPr>
            <w:tcW w:w="1334" w:type="dxa"/>
            <w:gridSpan w:val="2"/>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95% CI</w:t>
            </w:r>
          </w:p>
        </w:tc>
        <w:tc>
          <w:tcPr>
            <w:tcW w:w="959" w:type="dxa"/>
            <w:vMerge w:val="restart"/>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t>t</w:t>
            </w:r>
          </w:p>
        </w:tc>
      </w:tr>
      <w:tr>
        <w:trPr/>
        <w:tc>
          <w:tcPr>
            <w:tcW w:w="1453" w:type="dxa"/>
            <w:vMerge w:val="continue"/>
            <w:tcBorders/>
            <w:shd w:color="auto" w:fill="auto" w:val="clear"/>
            <w:vAlign w:val="cente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1925" w:type="dxa"/>
            <w:vMerge w:val="continue"/>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vMerge w:val="continue"/>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t>LL</w:t>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t>UL</w:t>
            </w:r>
          </w:p>
        </w:tc>
        <w:tc>
          <w:tcPr>
            <w:tcW w:w="959" w:type="dxa"/>
            <w:vMerge w:val="continue"/>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r>
          </w:p>
        </w:tc>
      </w:tr>
      <w:tr>
        <w:trPr/>
        <w:tc>
          <w:tcPr>
            <w:tcW w:w="145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Intercept</w:t>
            </w:r>
          </w:p>
        </w:tc>
        <w:tc>
          <w:tcPr>
            <w:tcW w:w="1925"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2.180</w:t>
            </w:r>
            <w:r>
              <w:rPr>
                <w:rFonts w:eastAsia="Times New Roman" w:cs="Times New Roman" w:ascii="Times New Roman" w:hAnsi="Times New Roman"/>
                <w:sz w:val="20"/>
                <w:szCs w:val="20"/>
                <w:vertAlign w:val="superscript"/>
                <w:lang w:val="en-US"/>
              </w:rPr>
              <w:t>***</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0.089</w:t>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2.005</w:t>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2.356</w:t>
            </w:r>
          </w:p>
        </w:tc>
        <w:tc>
          <w:tcPr>
            <w:tcW w:w="959"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24.400</w:t>
            </w:r>
            <w:r>
              <w:rPr>
                <w:rFonts w:eastAsia="Times New Roman" w:cs="Times New Roman" w:ascii="Times New Roman" w:hAnsi="Times New Roman"/>
                <w:sz w:val="20"/>
                <w:szCs w:val="20"/>
                <w:vertAlign w:val="superscript"/>
                <w:lang w:val="en-US"/>
              </w:rPr>
              <w:t>***</w:t>
            </w:r>
          </w:p>
        </w:tc>
      </w:tr>
      <w:tr>
        <w:trPr/>
        <w:tc>
          <w:tcPr>
            <w:tcW w:w="145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Board diversity </w:t>
            </w:r>
          </w:p>
        </w:tc>
        <w:tc>
          <w:tcPr>
            <w:tcW w:w="1925"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0.242</w:t>
            </w:r>
            <w:r>
              <w:rPr>
                <w:rFonts w:eastAsia="Times New Roman" w:cs="Times New Roman" w:ascii="Times New Roman" w:hAnsi="Times New Roman"/>
                <w:sz w:val="20"/>
                <w:szCs w:val="20"/>
                <w:vertAlign w:val="superscript"/>
                <w:lang w:val="en-US"/>
              </w:rPr>
              <w:t>***</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0.028</w:t>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0.186</w:t>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0.298</w:t>
            </w:r>
          </w:p>
        </w:tc>
        <w:tc>
          <w:tcPr>
            <w:tcW w:w="959"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8.500</w:t>
            </w:r>
            <w:r>
              <w:rPr>
                <w:rFonts w:eastAsia="Times New Roman" w:cs="Times New Roman" w:ascii="Times New Roman" w:hAnsi="Times New Roman"/>
                <w:sz w:val="20"/>
                <w:szCs w:val="20"/>
                <w:vertAlign w:val="superscript"/>
                <w:lang w:val="en-US"/>
              </w:rPr>
              <w:t>***</w:t>
            </w:r>
          </w:p>
        </w:tc>
      </w:tr>
      <w:tr>
        <w:trPr/>
        <w:tc>
          <w:tcPr>
            <w:tcW w:w="145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eastAsia="Times New Roman" w:cs="Times New Roman" w:ascii="Times New Roman" w:hAnsi="Times New Roman"/>
                <w:sz w:val="20"/>
                <w:szCs w:val="20"/>
                <w:lang w:val="en-US"/>
              </w:rPr>
              <w:t>Observations</w:t>
            </w:r>
          </w:p>
        </w:tc>
        <w:tc>
          <w:tcPr>
            <w:tcW w:w="1925"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361</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959"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145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eastAsia="Times New Roman" w:cs="Times New Roman" w:ascii="Times New Roman" w:hAnsi="Times New Roman"/>
                <w:sz w:val="20"/>
                <w:szCs w:val="20"/>
                <w:lang w:val="en-US"/>
              </w:rPr>
              <w:t>R</w:t>
            </w:r>
            <w:r>
              <w:rPr>
                <w:rFonts w:eastAsia="Times New Roman" w:cs="Times New Roman" w:ascii="Times New Roman" w:hAnsi="Times New Roman"/>
                <w:sz w:val="20"/>
                <w:szCs w:val="20"/>
                <w:vertAlign w:val="superscript"/>
                <w:lang w:val="en-US"/>
              </w:rPr>
              <w:t>2</w:t>
            </w:r>
          </w:p>
        </w:tc>
        <w:tc>
          <w:tcPr>
            <w:tcW w:w="1925"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0.167</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959"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145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eastAsia="Times New Roman" w:cs="Times New Roman" w:ascii="Times New Roman" w:hAnsi="Times New Roman"/>
                <w:sz w:val="20"/>
                <w:szCs w:val="20"/>
                <w:lang w:val="en-US"/>
              </w:rPr>
              <w:t>Adjusted R</w:t>
            </w:r>
            <w:r>
              <w:rPr>
                <w:rFonts w:eastAsia="Times New Roman" w:cs="Times New Roman" w:ascii="Times New Roman" w:hAnsi="Times New Roman"/>
                <w:sz w:val="20"/>
                <w:szCs w:val="20"/>
                <w:vertAlign w:val="superscript"/>
                <w:lang w:val="en-US"/>
              </w:rPr>
              <w:t>2</w:t>
            </w:r>
          </w:p>
        </w:tc>
        <w:tc>
          <w:tcPr>
            <w:tcW w:w="1925"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0.165</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959"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145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eastAsia="Times New Roman" w:cs="Times New Roman" w:ascii="Times New Roman" w:hAnsi="Times New Roman"/>
                <w:sz w:val="20"/>
                <w:szCs w:val="20"/>
                <w:lang w:val="en-US"/>
              </w:rPr>
              <w:t>F Statistic</w:t>
            </w:r>
          </w:p>
        </w:tc>
        <w:tc>
          <w:tcPr>
            <w:tcW w:w="1925"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72.25</w:t>
            </w:r>
            <w:r>
              <w:rPr>
                <w:rFonts w:eastAsia="Times New Roman" w:cs="Times New Roman" w:ascii="Times New Roman" w:hAnsi="Times New Roman"/>
                <w:sz w:val="20"/>
                <w:szCs w:val="20"/>
                <w:vertAlign w:val="superscript"/>
                <w:lang w:val="en-US"/>
              </w:rPr>
              <w:t>***</w:t>
            </w:r>
            <w:r>
              <w:rPr>
                <w:rFonts w:eastAsia="Times New Roman" w:cs="Times New Roman" w:ascii="Times New Roman" w:hAnsi="Times New Roman"/>
                <w:sz w:val="20"/>
                <w:szCs w:val="20"/>
                <w:lang w:val="en-US"/>
              </w:rPr>
              <w:t> (df = 1, 359)</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959"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bl>
    <w:p>
      <w:pPr>
        <w:pStyle w:val="Normal"/>
        <w:spacing w:lineRule="auto" w:line="240" w:before="0" w:after="0"/>
        <w:ind w:left="1560" w:right="1563" w:hanging="0"/>
        <w:jc w:val="both"/>
        <w:rPr>
          <w:rFonts w:ascii="Times New Roman" w:hAnsi="Times New Roman" w:cs="Times New Roman"/>
          <w:sz w:val="20"/>
          <w:szCs w:val="20"/>
        </w:rPr>
      </w:pPr>
      <w:r>
        <w:rPr>
          <w:rFonts w:cs="Times New Roman" w:ascii="Times New Roman" w:hAnsi="Times New Roman"/>
          <w:i/>
          <w:sz w:val="20"/>
          <w:szCs w:val="20"/>
        </w:rPr>
        <w:t xml:space="preserve">Note. </w:t>
      </w:r>
      <w:r>
        <w:rPr>
          <w:rFonts w:eastAsia="Times New Roman" w:cs="Times New Roman" w:ascii="Times New Roman" w:hAnsi="Times New Roman"/>
          <w:sz w:val="20"/>
          <w:szCs w:val="20"/>
          <w:vertAlign w:val="superscript"/>
          <w:lang w:val="en-US"/>
        </w:rPr>
        <w:t>*</w:t>
      </w:r>
      <w:r>
        <w:rPr>
          <w:rFonts w:cs="Times New Roman" w:ascii="Times New Roman" w:hAnsi="Times New Roman"/>
          <w:bCs/>
          <w:i/>
          <w:sz w:val="20"/>
          <w:szCs w:val="20"/>
        </w:rPr>
        <w:t>p &lt; 0.05;</w:t>
      </w:r>
      <w:r>
        <w:rPr>
          <w:rFonts w:eastAsia="Times New Roman" w:cs="Times New Roman" w:ascii="Times New Roman" w:hAnsi="Times New Roman"/>
          <w:sz w:val="20"/>
          <w:szCs w:val="20"/>
          <w:vertAlign w:val="superscript"/>
          <w:lang w:val="en-US"/>
        </w:rPr>
        <w:t xml:space="preserve"> **</w:t>
      </w:r>
      <w:r>
        <w:rPr>
          <w:rFonts w:cs="Times New Roman" w:ascii="Times New Roman" w:hAnsi="Times New Roman"/>
          <w:bCs/>
          <w:i/>
          <w:sz w:val="20"/>
          <w:szCs w:val="20"/>
        </w:rPr>
        <w:t xml:space="preserve">p &lt; 0.01; </w:t>
      </w:r>
      <w:r>
        <w:rPr>
          <w:rFonts w:eastAsia="Times New Roman" w:cs="Times New Roman" w:ascii="Times New Roman" w:hAnsi="Times New Roman"/>
          <w:sz w:val="20"/>
          <w:szCs w:val="20"/>
          <w:vertAlign w:val="superscript"/>
          <w:lang w:val="en-US"/>
        </w:rPr>
        <w:t>***</w:t>
      </w:r>
      <w:r>
        <w:rPr>
          <w:rFonts w:cs="Times New Roman" w:ascii="Times New Roman" w:hAnsi="Times New Roman"/>
          <w:bCs/>
          <w:i/>
          <w:sz w:val="20"/>
          <w:szCs w:val="20"/>
        </w:rPr>
        <w:t>p &lt; 0.001;</w:t>
      </w:r>
      <w:r>
        <w:rPr/>
        <w:t xml:space="preserve"> </w:t>
      </w:r>
      <w:r>
        <w:rPr>
          <w:rFonts w:cs="Times New Roman" w:ascii="Times New Roman" w:hAnsi="Times New Roman"/>
          <w:sz w:val="20"/>
          <w:szCs w:val="20"/>
        </w:rPr>
        <w:t xml:space="preserve">CI = confidence interval; </w:t>
      </w:r>
      <w:r>
        <w:rPr>
          <w:rFonts w:cs="Times New Roman" w:ascii="Times New Roman" w:hAnsi="Times New Roman"/>
          <w:i/>
          <w:iCs/>
          <w:sz w:val="20"/>
          <w:szCs w:val="20"/>
        </w:rPr>
        <w:t>LL</w:t>
      </w:r>
      <w:r>
        <w:rPr>
          <w:rFonts w:cs="Times New Roman" w:ascii="Times New Roman" w:hAnsi="Times New Roman"/>
          <w:sz w:val="20"/>
          <w:szCs w:val="20"/>
        </w:rPr>
        <w:t xml:space="preserve"> = lower limit; </w:t>
      </w:r>
      <w:r>
        <w:rPr>
          <w:rFonts w:cs="Times New Roman" w:ascii="Times New Roman" w:hAnsi="Times New Roman"/>
          <w:i/>
          <w:iCs/>
          <w:sz w:val="20"/>
          <w:szCs w:val="20"/>
        </w:rPr>
        <w:t>UL</w:t>
      </w:r>
      <w:r>
        <w:rPr>
          <w:rFonts w:cs="Times New Roman" w:ascii="Times New Roman" w:hAnsi="Times New Roman"/>
          <w:sz w:val="20"/>
          <w:szCs w:val="20"/>
        </w:rPr>
        <w:t xml:space="preserve"> = upper limit.</w:t>
      </w:r>
    </w:p>
    <w:p>
      <w:pPr>
        <w:pStyle w:val="Normal"/>
        <w:widowControl w:val="false"/>
        <w:tabs>
          <w:tab w:val="clear" w:pos="720"/>
          <w:tab w:val="left" w:pos="-720" w:leader="none"/>
        </w:tabs>
        <w:suppressAutoHyphens w:val="true"/>
        <w:spacing w:before="0" w:after="0"/>
        <w:rPr>
          <w:rFonts w:eastAsia="Calibri" w:cs="Times New Roman"/>
          <w:b/>
          <w:b/>
          <w:i/>
          <w:i/>
          <w:spacing w:val="-2"/>
          <w:szCs w:val="24"/>
        </w:rPr>
      </w:pPr>
      <w:r>
        <w:rPr>
          <w:rFonts w:eastAsia="Calibri" w:cs="Times New Roman"/>
          <w:b/>
          <w:i/>
          <w:spacing w:val="-2"/>
          <w:szCs w:val="24"/>
        </w:rPr>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t>Table II shows the regression analysis results. The F-test statistic was statistically significant, F (1, 359) = 72.25, p &lt; 0.001, meaning that the regression model was statistically significant. According to these results, board diversity (β = 0.242, p &lt; 0.001) significantly predicts efficiency. R-squared value of 0.167 points out that board diversity explains 16.7% of the variance in the efficiency of universities in Kenya.</w:t>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t>The linear regression analysis model of:</w:t>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
      <m:oMath xmlns:m="http://schemas.openxmlformats.org/officeDocument/2006/math">
        <m:sSub>
          <m:e>
            <m:r>
              <w:rPr>
                <w:rFonts w:ascii="Cambria Math" w:hAnsi="Cambria Math"/>
              </w:rPr>
              <m:t xml:space="preserve">EF</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BD</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Ԑ</m:t>
            </m:r>
          </m:e>
          <m:sub>
            <m:r>
              <w:rPr>
                <w:rFonts w:ascii="Cambria Math" w:hAnsi="Cambria Math"/>
              </w:rPr>
              <m:t xml:space="preserve">it</m:t>
            </m:r>
          </m:sub>
        </m:sSub>
      </m:oMath>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lang w:val="en-US"/>
        </w:rPr>
        <w:t>(4)</w:t>
      </w:r>
    </w:p>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becomes</w:t>
      </w:r>
    </w:p>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
      <m:oMath xmlns:m="http://schemas.openxmlformats.org/officeDocument/2006/math">
        <m:sSub>
          <m:e>
            <m:r>
              <w:rPr>
                <w:rFonts w:ascii="Cambria Math" w:hAnsi="Cambria Math"/>
              </w:rPr>
              <m:t xml:space="preserve">EF</m:t>
            </m:r>
          </m:e>
          <m:sub>
            <m:r>
              <w:rPr>
                <w:rFonts w:ascii="Cambria Math" w:hAnsi="Cambria Math"/>
              </w:rPr>
              <m:t xml:space="preserve">it</m:t>
            </m:r>
          </m:sub>
        </m:sSub>
        <m:r>
          <w:rPr>
            <w:rFonts w:ascii="Cambria Math" w:hAnsi="Cambria Math"/>
          </w:rPr>
          <m:t xml:space="preserve">=</m:t>
        </m:r>
        <m:r>
          <w:rPr>
            <w:rFonts w:ascii="Cambria Math" w:hAnsi="Cambria Math"/>
          </w:rPr>
          <m:t xml:space="preserve">2.181</m:t>
        </m:r>
        <m:r>
          <w:rPr>
            <w:rFonts w:ascii="Cambria Math" w:hAnsi="Cambria Math"/>
          </w:rPr>
          <m:t xml:space="preserve">+</m:t>
        </m:r>
        <m:d>
          <m:dPr>
            <m:begChr m:val="("/>
            <m:endChr m:val=")"/>
          </m:dPr>
          <m:e>
            <m:r>
              <w:rPr>
                <w:rFonts w:ascii="Cambria Math" w:hAnsi="Cambria Math"/>
              </w:rPr>
              <m:t xml:space="preserve">0.242</m:t>
            </m:r>
          </m:e>
        </m:d>
        <m:sSub>
          <m:e>
            <m:r>
              <w:rPr>
                <w:rFonts w:ascii="Cambria Math" w:hAnsi="Cambria Math"/>
              </w:rPr>
              <m:t xml:space="preserve">BD</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Ԑ</m:t>
            </m:r>
          </m:e>
          <m:sub>
            <m:r>
              <w:rPr>
                <w:rFonts w:ascii="Cambria Math" w:hAnsi="Cambria Math"/>
              </w:rPr>
              <m:t xml:space="preserve">it</m:t>
            </m:r>
          </m:sub>
        </m:sSub>
      </m:oMath>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lang w:val="en-US"/>
        </w:rPr>
        <w:t>(5)</w:t>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t>Step 2 investigated the link between the predictor and mediator variables: board diversity and funding sources. The outcome variable is the mediator. Table III presents the outcome.</w:t>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52" w:before="0" w:after="0"/>
        <w:jc w:val="center"/>
        <w:rPr>
          <w:rFonts w:ascii="Times New Roman" w:hAnsi="Times New Roman" w:cs="Times New Roman"/>
          <w:sz w:val="20"/>
          <w:szCs w:val="20"/>
        </w:rPr>
      </w:pPr>
      <w:bookmarkStart w:id="12" w:name="_Toc138857104"/>
      <w:bookmarkStart w:id="13" w:name="_Toc138857175"/>
      <w:r>
        <w:rPr>
          <w:rFonts w:cs="Times New Roman" w:ascii="Times New Roman" w:hAnsi="Times New Roman"/>
          <w:sz w:val="20"/>
          <w:szCs w:val="20"/>
        </w:rPr>
        <w:t>TABLE III: Regression Results of Board Diversity and Funding Sources</w:t>
      </w:r>
      <w:bookmarkEnd w:id="12"/>
      <w:bookmarkEnd w:id="13"/>
    </w:p>
    <w:tbl>
      <w:tblPr>
        <w:tblStyle w:val="TableGrid"/>
        <w:tblW w:w="6338" w:type="dxa"/>
        <w:jc w:val="center"/>
        <w:tblInd w:w="0" w:type="dxa"/>
        <w:tblCellMar>
          <w:top w:w="0" w:type="dxa"/>
          <w:left w:w="108" w:type="dxa"/>
          <w:bottom w:w="0" w:type="dxa"/>
          <w:right w:w="108" w:type="dxa"/>
        </w:tblCellMar>
        <w:tblLook w:val="04a0" w:noHBand="0" w:noVBand="1" w:firstColumn="1" w:lastRow="0" w:lastColumn="0" w:firstRow="1"/>
      </w:tblPr>
      <w:tblGrid>
        <w:gridCol w:w="1453"/>
        <w:gridCol w:w="1925"/>
        <w:gridCol w:w="666"/>
        <w:gridCol w:w="667"/>
        <w:gridCol w:w="667"/>
        <w:gridCol w:w="959"/>
      </w:tblGrid>
      <w:tr>
        <w:trPr/>
        <w:tc>
          <w:tcPr>
            <w:tcW w:w="1453" w:type="dxa"/>
            <w:vMerge w:val="restart"/>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Effect</w:t>
            </w:r>
          </w:p>
        </w:tc>
        <w:tc>
          <w:tcPr>
            <w:tcW w:w="1925" w:type="dxa"/>
            <w:vMerge w:val="restart"/>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Estimate</w:t>
            </w:r>
          </w:p>
        </w:tc>
        <w:tc>
          <w:tcPr>
            <w:tcW w:w="666" w:type="dxa"/>
            <w:vMerge w:val="restart"/>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t>SE</w:t>
            </w:r>
          </w:p>
        </w:tc>
        <w:tc>
          <w:tcPr>
            <w:tcW w:w="1334" w:type="dxa"/>
            <w:gridSpan w:val="2"/>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95% CI</w:t>
            </w:r>
          </w:p>
        </w:tc>
        <w:tc>
          <w:tcPr>
            <w:tcW w:w="959" w:type="dxa"/>
            <w:vMerge w:val="restart"/>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t>t</w:t>
            </w:r>
          </w:p>
        </w:tc>
      </w:tr>
      <w:tr>
        <w:trPr/>
        <w:tc>
          <w:tcPr>
            <w:tcW w:w="1453" w:type="dxa"/>
            <w:vMerge w:val="continue"/>
            <w:tcBorders/>
            <w:shd w:color="auto" w:fill="auto" w:val="clear"/>
            <w:vAlign w:val="cente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1925" w:type="dxa"/>
            <w:vMerge w:val="continue"/>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vMerge w:val="continue"/>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t>LL</w:t>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t>UL</w:t>
            </w:r>
          </w:p>
        </w:tc>
        <w:tc>
          <w:tcPr>
            <w:tcW w:w="959" w:type="dxa"/>
            <w:vMerge w:val="continue"/>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r>
          </w:p>
        </w:tc>
      </w:tr>
      <w:tr>
        <w:trPr/>
        <w:tc>
          <w:tcPr>
            <w:tcW w:w="145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Intercept</w:t>
            </w:r>
          </w:p>
        </w:tc>
        <w:tc>
          <w:tcPr>
            <w:tcW w:w="1925"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2.753</w:t>
            </w:r>
            <w:r>
              <w:rPr>
                <w:rFonts w:eastAsia="Times New Roman" w:cs="Times New Roman" w:ascii="Times New Roman" w:hAnsi="Times New Roman"/>
                <w:sz w:val="20"/>
                <w:szCs w:val="20"/>
                <w:vertAlign w:val="superscript"/>
                <w:lang w:val="en-US"/>
              </w:rPr>
              <w:t>***</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0.094</w:t>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2.569</w:t>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2.938</w:t>
            </w:r>
          </w:p>
        </w:tc>
        <w:tc>
          <w:tcPr>
            <w:tcW w:w="959"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29.310</w:t>
            </w:r>
            <w:r>
              <w:rPr>
                <w:rFonts w:eastAsia="Times New Roman" w:cs="Times New Roman" w:ascii="Times New Roman" w:hAnsi="Times New Roman"/>
                <w:sz w:val="20"/>
                <w:szCs w:val="20"/>
                <w:vertAlign w:val="superscript"/>
                <w:lang w:val="en-US"/>
              </w:rPr>
              <w:t>***</w:t>
            </w:r>
          </w:p>
        </w:tc>
      </w:tr>
      <w:tr>
        <w:trPr/>
        <w:tc>
          <w:tcPr>
            <w:tcW w:w="145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Board diversity </w:t>
            </w:r>
          </w:p>
        </w:tc>
        <w:tc>
          <w:tcPr>
            <w:tcW w:w="1925"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0.159</w:t>
            </w:r>
            <w:r>
              <w:rPr>
                <w:rFonts w:eastAsia="Times New Roman" w:cs="Times New Roman" w:ascii="Times New Roman" w:hAnsi="Times New Roman"/>
                <w:sz w:val="20"/>
                <w:szCs w:val="20"/>
                <w:vertAlign w:val="superscript"/>
                <w:lang w:val="en-US"/>
              </w:rPr>
              <w:t>***</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0.030</w:t>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0.100</w:t>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0.218</w:t>
            </w:r>
          </w:p>
        </w:tc>
        <w:tc>
          <w:tcPr>
            <w:tcW w:w="959"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5.320</w:t>
            </w:r>
            <w:r>
              <w:rPr>
                <w:rFonts w:eastAsia="Times New Roman" w:cs="Times New Roman" w:ascii="Times New Roman" w:hAnsi="Times New Roman"/>
                <w:sz w:val="20"/>
                <w:szCs w:val="20"/>
                <w:vertAlign w:val="superscript"/>
                <w:lang w:val="en-US"/>
              </w:rPr>
              <w:t>***</w:t>
            </w:r>
          </w:p>
        </w:tc>
      </w:tr>
      <w:tr>
        <w:trPr/>
        <w:tc>
          <w:tcPr>
            <w:tcW w:w="145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eastAsia="Times New Roman" w:cs="Times New Roman" w:ascii="Times New Roman" w:hAnsi="Times New Roman"/>
                <w:sz w:val="20"/>
                <w:szCs w:val="20"/>
                <w:lang w:val="en-US"/>
              </w:rPr>
              <w:t>Observations</w:t>
            </w:r>
          </w:p>
        </w:tc>
        <w:tc>
          <w:tcPr>
            <w:tcW w:w="1925"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361</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959"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145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eastAsia="Times New Roman" w:cs="Times New Roman" w:ascii="Times New Roman" w:hAnsi="Times New Roman"/>
                <w:sz w:val="20"/>
                <w:szCs w:val="20"/>
                <w:lang w:val="en-US"/>
              </w:rPr>
              <w:t>R</w:t>
            </w:r>
            <w:r>
              <w:rPr>
                <w:rFonts w:eastAsia="Times New Roman" w:cs="Times New Roman" w:ascii="Times New Roman" w:hAnsi="Times New Roman"/>
                <w:sz w:val="20"/>
                <w:szCs w:val="20"/>
                <w:vertAlign w:val="superscript"/>
                <w:lang w:val="en-US"/>
              </w:rPr>
              <w:t>2</w:t>
            </w:r>
          </w:p>
        </w:tc>
        <w:tc>
          <w:tcPr>
            <w:tcW w:w="1925"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0.073</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959"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145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eastAsia="Times New Roman" w:cs="Times New Roman" w:ascii="Times New Roman" w:hAnsi="Times New Roman"/>
                <w:sz w:val="20"/>
                <w:szCs w:val="20"/>
                <w:lang w:val="en-US"/>
              </w:rPr>
              <w:t>Adjusted R</w:t>
            </w:r>
            <w:r>
              <w:rPr>
                <w:rFonts w:eastAsia="Times New Roman" w:cs="Times New Roman" w:ascii="Times New Roman" w:hAnsi="Times New Roman"/>
                <w:sz w:val="20"/>
                <w:szCs w:val="20"/>
                <w:vertAlign w:val="superscript"/>
                <w:lang w:val="en-US"/>
              </w:rPr>
              <w:t>2</w:t>
            </w:r>
          </w:p>
        </w:tc>
        <w:tc>
          <w:tcPr>
            <w:tcW w:w="1925"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0.071</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959"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145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eastAsia="Times New Roman" w:cs="Times New Roman" w:ascii="Times New Roman" w:hAnsi="Times New Roman"/>
                <w:sz w:val="20"/>
                <w:szCs w:val="20"/>
                <w:lang w:val="en-US"/>
              </w:rPr>
              <w:t>F Statistic</w:t>
            </w:r>
          </w:p>
        </w:tc>
        <w:tc>
          <w:tcPr>
            <w:tcW w:w="1925"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28.35</w:t>
            </w:r>
            <w:r>
              <w:rPr>
                <w:rFonts w:eastAsia="Times New Roman" w:cs="Times New Roman" w:ascii="Times New Roman" w:hAnsi="Times New Roman"/>
                <w:sz w:val="20"/>
                <w:szCs w:val="20"/>
                <w:vertAlign w:val="superscript"/>
                <w:lang w:val="en-US"/>
              </w:rPr>
              <w:t>***</w:t>
            </w:r>
            <w:r>
              <w:rPr>
                <w:rFonts w:eastAsia="Times New Roman" w:cs="Times New Roman" w:ascii="Times New Roman" w:hAnsi="Times New Roman"/>
                <w:sz w:val="20"/>
                <w:szCs w:val="20"/>
                <w:lang w:val="en-US"/>
              </w:rPr>
              <w:t> (df = 1, 359)</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7"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959"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bl>
    <w:p>
      <w:pPr>
        <w:pStyle w:val="Normal"/>
        <w:spacing w:lineRule="auto" w:line="240" w:before="0" w:after="0"/>
        <w:ind w:left="1560" w:right="1563" w:hanging="0"/>
        <w:jc w:val="both"/>
        <w:rPr>
          <w:rFonts w:ascii="Times New Roman" w:hAnsi="Times New Roman" w:cs="Times New Roman"/>
          <w:sz w:val="20"/>
          <w:szCs w:val="20"/>
        </w:rPr>
      </w:pPr>
      <w:r>
        <w:rPr>
          <w:rFonts w:cs="Times New Roman" w:ascii="Times New Roman" w:hAnsi="Times New Roman"/>
          <w:i/>
          <w:sz w:val="20"/>
          <w:szCs w:val="20"/>
        </w:rPr>
        <w:t xml:space="preserve">Note. </w:t>
      </w:r>
      <w:r>
        <w:rPr>
          <w:rFonts w:eastAsia="Times New Roman" w:cs="Times New Roman" w:ascii="Times New Roman" w:hAnsi="Times New Roman"/>
          <w:sz w:val="20"/>
          <w:szCs w:val="20"/>
          <w:vertAlign w:val="superscript"/>
          <w:lang w:val="en-US"/>
        </w:rPr>
        <w:t>*</w:t>
      </w:r>
      <w:r>
        <w:rPr>
          <w:rFonts w:cs="Times New Roman" w:ascii="Times New Roman" w:hAnsi="Times New Roman"/>
          <w:bCs/>
          <w:i/>
          <w:sz w:val="20"/>
          <w:szCs w:val="20"/>
        </w:rPr>
        <w:t>p &lt; 0.05;</w:t>
      </w:r>
      <w:r>
        <w:rPr>
          <w:rFonts w:eastAsia="Times New Roman" w:cs="Times New Roman" w:ascii="Times New Roman" w:hAnsi="Times New Roman"/>
          <w:sz w:val="20"/>
          <w:szCs w:val="20"/>
          <w:vertAlign w:val="superscript"/>
          <w:lang w:val="en-US"/>
        </w:rPr>
        <w:t xml:space="preserve"> **</w:t>
      </w:r>
      <w:r>
        <w:rPr>
          <w:rFonts w:cs="Times New Roman" w:ascii="Times New Roman" w:hAnsi="Times New Roman"/>
          <w:bCs/>
          <w:i/>
          <w:sz w:val="20"/>
          <w:szCs w:val="20"/>
        </w:rPr>
        <w:t xml:space="preserve">p &lt; 0.01; </w:t>
      </w:r>
      <w:r>
        <w:rPr>
          <w:rFonts w:eastAsia="Times New Roman" w:cs="Times New Roman" w:ascii="Times New Roman" w:hAnsi="Times New Roman"/>
          <w:sz w:val="20"/>
          <w:szCs w:val="20"/>
          <w:vertAlign w:val="superscript"/>
          <w:lang w:val="en-US"/>
        </w:rPr>
        <w:t>***</w:t>
      </w:r>
      <w:r>
        <w:rPr>
          <w:rFonts w:cs="Times New Roman" w:ascii="Times New Roman" w:hAnsi="Times New Roman"/>
          <w:bCs/>
          <w:i/>
          <w:sz w:val="20"/>
          <w:szCs w:val="20"/>
        </w:rPr>
        <w:t>p &lt; 0.001;</w:t>
      </w:r>
      <w:r>
        <w:rPr/>
        <w:t xml:space="preserve"> </w:t>
      </w:r>
      <w:r>
        <w:rPr>
          <w:rFonts w:cs="Times New Roman" w:ascii="Times New Roman" w:hAnsi="Times New Roman"/>
          <w:sz w:val="20"/>
          <w:szCs w:val="20"/>
        </w:rPr>
        <w:t xml:space="preserve">CI = confidence interval; </w:t>
      </w:r>
      <w:r>
        <w:rPr>
          <w:rFonts w:cs="Times New Roman" w:ascii="Times New Roman" w:hAnsi="Times New Roman"/>
          <w:i/>
          <w:iCs/>
          <w:sz w:val="20"/>
          <w:szCs w:val="20"/>
        </w:rPr>
        <w:t>LL</w:t>
      </w:r>
      <w:r>
        <w:rPr>
          <w:rFonts w:cs="Times New Roman" w:ascii="Times New Roman" w:hAnsi="Times New Roman"/>
          <w:sz w:val="20"/>
          <w:szCs w:val="20"/>
        </w:rPr>
        <w:t xml:space="preserve"> = lower limit; </w:t>
      </w:r>
      <w:r>
        <w:rPr>
          <w:rFonts w:cs="Times New Roman" w:ascii="Times New Roman" w:hAnsi="Times New Roman"/>
          <w:i/>
          <w:iCs/>
          <w:sz w:val="20"/>
          <w:szCs w:val="20"/>
        </w:rPr>
        <w:t>UL</w:t>
      </w:r>
      <w:r>
        <w:rPr>
          <w:rFonts w:cs="Times New Roman" w:ascii="Times New Roman" w:hAnsi="Times New Roman"/>
          <w:sz w:val="20"/>
          <w:szCs w:val="20"/>
        </w:rPr>
        <w:t xml:space="preserve"> = upper limit.</w:t>
      </w:r>
    </w:p>
    <w:p>
      <w:pPr>
        <w:pStyle w:val="Normal"/>
        <w:widowControl w:val="false"/>
        <w:spacing w:lineRule="auto" w:line="252" w:before="0" w:after="0"/>
        <w:jc w:val="center"/>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t>The regression analysis results are as in Table III. The F-test statistic was statistically significant, F(1, 359) = 28.35, p &lt; 0.001, implying that the regression model is statistically significant. Further, the results show that board diversity (β = 0.159, p &lt; 0.001) significantly predicts funding sources. The R-squared value of 0.073 shows that board diversity explains 7.3% of the variance in the funding sources of universities in Kenya.</w:t>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t>The linear regression analysis model of</w:t>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
      <m:oMath xmlns:m="http://schemas.openxmlformats.org/officeDocument/2006/math">
        <m:sSub>
          <m:e>
            <m:r>
              <w:rPr>
                <w:rFonts w:ascii="Cambria Math" w:hAnsi="Cambria Math"/>
              </w:rPr>
              <m:t xml:space="preserve">FS</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BD</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Ԑ</m:t>
            </m:r>
          </m:e>
          <m:sub>
            <m:r>
              <w:rPr>
                <w:rFonts w:ascii="Cambria Math" w:hAnsi="Cambria Math"/>
              </w:rPr>
              <m:t xml:space="preserve">it</m:t>
            </m:r>
          </m:sub>
        </m:sSub>
      </m:oMath>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lang w:val="en-US"/>
        </w:rPr>
        <w:t>(6)</w:t>
      </w:r>
    </w:p>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becomes</w:t>
      </w:r>
    </w:p>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
      <m:oMath xmlns:m="http://schemas.openxmlformats.org/officeDocument/2006/math">
        <m:sSub>
          <m:e>
            <m:r>
              <w:rPr>
                <w:rFonts w:ascii="Cambria Math" w:hAnsi="Cambria Math"/>
              </w:rPr>
              <m:t xml:space="preserve">FS</m:t>
            </m:r>
          </m:e>
          <m:sub>
            <m:r>
              <w:rPr>
                <w:rFonts w:ascii="Cambria Math" w:hAnsi="Cambria Math"/>
              </w:rPr>
              <m:t xml:space="preserve">it</m:t>
            </m:r>
          </m:sub>
        </m:sSub>
        <m:r>
          <w:rPr>
            <w:rFonts w:ascii="Cambria Math" w:hAnsi="Cambria Math"/>
          </w:rPr>
          <m:t xml:space="preserve">=</m:t>
        </m:r>
        <m:r>
          <w:rPr>
            <w:rFonts w:ascii="Cambria Math" w:hAnsi="Cambria Math"/>
          </w:rPr>
          <m:t xml:space="preserve">2.754</m:t>
        </m:r>
        <m:r>
          <w:rPr>
            <w:rFonts w:ascii="Cambria Math" w:hAnsi="Cambria Math"/>
          </w:rPr>
          <m:t xml:space="preserve">+</m:t>
        </m:r>
        <m:d>
          <m:dPr>
            <m:begChr m:val="("/>
            <m:endChr m:val=")"/>
          </m:dPr>
          <m:e>
            <m:r>
              <w:rPr>
                <w:rFonts w:ascii="Cambria Math" w:hAnsi="Cambria Math"/>
              </w:rPr>
              <m:t xml:space="preserve">0.159</m:t>
            </m:r>
          </m:e>
        </m:d>
        <m:sSub>
          <m:e>
            <m:r>
              <w:rPr>
                <w:rFonts w:ascii="Cambria Math" w:hAnsi="Cambria Math"/>
              </w:rPr>
              <m:t xml:space="preserve">BD</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Ԑ</m:t>
            </m:r>
          </m:e>
          <m:sub>
            <m:r>
              <w:rPr>
                <w:rFonts w:ascii="Cambria Math" w:hAnsi="Cambria Math"/>
              </w:rPr>
              <m:t xml:space="preserve">it</m:t>
            </m:r>
          </m:sub>
        </m:sSub>
      </m:oMath>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lang w:val="en-US"/>
        </w:rPr>
        <w:t>(7)</w:t>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t>In Step 3 of the mediation process, efficiency and funding sources were regressed to establish the association between the predictor and mediating variables. The results are presented in Table IV.</w:t>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52" w:before="0" w:after="0"/>
        <w:jc w:val="center"/>
        <w:rPr>
          <w:rFonts w:ascii="Times New Roman" w:hAnsi="Times New Roman" w:cs="Times New Roman"/>
          <w:sz w:val="20"/>
          <w:szCs w:val="20"/>
        </w:rPr>
      </w:pPr>
      <w:r>
        <w:rPr>
          <w:rFonts w:cs="Times New Roman" w:ascii="Times New Roman" w:hAnsi="Times New Roman"/>
          <w:sz w:val="20"/>
          <w:szCs w:val="20"/>
        </w:rPr>
        <w:t>TABLE IV: Regression Results of Funding Sources and Efficiency</w:t>
      </w:r>
    </w:p>
    <w:tbl>
      <w:tblPr>
        <w:tblStyle w:val="TableGrid"/>
        <w:tblW w:w="6317" w:type="dxa"/>
        <w:jc w:val="center"/>
        <w:tblInd w:w="0" w:type="dxa"/>
        <w:tblCellMar>
          <w:top w:w="0" w:type="dxa"/>
          <w:left w:w="108" w:type="dxa"/>
          <w:bottom w:w="0" w:type="dxa"/>
          <w:right w:w="108" w:type="dxa"/>
        </w:tblCellMar>
        <w:tblLook w:val="04a0" w:noHBand="0" w:noVBand="1" w:firstColumn="1" w:lastRow="0" w:lastColumn="0" w:firstRow="1"/>
      </w:tblPr>
      <w:tblGrid>
        <w:gridCol w:w="1533"/>
        <w:gridCol w:w="1924"/>
        <w:gridCol w:w="666"/>
        <w:gridCol w:w="666"/>
        <w:gridCol w:w="666"/>
        <w:gridCol w:w="861"/>
      </w:tblGrid>
      <w:tr>
        <w:trPr/>
        <w:tc>
          <w:tcPr>
            <w:tcW w:w="1533" w:type="dxa"/>
            <w:vMerge w:val="restart"/>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Effect</w:t>
            </w:r>
          </w:p>
        </w:tc>
        <w:tc>
          <w:tcPr>
            <w:tcW w:w="1924" w:type="dxa"/>
            <w:vMerge w:val="restart"/>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Estimate</w:t>
            </w:r>
          </w:p>
        </w:tc>
        <w:tc>
          <w:tcPr>
            <w:tcW w:w="666" w:type="dxa"/>
            <w:vMerge w:val="restart"/>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t>SE</w:t>
            </w:r>
          </w:p>
        </w:tc>
        <w:tc>
          <w:tcPr>
            <w:tcW w:w="1332" w:type="dxa"/>
            <w:gridSpan w:val="2"/>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95% CI</w:t>
            </w:r>
          </w:p>
        </w:tc>
        <w:tc>
          <w:tcPr>
            <w:tcW w:w="861" w:type="dxa"/>
            <w:vMerge w:val="restart"/>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t>t</w:t>
            </w:r>
          </w:p>
        </w:tc>
      </w:tr>
      <w:tr>
        <w:trPr/>
        <w:tc>
          <w:tcPr>
            <w:tcW w:w="1533" w:type="dxa"/>
            <w:vMerge w:val="continue"/>
            <w:tcBorders/>
            <w:shd w:color="auto" w:fill="auto" w:val="clear"/>
            <w:vAlign w:val="cente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1924" w:type="dxa"/>
            <w:vMerge w:val="continue"/>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vMerge w:val="continue"/>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t>LL</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t>UL</w:t>
            </w:r>
          </w:p>
        </w:tc>
        <w:tc>
          <w:tcPr>
            <w:tcW w:w="861" w:type="dxa"/>
            <w:vMerge w:val="continue"/>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r>
          </w:p>
        </w:tc>
      </w:tr>
      <w:tr>
        <w:trPr/>
        <w:tc>
          <w:tcPr>
            <w:tcW w:w="153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Intercept</w:t>
            </w:r>
          </w:p>
        </w:tc>
        <w:tc>
          <w:tcPr>
            <w:tcW w:w="1924"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1.399</w:t>
            </w:r>
            <w:r>
              <w:rPr>
                <w:rFonts w:eastAsia="Times New Roman" w:cs="Times New Roman" w:ascii="Times New Roman" w:hAnsi="Times New Roman"/>
                <w:sz w:val="20"/>
                <w:szCs w:val="20"/>
                <w:vertAlign w:val="superscript"/>
                <w:lang w:val="en-US"/>
              </w:rPr>
              <w:t>***</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0.155</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1.096</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1.704</w:t>
            </w:r>
          </w:p>
        </w:tc>
        <w:tc>
          <w:tcPr>
            <w:tcW w:w="861"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9.050</w:t>
            </w:r>
            <w:r>
              <w:rPr>
                <w:rFonts w:eastAsia="Times New Roman" w:cs="Times New Roman" w:ascii="Times New Roman" w:hAnsi="Times New Roman"/>
                <w:sz w:val="20"/>
                <w:szCs w:val="20"/>
                <w:vertAlign w:val="superscript"/>
                <w:lang w:val="en-US"/>
              </w:rPr>
              <w:t>***</w:t>
            </w:r>
          </w:p>
        </w:tc>
      </w:tr>
      <w:tr>
        <w:trPr/>
        <w:tc>
          <w:tcPr>
            <w:tcW w:w="153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Funding sources </w:t>
            </w:r>
          </w:p>
        </w:tc>
        <w:tc>
          <w:tcPr>
            <w:tcW w:w="1924"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0.462</w:t>
            </w:r>
            <w:r>
              <w:rPr>
                <w:rFonts w:eastAsia="Times New Roman" w:cs="Times New Roman" w:ascii="Times New Roman" w:hAnsi="Times New Roman"/>
                <w:sz w:val="20"/>
                <w:szCs w:val="20"/>
                <w:vertAlign w:val="superscript"/>
                <w:lang w:val="en-US"/>
              </w:rPr>
              <w:t>***</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0.047</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0.370</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0.555</w:t>
            </w:r>
          </w:p>
        </w:tc>
        <w:tc>
          <w:tcPr>
            <w:tcW w:w="861"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9.830</w:t>
            </w:r>
            <w:r>
              <w:rPr>
                <w:rFonts w:eastAsia="Times New Roman" w:cs="Times New Roman" w:ascii="Times New Roman" w:hAnsi="Times New Roman"/>
                <w:sz w:val="20"/>
                <w:szCs w:val="20"/>
                <w:vertAlign w:val="superscript"/>
                <w:lang w:val="en-US"/>
              </w:rPr>
              <w:t>***</w:t>
            </w:r>
          </w:p>
        </w:tc>
      </w:tr>
      <w:tr>
        <w:trPr/>
        <w:tc>
          <w:tcPr>
            <w:tcW w:w="153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eastAsia="Times New Roman" w:cs="Times New Roman" w:ascii="Times New Roman" w:hAnsi="Times New Roman"/>
                <w:sz w:val="20"/>
                <w:szCs w:val="20"/>
                <w:lang w:val="en-US"/>
              </w:rPr>
              <w:t>Observations</w:t>
            </w:r>
          </w:p>
        </w:tc>
        <w:tc>
          <w:tcPr>
            <w:tcW w:w="1924"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361</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861"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153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eastAsia="Times New Roman" w:cs="Times New Roman" w:ascii="Times New Roman" w:hAnsi="Times New Roman"/>
                <w:sz w:val="20"/>
                <w:szCs w:val="20"/>
                <w:lang w:val="en-US"/>
              </w:rPr>
              <w:t>R</w:t>
            </w:r>
            <w:r>
              <w:rPr>
                <w:rFonts w:eastAsia="Times New Roman" w:cs="Times New Roman" w:ascii="Times New Roman" w:hAnsi="Times New Roman"/>
                <w:sz w:val="20"/>
                <w:szCs w:val="20"/>
                <w:vertAlign w:val="superscript"/>
                <w:lang w:val="en-US"/>
              </w:rPr>
              <w:t>2</w:t>
            </w:r>
          </w:p>
        </w:tc>
        <w:tc>
          <w:tcPr>
            <w:tcW w:w="1924"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0.212</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861"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153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eastAsia="Times New Roman" w:cs="Times New Roman" w:ascii="Times New Roman" w:hAnsi="Times New Roman"/>
                <w:sz w:val="20"/>
                <w:szCs w:val="20"/>
                <w:lang w:val="en-US"/>
              </w:rPr>
              <w:t>Adjusted R</w:t>
            </w:r>
            <w:r>
              <w:rPr>
                <w:rFonts w:eastAsia="Times New Roman" w:cs="Times New Roman" w:ascii="Times New Roman" w:hAnsi="Times New Roman"/>
                <w:sz w:val="20"/>
                <w:szCs w:val="20"/>
                <w:vertAlign w:val="superscript"/>
                <w:lang w:val="en-US"/>
              </w:rPr>
              <w:t>2</w:t>
            </w:r>
          </w:p>
        </w:tc>
        <w:tc>
          <w:tcPr>
            <w:tcW w:w="1924"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0.210</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d</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861"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153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eastAsia="Times New Roman" w:cs="Times New Roman" w:ascii="Times New Roman" w:hAnsi="Times New Roman"/>
                <w:sz w:val="20"/>
                <w:szCs w:val="20"/>
                <w:lang w:val="en-US"/>
              </w:rPr>
              <w:t>F Statistic</w:t>
            </w:r>
          </w:p>
        </w:tc>
        <w:tc>
          <w:tcPr>
            <w:tcW w:w="1924"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96.66</w:t>
            </w:r>
            <w:r>
              <w:rPr>
                <w:rFonts w:eastAsia="Times New Roman" w:cs="Times New Roman" w:ascii="Times New Roman" w:hAnsi="Times New Roman"/>
                <w:sz w:val="20"/>
                <w:szCs w:val="20"/>
                <w:vertAlign w:val="superscript"/>
                <w:lang w:val="en-US"/>
              </w:rPr>
              <w:t>***</w:t>
            </w:r>
            <w:r>
              <w:rPr>
                <w:rFonts w:eastAsia="Times New Roman" w:cs="Times New Roman" w:ascii="Times New Roman" w:hAnsi="Times New Roman"/>
                <w:sz w:val="20"/>
                <w:szCs w:val="20"/>
                <w:lang w:val="en-US"/>
              </w:rPr>
              <w:t> (df = 1, 359)</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861"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bl>
    <w:p>
      <w:pPr>
        <w:pStyle w:val="Normal"/>
        <w:spacing w:lineRule="auto" w:line="240" w:before="0" w:after="0"/>
        <w:ind w:left="1560" w:right="1563" w:hanging="0"/>
        <w:jc w:val="both"/>
        <w:rPr>
          <w:rFonts w:ascii="Times New Roman" w:hAnsi="Times New Roman" w:cs="Times New Roman"/>
          <w:sz w:val="20"/>
          <w:szCs w:val="20"/>
        </w:rPr>
      </w:pPr>
      <w:r>
        <w:rPr>
          <w:rFonts w:cs="Times New Roman" w:ascii="Times New Roman" w:hAnsi="Times New Roman"/>
          <w:i/>
          <w:sz w:val="20"/>
          <w:szCs w:val="20"/>
        </w:rPr>
        <w:t xml:space="preserve">Note. </w:t>
      </w:r>
      <w:r>
        <w:rPr>
          <w:rFonts w:eastAsia="Times New Roman" w:cs="Times New Roman" w:ascii="Times New Roman" w:hAnsi="Times New Roman"/>
          <w:sz w:val="20"/>
          <w:szCs w:val="20"/>
          <w:vertAlign w:val="superscript"/>
          <w:lang w:val="en-US"/>
        </w:rPr>
        <w:t>*</w:t>
      </w:r>
      <w:r>
        <w:rPr>
          <w:rFonts w:cs="Times New Roman" w:ascii="Times New Roman" w:hAnsi="Times New Roman"/>
          <w:bCs/>
          <w:i/>
          <w:sz w:val="20"/>
          <w:szCs w:val="20"/>
        </w:rPr>
        <w:t>p &lt; 0.05;</w:t>
      </w:r>
      <w:r>
        <w:rPr>
          <w:rFonts w:eastAsia="Times New Roman" w:cs="Times New Roman" w:ascii="Times New Roman" w:hAnsi="Times New Roman"/>
          <w:sz w:val="20"/>
          <w:szCs w:val="20"/>
          <w:vertAlign w:val="superscript"/>
          <w:lang w:val="en-US"/>
        </w:rPr>
        <w:t xml:space="preserve"> **</w:t>
      </w:r>
      <w:r>
        <w:rPr>
          <w:rFonts w:cs="Times New Roman" w:ascii="Times New Roman" w:hAnsi="Times New Roman"/>
          <w:bCs/>
          <w:i/>
          <w:sz w:val="20"/>
          <w:szCs w:val="20"/>
        </w:rPr>
        <w:t xml:space="preserve">p &lt; 0.01; </w:t>
      </w:r>
      <w:r>
        <w:rPr>
          <w:rFonts w:eastAsia="Times New Roman" w:cs="Times New Roman" w:ascii="Times New Roman" w:hAnsi="Times New Roman"/>
          <w:sz w:val="20"/>
          <w:szCs w:val="20"/>
          <w:vertAlign w:val="superscript"/>
          <w:lang w:val="en-US"/>
        </w:rPr>
        <w:t>***</w:t>
      </w:r>
      <w:r>
        <w:rPr>
          <w:rFonts w:cs="Times New Roman" w:ascii="Times New Roman" w:hAnsi="Times New Roman"/>
          <w:bCs/>
          <w:i/>
          <w:sz w:val="20"/>
          <w:szCs w:val="20"/>
        </w:rPr>
        <w:t>p &lt; 0.001;</w:t>
      </w:r>
      <w:r>
        <w:rPr/>
        <w:t xml:space="preserve"> </w:t>
      </w:r>
      <w:r>
        <w:rPr>
          <w:rFonts w:cs="Times New Roman" w:ascii="Times New Roman" w:hAnsi="Times New Roman"/>
          <w:sz w:val="20"/>
          <w:szCs w:val="20"/>
        </w:rPr>
        <w:t xml:space="preserve">CI = confidence interval; </w:t>
      </w:r>
      <w:r>
        <w:rPr>
          <w:rFonts w:cs="Times New Roman" w:ascii="Times New Roman" w:hAnsi="Times New Roman"/>
          <w:i/>
          <w:iCs/>
          <w:sz w:val="20"/>
          <w:szCs w:val="20"/>
        </w:rPr>
        <w:t>LL</w:t>
      </w:r>
      <w:r>
        <w:rPr>
          <w:rFonts w:cs="Times New Roman" w:ascii="Times New Roman" w:hAnsi="Times New Roman"/>
          <w:sz w:val="20"/>
          <w:szCs w:val="20"/>
        </w:rPr>
        <w:t xml:space="preserve"> = lower limit; </w:t>
      </w:r>
      <w:r>
        <w:rPr>
          <w:rFonts w:cs="Times New Roman" w:ascii="Times New Roman" w:hAnsi="Times New Roman"/>
          <w:i/>
          <w:iCs/>
          <w:sz w:val="20"/>
          <w:szCs w:val="20"/>
        </w:rPr>
        <w:t>UL</w:t>
      </w:r>
      <w:r>
        <w:rPr>
          <w:rFonts w:cs="Times New Roman" w:ascii="Times New Roman" w:hAnsi="Times New Roman"/>
          <w:sz w:val="20"/>
          <w:szCs w:val="20"/>
        </w:rPr>
        <w:t xml:space="preserve"> = upper limit.</w:t>
      </w:r>
      <w:bookmarkStart w:id="14" w:name="_Toc138857105"/>
      <w:bookmarkStart w:id="15" w:name="_Toc138857176"/>
      <w:bookmarkEnd w:id="14"/>
      <w:bookmarkEnd w:id="15"/>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t>Table IV shows the regression analysis results. The F-test statistic was statistically significant, F (1, 359) = 96.66, p &lt; 0.001, implying that the regression model is statistically significant. Further, the results show that funding sources (β = 0.462, p &lt; 0.001) significantly predict efficiency. R-squared value of 0.212 points that funding sources account for 21.2% of the variance in the efficiency of universities in Kenya.</w:t>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t>The linear regression analysis model of</w:t>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
      <m:oMath xmlns:m="http://schemas.openxmlformats.org/officeDocument/2006/math">
        <m:sSub>
          <m:e>
            <m:r>
              <w:rPr>
                <w:rFonts w:ascii="Cambria Math" w:hAnsi="Cambria Math"/>
              </w:rPr>
              <m:t xml:space="preserve">EF</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FS</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Ԑ</m:t>
            </m:r>
          </m:e>
          <m:sub>
            <m:r>
              <w:rPr>
                <w:rFonts w:ascii="Cambria Math" w:hAnsi="Cambria Math"/>
              </w:rPr>
              <m:t xml:space="preserve">it</m:t>
            </m:r>
          </m:sub>
        </m:sSub>
      </m:oMath>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lang w:val="en-US"/>
        </w:rPr>
        <w:t>(8)</w:t>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becomes</w:t>
      </w:r>
    </w:p>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
      <m:oMath xmlns:m="http://schemas.openxmlformats.org/officeDocument/2006/math">
        <m:sSub>
          <m:e>
            <m:r>
              <w:rPr>
                <w:rFonts w:ascii="Cambria Math" w:hAnsi="Cambria Math"/>
              </w:rPr>
              <m:t xml:space="preserve">EF</m:t>
            </m:r>
          </m:e>
          <m:sub>
            <m:r>
              <w:rPr>
                <w:rFonts w:ascii="Cambria Math" w:hAnsi="Cambria Math"/>
              </w:rPr>
              <m:t xml:space="preserve">it</m:t>
            </m:r>
          </m:sub>
        </m:sSub>
        <m:r>
          <w:rPr>
            <w:rFonts w:ascii="Cambria Math" w:hAnsi="Cambria Math"/>
          </w:rPr>
          <m:t xml:space="preserve">=</m:t>
        </m:r>
        <m:r>
          <w:rPr>
            <w:rFonts w:ascii="Cambria Math" w:hAnsi="Cambria Math"/>
          </w:rPr>
          <m:t xml:space="preserve">1.399</m:t>
        </m:r>
        <m:r>
          <w:rPr>
            <w:rFonts w:ascii="Cambria Math" w:hAnsi="Cambria Math"/>
          </w:rPr>
          <m:t xml:space="preserve">+</m:t>
        </m:r>
        <m:d>
          <m:dPr>
            <m:begChr m:val="("/>
            <m:endChr m:val=")"/>
          </m:dPr>
          <m:e>
            <m:r>
              <w:rPr>
                <w:rFonts w:ascii="Cambria Math" w:hAnsi="Cambria Math"/>
              </w:rPr>
              <m:t xml:space="preserve">0.462</m:t>
            </m:r>
          </m:e>
        </m:d>
        <m:sSub>
          <m:e>
            <m:r>
              <w:rPr>
                <w:rFonts w:ascii="Cambria Math" w:hAnsi="Cambria Math"/>
              </w:rPr>
              <m:t xml:space="preserve">FS</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Ԑ</m:t>
            </m:r>
          </m:e>
          <m:sub>
            <m:r>
              <w:rPr>
                <w:rFonts w:ascii="Cambria Math" w:hAnsi="Cambria Math"/>
              </w:rPr>
              <m:t xml:space="preserve">it</m:t>
            </m:r>
          </m:sub>
        </m:sSub>
      </m:oMath>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lang w:val="en-US"/>
        </w:rPr>
        <w:t>(9)</w:t>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t>Step 4 involved regressing efficiency on board diversity and funding sources. The regression results are presented in Table V.</w:t>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52" w:before="0" w:after="0"/>
        <w:jc w:val="center"/>
        <w:rPr>
          <w:rFonts w:ascii="Times New Roman" w:hAnsi="Times New Roman" w:cs="Times New Roman"/>
          <w:sz w:val="20"/>
          <w:szCs w:val="20"/>
        </w:rPr>
      </w:pPr>
      <w:r>
        <w:rPr>
          <w:rFonts w:cs="Times New Roman" w:ascii="Times New Roman" w:hAnsi="Times New Roman"/>
          <w:sz w:val="20"/>
          <w:szCs w:val="20"/>
        </w:rPr>
        <w:t>TABLE V: Regression Results of Board Diversity, Funding Sources, and Efficiency</w:t>
      </w:r>
    </w:p>
    <w:tbl>
      <w:tblPr>
        <w:tblStyle w:val="TableGrid"/>
        <w:tblW w:w="6317" w:type="dxa"/>
        <w:jc w:val="center"/>
        <w:tblInd w:w="0" w:type="dxa"/>
        <w:tblCellMar>
          <w:top w:w="0" w:type="dxa"/>
          <w:left w:w="108" w:type="dxa"/>
          <w:bottom w:w="0" w:type="dxa"/>
          <w:right w:w="108" w:type="dxa"/>
        </w:tblCellMar>
        <w:tblLook w:val="04a0" w:noHBand="0" w:noVBand="1" w:firstColumn="1" w:lastRow="0" w:lastColumn="0" w:firstRow="1"/>
      </w:tblPr>
      <w:tblGrid>
        <w:gridCol w:w="1533"/>
        <w:gridCol w:w="1924"/>
        <w:gridCol w:w="666"/>
        <w:gridCol w:w="666"/>
        <w:gridCol w:w="666"/>
        <w:gridCol w:w="861"/>
      </w:tblGrid>
      <w:tr>
        <w:trPr/>
        <w:tc>
          <w:tcPr>
            <w:tcW w:w="1533" w:type="dxa"/>
            <w:vMerge w:val="restart"/>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Effect</w:t>
            </w:r>
          </w:p>
        </w:tc>
        <w:tc>
          <w:tcPr>
            <w:tcW w:w="1924" w:type="dxa"/>
            <w:vMerge w:val="restart"/>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Estimate</w:t>
            </w:r>
          </w:p>
        </w:tc>
        <w:tc>
          <w:tcPr>
            <w:tcW w:w="666" w:type="dxa"/>
            <w:vMerge w:val="restart"/>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t>SE</w:t>
            </w:r>
          </w:p>
        </w:tc>
        <w:tc>
          <w:tcPr>
            <w:tcW w:w="1332" w:type="dxa"/>
            <w:gridSpan w:val="2"/>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95% CI</w:t>
            </w:r>
          </w:p>
        </w:tc>
        <w:tc>
          <w:tcPr>
            <w:tcW w:w="861" w:type="dxa"/>
            <w:vMerge w:val="restart"/>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t>t</w:t>
            </w:r>
          </w:p>
        </w:tc>
      </w:tr>
      <w:tr>
        <w:trPr/>
        <w:tc>
          <w:tcPr>
            <w:tcW w:w="1533" w:type="dxa"/>
            <w:vMerge w:val="continue"/>
            <w:tcBorders/>
            <w:shd w:color="auto" w:fill="auto" w:val="clear"/>
            <w:vAlign w:val="cente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1924" w:type="dxa"/>
            <w:vMerge w:val="continue"/>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vMerge w:val="continue"/>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t>LL</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t>UL</w:t>
            </w:r>
          </w:p>
        </w:tc>
        <w:tc>
          <w:tcPr>
            <w:tcW w:w="861" w:type="dxa"/>
            <w:vMerge w:val="continue"/>
            <w:tcBorders/>
            <w:shd w:color="auto" w:fill="auto" w:val="clear"/>
            <w:vAlign w:val="center"/>
          </w:tcPr>
          <w:p>
            <w:pPr>
              <w:pStyle w:val="Normal"/>
              <w:spacing w:lineRule="auto" w:line="240" w:before="0" w:after="0"/>
              <w:jc w:val="center"/>
              <w:rPr>
                <w:rFonts w:ascii="Times New Roman" w:hAnsi="Times New Roman" w:cs="Times New Roman"/>
                <w:i/>
                <w:i/>
                <w:sz w:val="20"/>
                <w:szCs w:val="20"/>
              </w:rPr>
            </w:pPr>
            <w:r>
              <w:rPr>
                <w:rFonts w:cs="Times New Roman" w:ascii="Times New Roman" w:hAnsi="Times New Roman"/>
                <w:i/>
                <w:sz w:val="20"/>
                <w:szCs w:val="20"/>
              </w:rPr>
            </w:r>
          </w:p>
        </w:tc>
      </w:tr>
      <w:tr>
        <w:trPr/>
        <w:tc>
          <w:tcPr>
            <w:tcW w:w="153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Intercept</w:t>
            </w:r>
          </w:p>
        </w:tc>
        <w:tc>
          <w:tcPr>
            <w:tcW w:w="1924"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1.137</w:t>
            </w:r>
            <w:r>
              <w:rPr>
                <w:rFonts w:eastAsia="Times New Roman" w:cs="Times New Roman" w:ascii="Times New Roman" w:hAnsi="Times New Roman"/>
                <w:sz w:val="20"/>
                <w:szCs w:val="20"/>
                <w:vertAlign w:val="superscript"/>
                <w:lang w:val="en-US"/>
              </w:rPr>
              <w:t>***</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0.151</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0.840</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1.435</w:t>
            </w:r>
          </w:p>
        </w:tc>
        <w:tc>
          <w:tcPr>
            <w:tcW w:w="861"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7.520</w:t>
            </w:r>
            <w:r>
              <w:rPr>
                <w:rFonts w:eastAsia="Times New Roman" w:cs="Times New Roman" w:ascii="Times New Roman" w:hAnsi="Times New Roman"/>
                <w:sz w:val="20"/>
                <w:szCs w:val="20"/>
                <w:vertAlign w:val="superscript"/>
                <w:lang w:val="en-US"/>
              </w:rPr>
              <w:t>***</w:t>
            </w:r>
          </w:p>
        </w:tc>
      </w:tr>
      <w:tr>
        <w:trPr/>
        <w:tc>
          <w:tcPr>
            <w:tcW w:w="153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Board diversity</w:t>
            </w:r>
          </w:p>
        </w:tc>
        <w:tc>
          <w:tcPr>
            <w:tcW w:w="1924"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0.181</w:t>
            </w:r>
            <w:r>
              <w:rPr>
                <w:rFonts w:eastAsia="Times New Roman" w:cs="Times New Roman" w:ascii="Times New Roman" w:hAnsi="Times New Roman"/>
                <w:sz w:val="20"/>
                <w:szCs w:val="20"/>
                <w:vertAlign w:val="superscript"/>
                <w:lang w:val="en-US"/>
              </w:rPr>
              <w:t>***</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0.027</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0.128</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0.235</w:t>
            </w:r>
          </w:p>
        </w:tc>
        <w:tc>
          <w:tcPr>
            <w:tcW w:w="861"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6.690</w:t>
            </w:r>
            <w:r>
              <w:rPr>
                <w:rFonts w:eastAsia="Times New Roman" w:cs="Times New Roman" w:ascii="Times New Roman" w:hAnsi="Times New Roman"/>
                <w:sz w:val="20"/>
                <w:szCs w:val="20"/>
                <w:vertAlign w:val="superscript"/>
                <w:lang w:val="en-US"/>
              </w:rPr>
              <w:t>***</w:t>
            </w:r>
          </w:p>
        </w:tc>
      </w:tr>
      <w:tr>
        <w:trPr/>
        <w:tc>
          <w:tcPr>
            <w:tcW w:w="153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Funding sources </w:t>
            </w:r>
          </w:p>
        </w:tc>
        <w:tc>
          <w:tcPr>
            <w:tcW w:w="1924"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0.379</w:t>
            </w:r>
            <w:r>
              <w:rPr>
                <w:rFonts w:eastAsia="Times New Roman" w:cs="Times New Roman" w:ascii="Times New Roman" w:hAnsi="Times New Roman"/>
                <w:sz w:val="20"/>
                <w:szCs w:val="20"/>
                <w:vertAlign w:val="superscript"/>
                <w:lang w:val="en-US"/>
              </w:rPr>
              <w:t>***</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0.046</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0.288</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0.470</w:t>
            </w:r>
          </w:p>
        </w:tc>
        <w:tc>
          <w:tcPr>
            <w:tcW w:w="861"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8.220</w:t>
            </w:r>
            <w:r>
              <w:rPr>
                <w:rFonts w:eastAsia="Times New Roman" w:cs="Times New Roman" w:ascii="Times New Roman" w:hAnsi="Times New Roman"/>
                <w:sz w:val="20"/>
                <w:szCs w:val="20"/>
                <w:vertAlign w:val="superscript"/>
                <w:lang w:val="en-US"/>
              </w:rPr>
              <w:t>***</w:t>
            </w:r>
          </w:p>
        </w:tc>
      </w:tr>
      <w:tr>
        <w:trPr/>
        <w:tc>
          <w:tcPr>
            <w:tcW w:w="153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eastAsia="Times New Roman" w:cs="Times New Roman" w:ascii="Times New Roman" w:hAnsi="Times New Roman"/>
                <w:sz w:val="20"/>
                <w:szCs w:val="20"/>
                <w:lang w:val="en-US"/>
              </w:rPr>
              <w:t>Observations</w:t>
            </w:r>
          </w:p>
        </w:tc>
        <w:tc>
          <w:tcPr>
            <w:tcW w:w="1924"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358</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861"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153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eastAsia="Times New Roman" w:cs="Times New Roman" w:ascii="Times New Roman" w:hAnsi="Times New Roman"/>
                <w:sz w:val="20"/>
                <w:szCs w:val="20"/>
                <w:lang w:val="en-US"/>
              </w:rPr>
              <w:t>R</w:t>
            </w:r>
            <w:r>
              <w:rPr>
                <w:rFonts w:eastAsia="Times New Roman" w:cs="Times New Roman" w:ascii="Times New Roman" w:hAnsi="Times New Roman"/>
                <w:sz w:val="20"/>
                <w:szCs w:val="20"/>
                <w:vertAlign w:val="superscript"/>
                <w:lang w:val="en-US"/>
              </w:rPr>
              <w:t>2</w:t>
            </w:r>
          </w:p>
        </w:tc>
        <w:tc>
          <w:tcPr>
            <w:tcW w:w="1924"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0.300</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861"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153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eastAsia="Times New Roman" w:cs="Times New Roman" w:ascii="Times New Roman" w:hAnsi="Times New Roman"/>
                <w:sz w:val="20"/>
                <w:szCs w:val="20"/>
                <w:lang w:val="en-US"/>
              </w:rPr>
              <w:t>Adjusted R</w:t>
            </w:r>
            <w:r>
              <w:rPr>
                <w:rFonts w:eastAsia="Times New Roman" w:cs="Times New Roman" w:ascii="Times New Roman" w:hAnsi="Times New Roman"/>
                <w:sz w:val="20"/>
                <w:szCs w:val="20"/>
                <w:vertAlign w:val="superscript"/>
                <w:lang w:val="en-US"/>
              </w:rPr>
              <w:t>2</w:t>
            </w:r>
          </w:p>
        </w:tc>
        <w:tc>
          <w:tcPr>
            <w:tcW w:w="1924"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0.296</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861"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r>
        <w:trPr/>
        <w:tc>
          <w:tcPr>
            <w:tcW w:w="1533" w:type="dxa"/>
            <w:tcBorders/>
            <w:shd w:color="auto" w:fill="auto" w:val="clear"/>
            <w:vAlign w:val="center"/>
          </w:tcPr>
          <w:p>
            <w:pPr>
              <w:pStyle w:val="Normal"/>
              <w:spacing w:lineRule="auto" w:line="240" w:before="0" w:after="0"/>
              <w:rPr>
                <w:rFonts w:ascii="Times New Roman" w:hAnsi="Times New Roman" w:cs="Times New Roman"/>
                <w:sz w:val="20"/>
                <w:szCs w:val="20"/>
              </w:rPr>
            </w:pPr>
            <w:r>
              <w:rPr>
                <w:rFonts w:eastAsia="Times New Roman" w:cs="Times New Roman" w:ascii="Times New Roman" w:hAnsi="Times New Roman"/>
                <w:sz w:val="20"/>
                <w:szCs w:val="20"/>
                <w:lang w:val="en-US"/>
              </w:rPr>
              <w:t>F Statistic</w:t>
            </w:r>
          </w:p>
        </w:tc>
        <w:tc>
          <w:tcPr>
            <w:tcW w:w="1924"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eastAsia="Times New Roman" w:cs="Times New Roman" w:ascii="Times New Roman" w:hAnsi="Times New Roman"/>
                <w:sz w:val="20"/>
                <w:szCs w:val="20"/>
                <w:lang w:val="en-US"/>
              </w:rPr>
              <w:t>76.57</w:t>
            </w:r>
            <w:r>
              <w:rPr>
                <w:rFonts w:eastAsia="Times New Roman" w:cs="Times New Roman" w:ascii="Times New Roman" w:hAnsi="Times New Roman"/>
                <w:sz w:val="20"/>
                <w:szCs w:val="20"/>
                <w:vertAlign w:val="superscript"/>
                <w:lang w:val="en-US"/>
              </w:rPr>
              <w:t>***</w:t>
            </w:r>
            <w:r>
              <w:rPr>
                <w:rFonts w:eastAsia="Times New Roman" w:cs="Times New Roman" w:ascii="Times New Roman" w:hAnsi="Times New Roman"/>
                <w:sz w:val="20"/>
                <w:szCs w:val="20"/>
                <w:lang w:val="en-US"/>
              </w:rPr>
              <w:t> (df = 1, 358)</w:t>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666"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c>
          <w:tcPr>
            <w:tcW w:w="861" w:type="dxa"/>
            <w:tcBorders/>
            <w:shd w:color="auto"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r>
          </w:p>
        </w:tc>
      </w:tr>
    </w:tbl>
    <w:p>
      <w:pPr>
        <w:pStyle w:val="Normal"/>
        <w:spacing w:lineRule="auto" w:line="240" w:before="0" w:after="0"/>
        <w:ind w:left="1560" w:right="1563" w:hanging="0"/>
        <w:jc w:val="both"/>
        <w:rPr>
          <w:rFonts w:ascii="Times New Roman" w:hAnsi="Times New Roman" w:cs="Times New Roman"/>
          <w:sz w:val="20"/>
          <w:szCs w:val="20"/>
        </w:rPr>
      </w:pPr>
      <w:r>
        <w:rPr>
          <w:rFonts w:cs="Times New Roman" w:ascii="Times New Roman" w:hAnsi="Times New Roman"/>
          <w:i/>
          <w:sz w:val="20"/>
          <w:szCs w:val="20"/>
        </w:rPr>
        <w:t xml:space="preserve">Note. </w:t>
      </w:r>
      <w:r>
        <w:rPr>
          <w:rFonts w:eastAsia="Times New Roman" w:cs="Times New Roman" w:ascii="Times New Roman" w:hAnsi="Times New Roman"/>
          <w:sz w:val="20"/>
          <w:szCs w:val="20"/>
          <w:vertAlign w:val="superscript"/>
          <w:lang w:val="en-US"/>
        </w:rPr>
        <w:t>*</w:t>
      </w:r>
      <w:r>
        <w:rPr>
          <w:rFonts w:cs="Times New Roman" w:ascii="Times New Roman" w:hAnsi="Times New Roman"/>
          <w:bCs/>
          <w:i/>
          <w:sz w:val="20"/>
          <w:szCs w:val="20"/>
        </w:rPr>
        <w:t>p &lt; 0.05;</w:t>
      </w:r>
      <w:r>
        <w:rPr>
          <w:rFonts w:eastAsia="Times New Roman" w:cs="Times New Roman" w:ascii="Times New Roman" w:hAnsi="Times New Roman"/>
          <w:sz w:val="20"/>
          <w:szCs w:val="20"/>
          <w:vertAlign w:val="superscript"/>
          <w:lang w:val="en-US"/>
        </w:rPr>
        <w:t xml:space="preserve"> **</w:t>
      </w:r>
      <w:r>
        <w:rPr>
          <w:rFonts w:cs="Times New Roman" w:ascii="Times New Roman" w:hAnsi="Times New Roman"/>
          <w:bCs/>
          <w:i/>
          <w:sz w:val="20"/>
          <w:szCs w:val="20"/>
        </w:rPr>
        <w:t xml:space="preserve">p &lt; 0.01; </w:t>
      </w:r>
      <w:r>
        <w:rPr>
          <w:rFonts w:eastAsia="Times New Roman" w:cs="Times New Roman" w:ascii="Times New Roman" w:hAnsi="Times New Roman"/>
          <w:sz w:val="20"/>
          <w:szCs w:val="20"/>
          <w:vertAlign w:val="superscript"/>
          <w:lang w:val="en-US"/>
        </w:rPr>
        <w:t>***</w:t>
      </w:r>
      <w:r>
        <w:rPr>
          <w:rFonts w:cs="Times New Roman" w:ascii="Times New Roman" w:hAnsi="Times New Roman"/>
          <w:bCs/>
          <w:i/>
          <w:sz w:val="20"/>
          <w:szCs w:val="20"/>
        </w:rPr>
        <w:t>p &lt; 0.001;</w:t>
      </w:r>
      <w:r>
        <w:rPr/>
        <w:t xml:space="preserve"> </w:t>
      </w:r>
      <w:r>
        <w:rPr>
          <w:rFonts w:cs="Times New Roman" w:ascii="Times New Roman" w:hAnsi="Times New Roman"/>
          <w:sz w:val="20"/>
          <w:szCs w:val="20"/>
        </w:rPr>
        <w:t xml:space="preserve">CI = confidence interval; </w:t>
      </w:r>
      <w:r>
        <w:rPr>
          <w:rFonts w:cs="Times New Roman" w:ascii="Times New Roman" w:hAnsi="Times New Roman"/>
          <w:i/>
          <w:iCs/>
          <w:sz w:val="20"/>
          <w:szCs w:val="20"/>
        </w:rPr>
        <w:t>LL</w:t>
      </w:r>
      <w:r>
        <w:rPr>
          <w:rFonts w:cs="Times New Roman" w:ascii="Times New Roman" w:hAnsi="Times New Roman"/>
          <w:sz w:val="20"/>
          <w:szCs w:val="20"/>
        </w:rPr>
        <w:t xml:space="preserve"> = lower limit; </w:t>
      </w:r>
      <w:r>
        <w:rPr>
          <w:rFonts w:cs="Times New Roman" w:ascii="Times New Roman" w:hAnsi="Times New Roman"/>
          <w:i/>
          <w:iCs/>
          <w:sz w:val="20"/>
          <w:szCs w:val="20"/>
        </w:rPr>
        <w:t>UL</w:t>
      </w:r>
      <w:r>
        <w:rPr>
          <w:rFonts w:cs="Times New Roman" w:ascii="Times New Roman" w:hAnsi="Times New Roman"/>
          <w:sz w:val="20"/>
          <w:szCs w:val="20"/>
        </w:rPr>
        <w:t xml:space="preserve"> = upper limit.</w:t>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r>
      <w:bookmarkStart w:id="16" w:name="_Toc138857106"/>
      <w:bookmarkStart w:id="17" w:name="_Toc138857177"/>
      <w:bookmarkStart w:id="18" w:name="_Toc138857106"/>
      <w:bookmarkStart w:id="19" w:name="_Toc138857177"/>
      <w:bookmarkEnd w:id="18"/>
      <w:bookmarkEnd w:id="19"/>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t>The results in Table V reveal that the regression model was statistically significant, with F (2, 358) = 76.57, p &lt; 0.001, implying that it is statistically significant. Both board diversity and funding sources are significant predictors of efficiency (β = 0.181, p &lt; 0.001) and (β = 0.379, p &lt; 0.001), respectively. The adjusted R-squared (R²) value was 0.296, signifying that board diversity and funding sources together explain 29.6% of the variance in the efficiency of universities in Kenya.</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t>The linear regression analysis model of</w:t>
      </w:r>
    </w:p>
    <w:p>
      <w:pPr>
        <w:pStyle w:val="Normal"/>
        <w:widowControl w:val="false"/>
        <w:spacing w:lineRule="auto" w:line="252"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
      <m:oMath xmlns:m="http://schemas.openxmlformats.org/officeDocument/2006/math">
        <m:sSub>
          <m:e>
            <m:r>
              <w:rPr>
                <w:rFonts w:ascii="Cambria Math" w:hAnsi="Cambria Math"/>
              </w:rPr>
              <m:t xml:space="preserve">EF</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BD</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w:rPr>
                <w:rFonts w:ascii="Cambria Math" w:hAnsi="Cambria Math"/>
              </w:rPr>
              <m:t xml:space="preserve">FS</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Ԑ</m:t>
            </m:r>
          </m:e>
          <m:sub>
            <m:r>
              <w:rPr>
                <w:rFonts w:ascii="Cambria Math" w:hAnsi="Cambria Math"/>
              </w:rPr>
              <m:t xml:space="preserve">it</m:t>
            </m:r>
          </m:sub>
        </m:sSub>
      </m:oMath>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lang w:val="en-US"/>
        </w:rPr>
        <w:t>(10)</w:t>
      </w:r>
    </w:p>
    <w:p>
      <w:pPr>
        <w:pStyle w:val="Normal"/>
        <w:widowControl w:val="false"/>
        <w:spacing w:lineRule="auto" w:line="252" w:before="0" w:after="0"/>
        <w:jc w:val="both"/>
        <w:rPr>
          <w:rFonts w:ascii="Times New Roman" w:hAnsi="Times New Roman" w:cs="Times New Roman"/>
          <w:sz w:val="20"/>
          <w:szCs w:val="20"/>
        </w:rPr>
      </w:pPr>
      <w:r>
        <w:rPr>
          <w:rFonts w:cs="Times New Roman" w:ascii="Times New Roman" w:hAnsi="Times New Roman"/>
          <w:sz w:val="20"/>
          <w:szCs w:val="20"/>
        </w:rPr>
        <w:t>becomes</w:t>
      </w:r>
    </w:p>
    <w:p>
      <w:pPr>
        <w:pStyle w:val="Normal"/>
        <w:widowControl w:val="false"/>
        <w:spacing w:lineRule="auto" w:line="252"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
      <m:oMath xmlns:m="http://schemas.openxmlformats.org/officeDocument/2006/math">
        <m:sSub>
          <m:e>
            <m:r>
              <w:rPr>
                <w:rFonts w:ascii="Cambria Math" w:hAnsi="Cambria Math"/>
              </w:rPr>
              <m:t xml:space="preserve">EF</m:t>
            </m:r>
          </m:e>
          <m:sub>
            <m:r>
              <w:rPr>
                <w:rFonts w:ascii="Cambria Math" w:hAnsi="Cambria Math"/>
              </w:rPr>
              <m:t xml:space="preserve">it</m:t>
            </m:r>
          </m:sub>
        </m:sSub>
        <m:r>
          <w:rPr>
            <w:rFonts w:ascii="Cambria Math" w:hAnsi="Cambria Math"/>
          </w:rPr>
          <m:t xml:space="preserve">=</m:t>
        </m:r>
        <m:r>
          <w:rPr>
            <w:rFonts w:ascii="Cambria Math" w:hAnsi="Cambria Math"/>
          </w:rPr>
          <m:t xml:space="preserve">1.137</m:t>
        </m:r>
        <m:r>
          <w:rPr>
            <w:rFonts w:ascii="Cambria Math" w:hAnsi="Cambria Math"/>
          </w:rPr>
          <m:t xml:space="preserve">+</m:t>
        </m:r>
        <m:d>
          <m:dPr>
            <m:begChr m:val="("/>
            <m:endChr m:val=")"/>
          </m:dPr>
          <m:e>
            <m:r>
              <w:rPr>
                <w:rFonts w:ascii="Cambria Math" w:hAnsi="Cambria Math"/>
              </w:rPr>
              <m:t xml:space="preserve">0.181</m:t>
            </m:r>
          </m:e>
        </m:d>
        <m:sSub>
          <m:e>
            <m:r>
              <w:rPr>
                <w:rFonts w:ascii="Cambria Math" w:hAnsi="Cambria Math"/>
              </w:rPr>
              <m:t xml:space="preserve">BD</m:t>
            </m:r>
          </m:e>
          <m:sub>
            <m:r>
              <w:rPr>
                <w:rFonts w:ascii="Cambria Math" w:hAnsi="Cambria Math"/>
              </w:rPr>
              <m:t xml:space="preserve">it</m:t>
            </m:r>
          </m:sub>
        </m:sSub>
        <m:r>
          <w:rPr>
            <w:rFonts w:ascii="Cambria Math" w:hAnsi="Cambria Math"/>
          </w:rPr>
          <m:t xml:space="preserve">+</m:t>
        </m:r>
        <m:d>
          <m:dPr>
            <m:begChr m:val="("/>
            <m:endChr m:val=")"/>
          </m:dPr>
          <m:e>
            <m:r>
              <w:rPr>
                <w:rFonts w:ascii="Cambria Math" w:hAnsi="Cambria Math"/>
              </w:rPr>
              <m:t xml:space="preserve">0.379</m:t>
            </m:r>
          </m:e>
        </m:d>
        <m:sSub>
          <m:e>
            <m:r>
              <w:rPr>
                <w:rFonts w:ascii="Cambria Math" w:hAnsi="Cambria Math"/>
              </w:rPr>
              <m:t xml:space="preserve">FS</m:t>
            </m:r>
          </m:e>
          <m:sub>
            <m:r>
              <w:rPr>
                <w:rFonts w:ascii="Cambria Math" w:hAnsi="Cambria Math"/>
              </w:rPr>
              <m:t xml:space="preserve">it</m:t>
            </m:r>
          </m:sub>
        </m:sSub>
        <m:r>
          <w:rPr>
            <w:rFonts w:ascii="Cambria Math" w:hAnsi="Cambria Math"/>
          </w:rPr>
          <m:t xml:space="preserve">+</m:t>
        </m:r>
        <m:sSub>
          <m:e>
            <m:r>
              <w:rPr>
                <w:rFonts w:ascii="Cambria Math" w:hAnsi="Cambria Math"/>
              </w:rPr>
              <m:t xml:space="preserve">Ԑ</m:t>
            </m:r>
          </m:e>
          <m:sub>
            <m:r>
              <w:rPr>
                <w:rFonts w:ascii="Cambria Math" w:hAnsi="Cambria Math"/>
              </w:rPr>
              <m:t xml:space="preserve">it</m:t>
            </m:r>
          </m:sub>
        </m:sSub>
      </m:oMath>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lang w:val="en-US"/>
        </w:rPr>
        <w:t>(11)</w:t>
      </w:r>
    </w:p>
    <w:p>
      <w:pPr>
        <w:pStyle w:val="Normal"/>
        <w:widowControl w:val="false"/>
        <w:spacing w:lineRule="auto" w:line="252" w:before="0" w:after="0"/>
        <w:ind w:firstLine="204"/>
        <w:jc w:val="both"/>
        <w:rPr>
          <w:rFonts w:ascii="Times New Roman" w:hAnsi="Times New Roman" w:eastAsia="Calibri" w:cs="Times New Roman"/>
          <w:color w:val="000000"/>
          <w:sz w:val="20"/>
          <w:szCs w:val="20"/>
          <w:lang w:val="en-US"/>
        </w:rPr>
      </w:pPr>
      <w:r>
        <w:rPr>
          <w:rFonts w:eastAsia="Calibri" w:cs="Times New Roman" w:ascii="Times New Roman" w:hAnsi="Times New Roman"/>
          <w:color w:val="000000"/>
          <w:sz w:val="20"/>
          <w:szCs w:val="20"/>
          <w:lang w:val="en-US"/>
        </w:rPr>
        <w:t xml:space="preserve">To determine </w:t>
      </w:r>
      <w:r>
        <w:rPr>
          <w:rFonts w:cs="Times New Roman" w:ascii="Times New Roman" w:hAnsi="Times New Roman"/>
          <w:sz w:val="20"/>
          <w:szCs w:val="20"/>
        </w:rPr>
        <w:t>if</w:t>
      </w:r>
      <w:r>
        <w:rPr>
          <w:rFonts w:eastAsia="Calibri" w:cs="Times New Roman" w:ascii="Times New Roman" w:hAnsi="Times New Roman"/>
          <w:color w:val="000000"/>
          <w:sz w:val="20"/>
          <w:szCs w:val="20"/>
          <w:lang w:val="en-US"/>
        </w:rPr>
        <w:t xml:space="preserve"> funding sources mediate the association between the diversity of a board and efficiency, the mediation model (Step 1) must be statistically significant. The results (p &lt; 0.001) show that the relationship is statistically significant. Further, the funding sources should be statistically significant and related to board diversity in Step 2. Model 2 was statistically significant according to the results of the study. Furthermore, Step 3 requires that funding sources and efficiency have a statistically significant association. According to the study results, there was a statistically significant relationship between funding sources and efficiency (p &gt; 0.05). There was also a statistically significant relationship between efficiency, board diversity and funding sources (p &lt; 0.001). When the mediator is taken into account (controlled), the influence of the predictor variable on the criterion variable should be zero, showing that the variable mediates the relationship between the independent and dependent variables. Because the independent variable (board diversity) is a significant predictor of efficiency and not zero (Step 4) and all Steps 1, 2 and 3 significantly met the mediation threshold, the relationship between board diversity and efficiency </w:t>
      </w:r>
      <w:r>
        <w:rPr>
          <w:rFonts w:eastAsia="Calibri" w:cs="Times New Roman" w:ascii="Times New Roman" w:hAnsi="Times New Roman"/>
          <w:sz w:val="20"/>
          <w:szCs w:val="20"/>
          <w:lang w:val="en-US"/>
        </w:rPr>
        <w:t>is partially mediated by funding sources.</w:t>
      </w:r>
    </w:p>
    <w:p>
      <w:pPr>
        <w:pStyle w:val="Normal"/>
        <w:keepNext w:val="true"/>
        <w:numPr>
          <w:ilvl w:val="0"/>
          <w:numId w:val="0"/>
        </w:numPr>
        <w:spacing w:lineRule="auto" w:line="240" w:before="240" w:after="120"/>
        <w:ind w:left="0" w:hanging="0"/>
        <w:jc w:val="center"/>
        <w:outlineLvl w:val="0"/>
        <w:rPr>
          <w:rFonts w:ascii="Times New Roman" w:hAnsi="Times New Roman" w:eastAsia="PMingLiU" w:cs="Times New Roman"/>
          <w:smallCaps/>
          <w:kern w:val="2"/>
          <w:sz w:val="20"/>
          <w:szCs w:val="20"/>
          <w:lang w:val="en-US"/>
        </w:rPr>
      </w:pPr>
      <w:r>
        <w:rPr>
          <w:rFonts w:eastAsia="PMingLiU" w:cs="Times New Roman" w:ascii="Times New Roman" w:hAnsi="Times New Roman"/>
          <w:smallCaps/>
          <w:kern w:val="2"/>
          <w:sz w:val="20"/>
          <w:szCs w:val="20"/>
          <w:lang w:val="en-US"/>
        </w:rPr>
        <w:t>V. Limitations of the Study</w:t>
      </w:r>
    </w:p>
    <w:p>
      <w:pPr>
        <w:pStyle w:val="Normal"/>
        <w:widowControl w:val="false"/>
        <w:spacing w:lineRule="auto" w:line="252" w:before="0" w:after="0"/>
        <w:ind w:firstLine="204"/>
        <w:jc w:val="both"/>
        <w:rPr>
          <w:rFonts w:ascii="Times New Roman" w:hAnsi="Times New Roman" w:cs="Times New Roman"/>
          <w:color w:val="0E101A"/>
          <w:sz w:val="20"/>
          <w:szCs w:val="20"/>
          <w:lang w:val="en-US"/>
        </w:rPr>
      </w:pPr>
      <w:r>
        <w:rPr>
          <w:rFonts w:cs="Times New Roman" w:ascii="Times New Roman" w:hAnsi="Times New Roman"/>
          <w:color w:val="0E101A"/>
          <w:sz w:val="20"/>
          <w:szCs w:val="20"/>
          <w:lang w:val="en-US"/>
        </w:rPr>
        <w:t>Although this study had some limitations, every effort was made to guarantee that they did not significantly affect the results. T</w:t>
      </w:r>
      <w:r>
        <w:rPr>
          <w:rFonts w:eastAsia="Calibri" w:cs="Times New Roman" w:ascii="Times New Roman" w:hAnsi="Times New Roman"/>
          <w:sz w:val="20"/>
          <w:szCs w:val="20"/>
          <w:lang w:val="en-US"/>
        </w:rPr>
        <w:t xml:space="preserve">he absence of solitary universally accepted indicators for measuring board diversity, funding sources, and </w:t>
      </w:r>
      <w:r>
        <w:rPr>
          <w:rFonts w:cs="Times New Roman" w:ascii="Times New Roman" w:hAnsi="Times New Roman"/>
          <w:sz w:val="20"/>
          <w:szCs w:val="20"/>
        </w:rPr>
        <w:t>institutional</w:t>
      </w:r>
      <w:r>
        <w:rPr>
          <w:rFonts w:eastAsia="Calibri" w:cs="Times New Roman" w:ascii="Times New Roman" w:hAnsi="Times New Roman"/>
          <w:sz w:val="20"/>
          <w:szCs w:val="20"/>
          <w:lang w:val="en-US"/>
        </w:rPr>
        <w:t xml:space="preserve"> characteristics has significantly contributed to disparities in choosing and operationalising this set of study variables. Differences in the variable metrics have made it challenging to contrast and possibly compare the bulk of the prior empirical findings owing to mixed outcomes. While this study adopted educational level, gender, board experience, ethnicity and professional expertise as measures of board diversity, other studies have employed different measures such as nationality, age, independence and education diversity to measure board diversity. Similarly, other studies have adopted distinct measures such as SFA, ROA, ROE or EPS to measure efficiency instead of DEA, which was employed in the current study. Other studies have utilized total assets and the number of branches/campuses to measure institutional characteristics, unlike this study, which has used the number of students and the age of the institution. </w:t>
      </w:r>
      <w:r>
        <w:rPr>
          <w:rFonts w:cs="Times New Roman" w:ascii="Times New Roman" w:hAnsi="Times New Roman"/>
          <w:color w:val="0E101A"/>
          <w:sz w:val="20"/>
          <w:szCs w:val="20"/>
          <w:lang w:val="en-US"/>
        </w:rPr>
        <w:t>The study also applied the Shannon diversity index to produce the composite values because it was possible to find them in the financial statements, and it is more robust when dealing with interval or ratio scale data. The study’s conclusions were limited to these values, which, if computed directly, could have impacted the relationships investigated differently.</w:t>
      </w:r>
    </w:p>
    <w:p>
      <w:pPr>
        <w:pStyle w:val="Normal"/>
        <w:widowControl w:val="false"/>
        <w:spacing w:lineRule="auto" w:line="252" w:before="0" w:after="0"/>
        <w:jc w:val="both"/>
        <w:rPr>
          <w:rFonts w:ascii="Times New Roman" w:hAnsi="Times New Roman" w:eastAsia="PMingLiU" w:cs="Times New Roman"/>
          <w:sz w:val="20"/>
          <w:szCs w:val="20"/>
          <w:lang w:val="en-US"/>
        </w:rPr>
      </w:pPr>
      <w:r>
        <w:rPr>
          <w:rFonts w:eastAsia="PMingLiU" w:cs="Times New Roman" w:ascii="Times New Roman" w:hAnsi="Times New Roman"/>
          <w:sz w:val="20"/>
          <w:szCs w:val="20"/>
          <w:lang w:val="en-US"/>
        </w:rPr>
      </w:r>
    </w:p>
    <w:p>
      <w:pPr>
        <w:pStyle w:val="Normal"/>
        <w:keepNext w:val="true"/>
        <w:numPr>
          <w:ilvl w:val="0"/>
          <w:numId w:val="0"/>
        </w:numPr>
        <w:spacing w:lineRule="auto" w:line="240" w:before="240" w:after="120"/>
        <w:ind w:left="0" w:hanging="0"/>
        <w:jc w:val="center"/>
        <w:outlineLvl w:val="0"/>
        <w:rPr>
          <w:rFonts w:ascii="Times New Roman" w:hAnsi="Times New Roman" w:eastAsia="PMingLiU" w:cs="Times New Roman"/>
          <w:smallCaps/>
          <w:kern w:val="2"/>
          <w:sz w:val="20"/>
          <w:szCs w:val="20"/>
          <w:lang w:val="en-US"/>
        </w:rPr>
      </w:pPr>
      <w:r>
        <w:rPr>
          <w:rFonts w:eastAsia="PMingLiU" w:cs="Times New Roman" w:ascii="Times New Roman" w:hAnsi="Times New Roman"/>
          <w:smallCaps/>
          <w:kern w:val="2"/>
          <w:sz w:val="20"/>
          <w:szCs w:val="20"/>
          <w:lang w:val="en-US"/>
        </w:rPr>
        <w:t>VI. Suggestions for Future Research</w:t>
      </w:r>
    </w:p>
    <w:p>
      <w:pPr>
        <w:pStyle w:val="Normal"/>
        <w:widowControl w:val="false"/>
        <w:spacing w:lineRule="auto" w:line="252" w:before="0" w:after="0"/>
        <w:ind w:firstLine="204"/>
        <w:jc w:val="both"/>
        <w:rPr>
          <w:rFonts w:ascii="Times New Roman" w:hAnsi="Times New Roman" w:eastAsia="Calibri" w:cs="Times New Roman"/>
          <w:sz w:val="20"/>
          <w:szCs w:val="20"/>
          <w:lang w:val="en-US"/>
        </w:rPr>
      </w:pPr>
      <w:r>
        <w:rPr>
          <w:rFonts w:eastAsia="Calibri" w:cs="Times New Roman" w:ascii="Times New Roman" w:hAnsi="Times New Roman"/>
          <w:sz w:val="20"/>
          <w:szCs w:val="20"/>
          <w:lang w:val="en-US"/>
        </w:rPr>
        <w:t xml:space="preserve">To widen the scope of the study, the suggestion for future research is given since the current study utilized data from a single country setting (Kenya) to probe the relationship among board diversity, funding sources, and efficiency. As a result, the upshots may not possibly apply or can be generalized to other markets (developed or developing) owing to inconsistencies in fiscal, administrative, regulatory, and cultural undercurrents amongst countries. Future empirical investigations can mitigate these shortcomings by utilizing additional wide-ranging datasets from cross-country samples to alleviate these intrinsic limitations. </w:t>
      </w:r>
    </w:p>
    <w:p>
      <w:pPr>
        <w:pStyle w:val="Normal"/>
        <w:widowControl w:val="false"/>
        <w:spacing w:lineRule="auto" w:line="252" w:before="0" w:after="0"/>
        <w:ind w:firstLine="204"/>
        <w:jc w:val="both"/>
        <w:rPr>
          <w:rFonts w:ascii="Times New Roman" w:hAnsi="Times New Roman" w:eastAsia="Calibri" w:cs="Times New Roman"/>
          <w:sz w:val="20"/>
          <w:szCs w:val="20"/>
          <w:lang w:val="en-US"/>
        </w:rPr>
      </w:pPr>
      <w:r>
        <w:rPr>
          <w:rFonts w:eastAsia="Calibri" w:cs="Times New Roman" w:ascii="Times New Roman" w:hAnsi="Times New Roman"/>
          <w:sz w:val="20"/>
          <w:szCs w:val="20"/>
          <w:lang w:val="en-US"/>
        </w:rPr>
      </w:r>
    </w:p>
    <w:p>
      <w:pPr>
        <w:pStyle w:val="Normal"/>
        <w:keepNext w:val="true"/>
        <w:numPr>
          <w:ilvl w:val="0"/>
          <w:numId w:val="0"/>
        </w:numPr>
        <w:spacing w:lineRule="auto" w:line="240" w:before="240" w:after="120"/>
        <w:ind w:left="0" w:hanging="0"/>
        <w:jc w:val="center"/>
        <w:outlineLvl w:val="0"/>
        <w:rPr>
          <w:rFonts w:ascii="Times New Roman" w:hAnsi="Times New Roman" w:eastAsia="PMingLiU" w:cs="Times New Roman"/>
          <w:smallCaps/>
          <w:kern w:val="2"/>
          <w:sz w:val="20"/>
          <w:szCs w:val="20"/>
          <w:lang w:val="en-US"/>
        </w:rPr>
      </w:pPr>
      <w:r>
        <w:rPr>
          <w:rFonts w:eastAsia="PMingLiU" w:cs="Times New Roman" w:ascii="Times New Roman" w:hAnsi="Times New Roman"/>
          <w:smallCaps/>
          <w:kern w:val="2"/>
          <w:sz w:val="20"/>
          <w:szCs w:val="20"/>
          <w:lang w:val="en-US"/>
        </w:rPr>
        <w:t>References</w:t>
      </w:r>
    </w:p>
    <w:p>
      <w:pPr>
        <w:pStyle w:val="Normal"/>
        <w:widowControl w:val="false"/>
        <w:spacing w:lineRule="auto" w:line="240" w:before="0" w:after="0"/>
        <w:ind w:left="480" w:hanging="480"/>
        <w:rPr>
          <w:rFonts w:ascii="Times New Roman" w:hAnsi="Times New Roman" w:cs="Times New Roman"/>
          <w:sz w:val="16"/>
          <w:szCs w:val="24"/>
        </w:rPr>
      </w:pPr>
      <w:r>
        <w:fldChar w:fldCharType="begin"/>
      </w:r>
      <w:r>
        <w:rPr/>
        <w:instrText>ADDIN Mendeley Bibliography CSL_BIBLIOGRAPHY</w:instrText>
      </w:r>
      <w:r>
        <w:rPr/>
      </w:r>
      <w:r>
        <w:rPr/>
        <w:fldChar w:fldCharType="separate"/>
      </w:r>
      <w:r>
        <w:rPr/>
      </w:r>
      <w:r>
        <w:rPr>
          <w:rFonts w:cs="Times New Roman" w:ascii="Times New Roman" w:hAnsi="Times New Roman"/>
          <w:sz w:val="16"/>
          <w:szCs w:val="24"/>
        </w:rPr>
        <w:t xml:space="preserve">Abosede, A. J. (2012). Pecking Order Theory of Capital Structure : Another Way To Look At It. </w:t>
      </w:r>
      <w:r>
        <w:rPr>
          <w:rFonts w:cs="Times New Roman" w:ascii="Times New Roman" w:hAnsi="Times New Roman"/>
          <w:i/>
          <w:iCs/>
          <w:sz w:val="16"/>
          <w:szCs w:val="24"/>
        </w:rPr>
        <w:t>Journal of Business Management and Applied Economics</w:t>
      </w:r>
      <w:r>
        <w:rPr>
          <w:rFonts w:cs="Times New Roman" w:ascii="Times New Roman" w:hAnsi="Times New Roman"/>
          <w:sz w:val="16"/>
          <w:szCs w:val="24"/>
        </w:rPr>
        <w:t xml:space="preserve">, </w:t>
      </w:r>
      <w:r>
        <w:rPr>
          <w:rFonts w:cs="Times New Roman" w:ascii="Times New Roman" w:hAnsi="Times New Roman"/>
          <w:i/>
          <w:iCs/>
          <w:sz w:val="16"/>
          <w:szCs w:val="24"/>
        </w:rPr>
        <w:t>4</w:t>
      </w:r>
      <w:r>
        <w:rPr>
          <w:rFonts w:cs="Times New Roman" w:ascii="Times New Roman" w:hAnsi="Times New Roman"/>
          <w:sz w:val="16"/>
          <w:szCs w:val="24"/>
        </w:rPr>
        <w:t>(5), 1–11.</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Adeabah, D., Gyeke-Dako, A., &amp; Andoh, C. (2019). Board gender diversity, corporate governance and bank efficiency in Ghana: A Two-Stage data envelope analysis (DEA) approach. </w:t>
      </w:r>
      <w:r>
        <w:rPr>
          <w:rFonts w:cs="Times New Roman" w:ascii="Times New Roman" w:hAnsi="Times New Roman"/>
          <w:i/>
          <w:iCs/>
          <w:sz w:val="16"/>
          <w:szCs w:val="24"/>
        </w:rPr>
        <w:t>Corporate Governance (Bingley)</w:t>
      </w:r>
      <w:r>
        <w:rPr>
          <w:rFonts w:cs="Times New Roman" w:ascii="Times New Roman" w:hAnsi="Times New Roman"/>
          <w:sz w:val="16"/>
          <w:szCs w:val="24"/>
        </w:rPr>
        <w:t xml:space="preserve">, </w:t>
      </w:r>
      <w:r>
        <w:rPr>
          <w:rFonts w:cs="Times New Roman" w:ascii="Times New Roman" w:hAnsi="Times New Roman"/>
          <w:i/>
          <w:iCs/>
          <w:sz w:val="16"/>
          <w:szCs w:val="24"/>
        </w:rPr>
        <w:t>19</w:t>
      </w:r>
      <w:r>
        <w:rPr>
          <w:rFonts w:cs="Times New Roman" w:ascii="Times New Roman" w:hAnsi="Times New Roman"/>
          <w:sz w:val="16"/>
          <w:szCs w:val="24"/>
        </w:rPr>
        <w:t>(2), 299–320.</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Agasisti, T., &amp; Johnes, G. (2009). Beyond frontiers: Comparing the efficiency of higher education decision-making units across more than one country. </w:t>
      </w:r>
      <w:r>
        <w:rPr>
          <w:rFonts w:cs="Times New Roman" w:ascii="Times New Roman" w:hAnsi="Times New Roman"/>
          <w:i/>
          <w:iCs/>
          <w:sz w:val="16"/>
          <w:szCs w:val="24"/>
        </w:rPr>
        <w:t>Education Economics</w:t>
      </w:r>
      <w:r>
        <w:rPr>
          <w:rFonts w:cs="Times New Roman" w:ascii="Times New Roman" w:hAnsi="Times New Roman"/>
          <w:sz w:val="16"/>
          <w:szCs w:val="24"/>
        </w:rPr>
        <w:t xml:space="preserve">, </w:t>
      </w:r>
      <w:r>
        <w:rPr>
          <w:rFonts w:cs="Times New Roman" w:ascii="Times New Roman" w:hAnsi="Times New Roman"/>
          <w:i/>
          <w:iCs/>
          <w:sz w:val="16"/>
          <w:szCs w:val="24"/>
        </w:rPr>
        <w:t>17</w:t>
      </w:r>
      <w:r>
        <w:rPr>
          <w:rFonts w:cs="Times New Roman" w:ascii="Times New Roman" w:hAnsi="Times New Roman"/>
          <w:sz w:val="16"/>
          <w:szCs w:val="24"/>
        </w:rPr>
        <w:t>(1), 59–79.</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Alfiero, S., Cane, M., Doronzo, R., &amp; Esposito, A. (2019). Board Diversity and Efficiency Evaluation Evidence from European Listed Manufacturing Companies. </w:t>
      </w:r>
      <w:r>
        <w:rPr>
          <w:rFonts w:cs="Times New Roman" w:ascii="Times New Roman" w:hAnsi="Times New Roman"/>
          <w:i/>
          <w:iCs/>
          <w:sz w:val="16"/>
          <w:szCs w:val="24"/>
        </w:rPr>
        <w:t>International Business Management</w:t>
      </w:r>
      <w:r>
        <w:rPr>
          <w:rFonts w:cs="Times New Roman" w:ascii="Times New Roman" w:hAnsi="Times New Roman"/>
          <w:sz w:val="16"/>
          <w:szCs w:val="24"/>
        </w:rPr>
        <w:t xml:space="preserve">, </w:t>
      </w:r>
      <w:r>
        <w:rPr>
          <w:rFonts w:cs="Times New Roman" w:ascii="Times New Roman" w:hAnsi="Times New Roman"/>
          <w:i/>
          <w:iCs/>
          <w:sz w:val="16"/>
          <w:szCs w:val="24"/>
        </w:rPr>
        <w:t>13</w:t>
      </w:r>
      <w:r>
        <w:rPr>
          <w:rFonts w:cs="Times New Roman" w:ascii="Times New Roman" w:hAnsi="Times New Roman"/>
          <w:sz w:val="16"/>
          <w:szCs w:val="24"/>
        </w:rPr>
        <w:t>(3), 92–100.</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Ali, F., Wang, M., Jebran, K., &amp; Ali, S. T. (2021). Board diversity and firm efficiency: evidence from China. </w:t>
      </w:r>
      <w:r>
        <w:rPr>
          <w:rFonts w:cs="Times New Roman" w:ascii="Times New Roman" w:hAnsi="Times New Roman"/>
          <w:i/>
          <w:iCs/>
          <w:sz w:val="16"/>
          <w:szCs w:val="24"/>
        </w:rPr>
        <w:t>Corporate Governance (Bingley)</w:t>
      </w:r>
      <w:r>
        <w:rPr>
          <w:rFonts w:cs="Times New Roman" w:ascii="Times New Roman" w:hAnsi="Times New Roman"/>
          <w:sz w:val="16"/>
          <w:szCs w:val="24"/>
        </w:rPr>
        <w:t xml:space="preserve">, </w:t>
      </w:r>
      <w:r>
        <w:rPr>
          <w:rFonts w:cs="Times New Roman" w:ascii="Times New Roman" w:hAnsi="Times New Roman"/>
          <w:i/>
          <w:iCs/>
          <w:sz w:val="16"/>
          <w:szCs w:val="24"/>
        </w:rPr>
        <w:t>21</w:t>
      </w:r>
      <w:r>
        <w:rPr>
          <w:rFonts w:cs="Times New Roman" w:ascii="Times New Roman" w:hAnsi="Times New Roman"/>
          <w:sz w:val="16"/>
          <w:szCs w:val="24"/>
        </w:rPr>
        <w:t>(4), 587–607.</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Ararat, M., Aksu, M., &amp; Cetin, A. T. (2015). How board diversity affects firm performance in emerging markets: Evidence on channels in controlled firms. </w:t>
      </w:r>
      <w:r>
        <w:rPr>
          <w:rFonts w:cs="Times New Roman" w:ascii="Times New Roman" w:hAnsi="Times New Roman"/>
          <w:i/>
          <w:iCs/>
          <w:sz w:val="16"/>
          <w:szCs w:val="24"/>
        </w:rPr>
        <w:t>Corporate Governance: An International Review</w:t>
      </w:r>
      <w:r>
        <w:rPr>
          <w:rFonts w:cs="Times New Roman" w:ascii="Times New Roman" w:hAnsi="Times New Roman"/>
          <w:sz w:val="16"/>
          <w:szCs w:val="24"/>
        </w:rPr>
        <w:t xml:space="preserve">, </w:t>
      </w:r>
      <w:r>
        <w:rPr>
          <w:rFonts w:cs="Times New Roman" w:ascii="Times New Roman" w:hAnsi="Times New Roman"/>
          <w:i/>
          <w:iCs/>
          <w:sz w:val="16"/>
          <w:szCs w:val="24"/>
        </w:rPr>
        <w:t>23</w:t>
      </w:r>
      <w:r>
        <w:rPr>
          <w:rFonts w:cs="Times New Roman" w:ascii="Times New Roman" w:hAnsi="Times New Roman"/>
          <w:sz w:val="16"/>
          <w:szCs w:val="24"/>
        </w:rPr>
        <w:t>(2), 83–103.</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Avkiran, N. K. (2001). Investigating technical and scale efficiencies of Australian universities through data envelopment analysis. </w:t>
      </w:r>
      <w:r>
        <w:rPr>
          <w:rFonts w:cs="Times New Roman" w:ascii="Times New Roman" w:hAnsi="Times New Roman"/>
          <w:i/>
          <w:iCs/>
          <w:sz w:val="16"/>
          <w:szCs w:val="24"/>
        </w:rPr>
        <w:t>Socio-Economic Planning Sciences</w:t>
      </w:r>
      <w:r>
        <w:rPr>
          <w:rFonts w:cs="Times New Roman" w:ascii="Times New Roman" w:hAnsi="Times New Roman"/>
          <w:sz w:val="16"/>
          <w:szCs w:val="24"/>
        </w:rPr>
        <w:t xml:space="preserve">, </w:t>
      </w:r>
      <w:r>
        <w:rPr>
          <w:rFonts w:cs="Times New Roman" w:ascii="Times New Roman" w:hAnsi="Times New Roman"/>
          <w:i/>
          <w:iCs/>
          <w:sz w:val="16"/>
          <w:szCs w:val="24"/>
        </w:rPr>
        <w:t>35</w:t>
      </w:r>
      <w:r>
        <w:rPr>
          <w:rFonts w:cs="Times New Roman" w:ascii="Times New Roman" w:hAnsi="Times New Roman"/>
          <w:sz w:val="16"/>
          <w:szCs w:val="24"/>
        </w:rPr>
        <w:t>(1), 57–80.</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Baron, R., &amp; Kenny, D. (1986). The Moderator-Mediator Variable Distinction in Social Psychological Research: Conceptual, Strategic, and Statistical Considerations. </w:t>
      </w:r>
      <w:r>
        <w:rPr>
          <w:rFonts w:cs="Times New Roman" w:ascii="Times New Roman" w:hAnsi="Times New Roman"/>
          <w:i/>
          <w:iCs/>
          <w:sz w:val="16"/>
          <w:szCs w:val="24"/>
        </w:rPr>
        <w:t>Journal of Personality and Social Psychology</w:t>
      </w:r>
      <w:r>
        <w:rPr>
          <w:rFonts w:cs="Times New Roman" w:ascii="Times New Roman" w:hAnsi="Times New Roman"/>
          <w:sz w:val="16"/>
          <w:szCs w:val="24"/>
        </w:rPr>
        <w:t xml:space="preserve">, </w:t>
      </w:r>
      <w:r>
        <w:rPr>
          <w:rFonts w:cs="Times New Roman" w:ascii="Times New Roman" w:hAnsi="Times New Roman"/>
          <w:i/>
          <w:iCs/>
          <w:sz w:val="16"/>
          <w:szCs w:val="24"/>
        </w:rPr>
        <w:t>51</w:t>
      </w:r>
      <w:r>
        <w:rPr>
          <w:rFonts w:cs="Times New Roman" w:ascii="Times New Roman" w:hAnsi="Times New Roman"/>
          <w:sz w:val="16"/>
          <w:szCs w:val="24"/>
        </w:rPr>
        <w:t>(6), 1173–1182.</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Barra, C., &amp; Zotti, R. (2013). Measuring Teaching and Research Efficiency in Higher Education Using Data Envelopment Analysis: A Case Study from the University of Salerno. </w:t>
      </w:r>
      <w:r>
        <w:rPr>
          <w:rFonts w:cs="Times New Roman" w:ascii="Times New Roman" w:hAnsi="Times New Roman"/>
          <w:i/>
          <w:iCs/>
          <w:sz w:val="16"/>
          <w:szCs w:val="24"/>
        </w:rPr>
        <w:t>Quaderno Di Ricerca</w:t>
      </w:r>
      <w:r>
        <w:rPr>
          <w:rFonts w:cs="Times New Roman" w:ascii="Times New Roman" w:hAnsi="Times New Roman"/>
          <w:sz w:val="16"/>
          <w:szCs w:val="24"/>
        </w:rPr>
        <w:t xml:space="preserve">, </w:t>
      </w:r>
      <w:r>
        <w:rPr>
          <w:rFonts w:cs="Times New Roman" w:ascii="Times New Roman" w:hAnsi="Times New Roman"/>
          <w:i/>
          <w:iCs/>
          <w:sz w:val="16"/>
          <w:szCs w:val="24"/>
        </w:rPr>
        <w:t>3</w:t>
      </w:r>
      <w:r>
        <w:rPr>
          <w:rFonts w:cs="Times New Roman" w:ascii="Times New Roman" w:hAnsi="Times New Roman"/>
          <w:sz w:val="16"/>
          <w:szCs w:val="24"/>
        </w:rPr>
        <w:t>, 1–30.</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Coupet, J. (2017). Strings attached ? Linking Historically Black Colleges and Universities public revenue sources with efficiency. </w:t>
      </w:r>
      <w:r>
        <w:rPr>
          <w:rFonts w:cs="Times New Roman" w:ascii="Times New Roman" w:hAnsi="Times New Roman"/>
          <w:i/>
          <w:iCs/>
          <w:sz w:val="16"/>
          <w:szCs w:val="24"/>
        </w:rPr>
        <w:t>Journal of Higher Education Policy and Management</w:t>
      </w:r>
      <w:r>
        <w:rPr>
          <w:rFonts w:cs="Times New Roman" w:ascii="Times New Roman" w:hAnsi="Times New Roman"/>
          <w:sz w:val="16"/>
          <w:szCs w:val="24"/>
        </w:rPr>
        <w:t xml:space="preserve">, </w:t>
      </w:r>
      <w:r>
        <w:rPr>
          <w:rFonts w:cs="Times New Roman" w:ascii="Times New Roman" w:hAnsi="Times New Roman"/>
          <w:i/>
          <w:iCs/>
          <w:sz w:val="16"/>
          <w:szCs w:val="24"/>
        </w:rPr>
        <w:t>39</w:t>
      </w:r>
      <w:r>
        <w:rPr>
          <w:rFonts w:cs="Times New Roman" w:ascii="Times New Roman" w:hAnsi="Times New Roman"/>
          <w:sz w:val="16"/>
          <w:szCs w:val="24"/>
        </w:rPr>
        <w:t>(1), 40–57.</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CUE. (2016). </w:t>
      </w:r>
      <w:r>
        <w:rPr>
          <w:rFonts w:cs="Times New Roman" w:ascii="Times New Roman" w:hAnsi="Times New Roman"/>
          <w:i/>
          <w:iCs/>
          <w:sz w:val="16"/>
          <w:szCs w:val="24"/>
        </w:rPr>
        <w:t>State of University Education in Kenya (2015/2016). (E. J. Mukhwana, Ed.), Commission of University Education</w:t>
      </w:r>
      <w:r>
        <w:rPr>
          <w:rFonts w:cs="Times New Roman" w:ascii="Times New Roman" w:hAnsi="Times New Roman"/>
          <w:sz w:val="16"/>
          <w:szCs w:val="24"/>
        </w:rPr>
        <w:t>.</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CUE. (2021). </w:t>
      </w:r>
      <w:r>
        <w:rPr>
          <w:rFonts w:cs="Times New Roman" w:ascii="Times New Roman" w:hAnsi="Times New Roman"/>
          <w:i/>
          <w:iCs/>
          <w:sz w:val="16"/>
          <w:szCs w:val="24"/>
        </w:rPr>
        <w:t>State of University Education in Kenya (2020/2021).</w:t>
      </w:r>
      <w:r>
        <w:rPr>
          <w:rFonts w:cs="Times New Roman" w:ascii="Times New Roman" w:hAnsi="Times New Roman"/>
          <w:sz w:val="16"/>
          <w:szCs w:val="24"/>
        </w:rPr>
        <w:t xml:space="preserve"> Commission of University Education.</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Doeringer, P. B., &amp; Piore, M. J. (1971). Internal Labor Markets and Manpower Analysis. </w:t>
      </w:r>
      <w:r>
        <w:rPr>
          <w:rFonts w:cs="Times New Roman" w:ascii="Times New Roman" w:hAnsi="Times New Roman"/>
          <w:i/>
          <w:iCs/>
          <w:sz w:val="16"/>
          <w:szCs w:val="24"/>
        </w:rPr>
        <w:t>Industrial and Labor Relations Review</w:t>
      </w:r>
      <w:r>
        <w:rPr>
          <w:rFonts w:cs="Times New Roman" w:ascii="Times New Roman" w:hAnsi="Times New Roman"/>
          <w:sz w:val="16"/>
          <w:szCs w:val="24"/>
        </w:rPr>
        <w:t xml:space="preserve">, </w:t>
      </w:r>
      <w:r>
        <w:rPr>
          <w:rFonts w:cs="Times New Roman" w:ascii="Times New Roman" w:hAnsi="Times New Roman"/>
          <w:i/>
          <w:iCs/>
          <w:sz w:val="16"/>
          <w:szCs w:val="24"/>
        </w:rPr>
        <w:t>25</w:t>
      </w:r>
      <w:r>
        <w:rPr>
          <w:rFonts w:cs="Times New Roman" w:ascii="Times New Roman" w:hAnsi="Times New Roman"/>
          <w:sz w:val="16"/>
          <w:szCs w:val="24"/>
        </w:rPr>
        <w:t>(2), 273.</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Erkoç, T. E. (2016). Measuring efficiencies of Turkish public universities with non-parametric efficiency estimation method. </w:t>
      </w:r>
      <w:r>
        <w:rPr>
          <w:rFonts w:cs="Times New Roman" w:ascii="Times New Roman" w:hAnsi="Times New Roman"/>
          <w:i/>
          <w:iCs/>
          <w:sz w:val="16"/>
          <w:szCs w:val="24"/>
        </w:rPr>
        <w:t>Hacettepe Üniversitesi Eğitim Fakültesi Dergisi, 2</w:t>
      </w:r>
      <w:r>
        <w:rPr>
          <w:rFonts w:cs="Times New Roman" w:ascii="Times New Roman" w:hAnsi="Times New Roman"/>
          <w:sz w:val="16"/>
          <w:szCs w:val="24"/>
        </w:rPr>
        <w:t>9(3), 124-136.</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Galia, F., &amp; Zenou, E. (2013). Does board diversity influence innovation ? The impact of gender and age diversity on innovation types. </w:t>
      </w:r>
      <w:r>
        <w:rPr>
          <w:rFonts w:cs="Times New Roman" w:ascii="Times New Roman" w:hAnsi="Times New Roman"/>
          <w:i/>
          <w:iCs/>
          <w:sz w:val="16"/>
          <w:szCs w:val="24"/>
        </w:rPr>
        <w:t>Conférence Internationale de Management Stratégique</w:t>
      </w:r>
      <w:r>
        <w:rPr>
          <w:rFonts w:cs="Times New Roman" w:ascii="Times New Roman" w:hAnsi="Times New Roman"/>
          <w:sz w:val="16"/>
          <w:szCs w:val="24"/>
        </w:rPr>
        <w:t>, 10–12.</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García-Aracil, A. (2013). Understanding productivity changes in public universities: Evidence from Spain. </w:t>
      </w:r>
      <w:r>
        <w:rPr>
          <w:rFonts w:cs="Times New Roman" w:ascii="Times New Roman" w:hAnsi="Times New Roman"/>
          <w:i/>
          <w:iCs/>
          <w:sz w:val="16"/>
          <w:szCs w:val="24"/>
        </w:rPr>
        <w:t>Research Evaluation</w:t>
      </w:r>
      <w:r>
        <w:rPr>
          <w:rFonts w:cs="Times New Roman" w:ascii="Times New Roman" w:hAnsi="Times New Roman"/>
          <w:sz w:val="16"/>
          <w:szCs w:val="24"/>
        </w:rPr>
        <w:t xml:space="preserve">, </w:t>
      </w:r>
      <w:r>
        <w:rPr>
          <w:rFonts w:cs="Times New Roman" w:ascii="Times New Roman" w:hAnsi="Times New Roman"/>
          <w:i/>
          <w:iCs/>
          <w:sz w:val="16"/>
          <w:szCs w:val="24"/>
        </w:rPr>
        <w:t>22</w:t>
      </w:r>
      <w:r>
        <w:rPr>
          <w:rFonts w:cs="Times New Roman" w:ascii="Times New Roman" w:hAnsi="Times New Roman"/>
          <w:sz w:val="16"/>
          <w:szCs w:val="24"/>
        </w:rPr>
        <w:t>(5), 351–368.</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Hillman, A. J. (2015). Board diversity: Beginning to unpeel the onion. </w:t>
      </w:r>
      <w:r>
        <w:rPr>
          <w:rFonts w:cs="Times New Roman" w:ascii="Times New Roman" w:hAnsi="Times New Roman"/>
          <w:i/>
          <w:iCs/>
          <w:sz w:val="16"/>
          <w:szCs w:val="24"/>
        </w:rPr>
        <w:t>Corporate Governance: An International Review</w:t>
      </w:r>
      <w:r>
        <w:rPr>
          <w:rFonts w:cs="Times New Roman" w:ascii="Times New Roman" w:hAnsi="Times New Roman"/>
          <w:sz w:val="16"/>
          <w:szCs w:val="24"/>
        </w:rPr>
        <w:t xml:space="preserve">, </w:t>
      </w:r>
      <w:r>
        <w:rPr>
          <w:rFonts w:cs="Times New Roman" w:ascii="Times New Roman" w:hAnsi="Times New Roman"/>
          <w:i/>
          <w:iCs/>
          <w:sz w:val="16"/>
          <w:szCs w:val="24"/>
        </w:rPr>
        <w:t>23</w:t>
      </w:r>
      <w:r>
        <w:rPr>
          <w:rFonts w:cs="Times New Roman" w:ascii="Times New Roman" w:hAnsi="Times New Roman"/>
          <w:sz w:val="16"/>
          <w:szCs w:val="24"/>
        </w:rPr>
        <w:t>(2), 104–107.</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Hillman, A. J., &amp; Dalziel, T. (2003). Boards of directors and firm performance: Integrating agency and resource dependence perspectives. </w:t>
      </w:r>
      <w:r>
        <w:rPr>
          <w:rFonts w:cs="Times New Roman" w:ascii="Times New Roman" w:hAnsi="Times New Roman"/>
          <w:i/>
          <w:iCs/>
          <w:sz w:val="16"/>
          <w:szCs w:val="24"/>
        </w:rPr>
        <w:t>Academy of Management Review</w:t>
      </w:r>
      <w:r>
        <w:rPr>
          <w:rFonts w:cs="Times New Roman" w:ascii="Times New Roman" w:hAnsi="Times New Roman"/>
          <w:sz w:val="16"/>
          <w:szCs w:val="24"/>
        </w:rPr>
        <w:t xml:space="preserve">, </w:t>
      </w:r>
      <w:r>
        <w:rPr>
          <w:rFonts w:cs="Times New Roman" w:ascii="Times New Roman" w:hAnsi="Times New Roman"/>
          <w:i/>
          <w:iCs/>
          <w:sz w:val="16"/>
          <w:szCs w:val="24"/>
        </w:rPr>
        <w:t>28</w:t>
      </w:r>
      <w:r>
        <w:rPr>
          <w:rFonts w:cs="Times New Roman" w:ascii="Times New Roman" w:hAnsi="Times New Roman"/>
          <w:sz w:val="16"/>
          <w:szCs w:val="24"/>
        </w:rPr>
        <w:t>(3), 383–396.</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Jensen, M. C., &amp; Meckling, W. H. (1976). Theory of the Firm: Managerial Behaviour, Agency Costs, and Ownership Structure. </w:t>
      </w:r>
      <w:r>
        <w:rPr>
          <w:rFonts w:cs="Times New Roman" w:ascii="Times New Roman" w:hAnsi="Times New Roman"/>
          <w:i/>
          <w:iCs/>
          <w:sz w:val="16"/>
          <w:szCs w:val="24"/>
        </w:rPr>
        <w:t>Human Relations</w:t>
      </w:r>
      <w:r>
        <w:rPr>
          <w:rFonts w:cs="Times New Roman" w:ascii="Times New Roman" w:hAnsi="Times New Roman"/>
          <w:sz w:val="16"/>
          <w:szCs w:val="24"/>
        </w:rPr>
        <w:t xml:space="preserve">, </w:t>
      </w:r>
      <w:r>
        <w:rPr>
          <w:rFonts w:cs="Times New Roman" w:ascii="Times New Roman" w:hAnsi="Times New Roman"/>
          <w:i/>
          <w:iCs/>
          <w:sz w:val="16"/>
          <w:szCs w:val="24"/>
        </w:rPr>
        <w:t>3</w:t>
      </w:r>
      <w:r>
        <w:rPr>
          <w:rFonts w:cs="Times New Roman" w:ascii="Times New Roman" w:hAnsi="Times New Roman"/>
          <w:sz w:val="16"/>
          <w:szCs w:val="24"/>
        </w:rPr>
        <w:t>(4), 305–360.</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Jerzemowska, M. (2006). The Main Agency Problems and Their Consequences. </w:t>
      </w:r>
      <w:r>
        <w:rPr>
          <w:rFonts w:cs="Times New Roman" w:ascii="Times New Roman" w:hAnsi="Times New Roman"/>
          <w:i/>
          <w:iCs/>
          <w:sz w:val="16"/>
          <w:szCs w:val="24"/>
        </w:rPr>
        <w:t>Acta Oeconomica Pragensia</w:t>
      </w:r>
      <w:r>
        <w:rPr>
          <w:rFonts w:cs="Times New Roman" w:ascii="Times New Roman" w:hAnsi="Times New Roman"/>
          <w:sz w:val="16"/>
          <w:szCs w:val="24"/>
        </w:rPr>
        <w:t xml:space="preserve">, </w:t>
      </w:r>
      <w:r>
        <w:rPr>
          <w:rFonts w:cs="Times New Roman" w:ascii="Times New Roman" w:hAnsi="Times New Roman"/>
          <w:i/>
          <w:iCs/>
          <w:sz w:val="16"/>
          <w:szCs w:val="24"/>
        </w:rPr>
        <w:t>14</w:t>
      </w:r>
      <w:r>
        <w:rPr>
          <w:rFonts w:cs="Times New Roman" w:ascii="Times New Roman" w:hAnsi="Times New Roman"/>
          <w:sz w:val="16"/>
          <w:szCs w:val="24"/>
        </w:rPr>
        <w:t>(3), 9–17.</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Johnes, J. (2013). Efficiency and mergers in English higher education 1996/97 to 2008/09: Parametric and non-parametric estimation of the multi-input multi-output distance function. </w:t>
      </w:r>
      <w:r>
        <w:rPr>
          <w:rFonts w:cs="Times New Roman" w:ascii="Times New Roman" w:hAnsi="Times New Roman"/>
          <w:i/>
          <w:iCs/>
          <w:sz w:val="16"/>
          <w:szCs w:val="24"/>
        </w:rPr>
        <w:t>Manchester School</w:t>
      </w:r>
      <w:r>
        <w:rPr>
          <w:rFonts w:cs="Times New Roman" w:ascii="Times New Roman" w:hAnsi="Times New Roman"/>
          <w:sz w:val="16"/>
          <w:szCs w:val="24"/>
        </w:rPr>
        <w:t xml:space="preserve">, </w:t>
      </w:r>
      <w:r>
        <w:rPr>
          <w:rFonts w:cs="Times New Roman" w:ascii="Times New Roman" w:hAnsi="Times New Roman"/>
          <w:i/>
          <w:iCs/>
          <w:sz w:val="16"/>
          <w:szCs w:val="24"/>
        </w:rPr>
        <w:t>82</w:t>
      </w:r>
      <w:r>
        <w:rPr>
          <w:rFonts w:cs="Times New Roman" w:ascii="Times New Roman" w:hAnsi="Times New Roman"/>
          <w:sz w:val="16"/>
          <w:szCs w:val="24"/>
        </w:rPr>
        <w:t>(4), 465–487.</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Konrad, A. M., Prasad, P., &amp; Pringle, J. K. (2016). Handbook of Workplace Diversity. </w:t>
      </w:r>
      <w:r>
        <w:rPr>
          <w:rFonts w:cs="Times New Roman" w:ascii="Times New Roman" w:hAnsi="Times New Roman"/>
          <w:i/>
          <w:iCs/>
          <w:sz w:val="16"/>
          <w:szCs w:val="24"/>
        </w:rPr>
        <w:t>Academy of Management Review</w:t>
      </w:r>
      <w:r>
        <w:rPr>
          <w:rFonts w:cs="Times New Roman" w:ascii="Times New Roman" w:hAnsi="Times New Roman"/>
          <w:sz w:val="16"/>
          <w:szCs w:val="24"/>
        </w:rPr>
        <w:t xml:space="preserve">, </w:t>
      </w:r>
      <w:r>
        <w:rPr>
          <w:rFonts w:cs="Times New Roman" w:ascii="Times New Roman" w:hAnsi="Times New Roman"/>
          <w:i/>
          <w:iCs/>
          <w:sz w:val="16"/>
          <w:szCs w:val="24"/>
        </w:rPr>
        <w:t>31</w:t>
      </w:r>
      <w:r>
        <w:rPr>
          <w:rFonts w:cs="Times New Roman" w:ascii="Times New Roman" w:hAnsi="Times New Roman"/>
          <w:sz w:val="16"/>
          <w:szCs w:val="24"/>
        </w:rPr>
        <w:t>(4), 1100–1102.</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Krishnan, H. A., &amp; Park, D. (2005). A few good women — on top management teams. </w:t>
      </w:r>
      <w:r>
        <w:rPr>
          <w:rFonts w:cs="Times New Roman" w:ascii="Times New Roman" w:hAnsi="Times New Roman"/>
          <w:i/>
          <w:iCs/>
          <w:sz w:val="16"/>
          <w:szCs w:val="24"/>
        </w:rPr>
        <w:t>Journal of Business Research</w:t>
      </w:r>
      <w:r>
        <w:rPr>
          <w:rFonts w:cs="Times New Roman" w:ascii="Times New Roman" w:hAnsi="Times New Roman"/>
          <w:sz w:val="16"/>
          <w:szCs w:val="24"/>
        </w:rPr>
        <w:t xml:space="preserve">, </w:t>
      </w:r>
      <w:r>
        <w:rPr>
          <w:rFonts w:cs="Times New Roman" w:ascii="Times New Roman" w:hAnsi="Times New Roman"/>
          <w:i/>
          <w:iCs/>
          <w:sz w:val="16"/>
          <w:szCs w:val="24"/>
        </w:rPr>
        <w:t>58</w:t>
      </w:r>
      <w:r>
        <w:rPr>
          <w:rFonts w:cs="Times New Roman" w:ascii="Times New Roman" w:hAnsi="Times New Roman"/>
          <w:sz w:val="16"/>
          <w:szCs w:val="24"/>
        </w:rPr>
        <w:t>(September 2004), 1712–1720.</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Kuah, C. T., &amp; Wong, K. Y. (2011). Efficiency assessment of universities through data envelopment analysis. </w:t>
      </w:r>
      <w:r>
        <w:rPr>
          <w:rFonts w:cs="Times New Roman" w:ascii="Times New Roman" w:hAnsi="Times New Roman"/>
          <w:i/>
          <w:iCs/>
          <w:sz w:val="16"/>
          <w:szCs w:val="24"/>
        </w:rPr>
        <w:t>Procedia Computer Science</w:t>
      </w:r>
      <w:r>
        <w:rPr>
          <w:rFonts w:cs="Times New Roman" w:ascii="Times New Roman" w:hAnsi="Times New Roman"/>
          <w:sz w:val="16"/>
          <w:szCs w:val="24"/>
        </w:rPr>
        <w:t xml:space="preserve">, </w:t>
      </w:r>
      <w:r>
        <w:rPr>
          <w:rFonts w:cs="Times New Roman" w:ascii="Times New Roman" w:hAnsi="Times New Roman"/>
          <w:i/>
          <w:iCs/>
          <w:sz w:val="16"/>
          <w:szCs w:val="24"/>
        </w:rPr>
        <w:t>3</w:t>
      </w:r>
      <w:r>
        <w:rPr>
          <w:rFonts w:cs="Times New Roman" w:ascii="Times New Roman" w:hAnsi="Times New Roman"/>
          <w:sz w:val="16"/>
          <w:szCs w:val="24"/>
        </w:rPr>
        <w:t>, 499–506.</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Lee, B. L. (2011). Efficiency of Research Performance of Australian Universities: A Reappraisal using a Bootstrap Truncated Regression Approach. </w:t>
      </w:r>
      <w:r>
        <w:rPr>
          <w:rFonts w:cs="Times New Roman" w:ascii="Times New Roman" w:hAnsi="Times New Roman"/>
          <w:i/>
          <w:iCs/>
          <w:sz w:val="16"/>
          <w:szCs w:val="24"/>
        </w:rPr>
        <w:t>Economic Analysis and Policy</w:t>
      </w:r>
      <w:r>
        <w:rPr>
          <w:rFonts w:cs="Times New Roman" w:ascii="Times New Roman" w:hAnsi="Times New Roman"/>
          <w:sz w:val="16"/>
          <w:szCs w:val="24"/>
        </w:rPr>
        <w:t xml:space="preserve">, </w:t>
      </w:r>
      <w:r>
        <w:rPr>
          <w:rFonts w:cs="Times New Roman" w:ascii="Times New Roman" w:hAnsi="Times New Roman"/>
          <w:i/>
          <w:iCs/>
          <w:sz w:val="16"/>
          <w:szCs w:val="24"/>
        </w:rPr>
        <w:t>41</w:t>
      </w:r>
      <w:r>
        <w:rPr>
          <w:rFonts w:cs="Times New Roman" w:ascii="Times New Roman" w:hAnsi="Times New Roman"/>
          <w:sz w:val="16"/>
          <w:szCs w:val="24"/>
        </w:rPr>
        <w:t>(3), 195–203.</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Li, H., &amp; Chen, P. (2018). Board gender diversity and firm performance: The moderating role of firm size. </w:t>
      </w:r>
      <w:r>
        <w:rPr>
          <w:rFonts w:cs="Times New Roman" w:ascii="Times New Roman" w:hAnsi="Times New Roman"/>
          <w:i/>
          <w:iCs/>
          <w:sz w:val="16"/>
          <w:szCs w:val="24"/>
        </w:rPr>
        <w:t>Business Ethics: A European Review, 27</w:t>
      </w:r>
      <w:r>
        <w:rPr>
          <w:rFonts w:cs="Times New Roman" w:ascii="Times New Roman" w:hAnsi="Times New Roman"/>
          <w:sz w:val="16"/>
          <w:szCs w:val="24"/>
        </w:rPr>
        <w:t>(4), 294–308.</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Lincoln, A., &amp; Adedoyin, O. (2012). Corporate Governance and Gender Diversity in Nigerian Boardrooms. </w:t>
      </w:r>
      <w:r>
        <w:rPr>
          <w:rFonts w:cs="Times New Roman" w:ascii="Times New Roman" w:hAnsi="Times New Roman"/>
          <w:i/>
          <w:iCs/>
          <w:sz w:val="16"/>
          <w:szCs w:val="24"/>
        </w:rPr>
        <w:t>World Academy of Science, Engineering and Technology</w:t>
      </w:r>
      <w:r>
        <w:rPr>
          <w:rFonts w:cs="Times New Roman" w:ascii="Times New Roman" w:hAnsi="Times New Roman"/>
          <w:sz w:val="16"/>
          <w:szCs w:val="24"/>
        </w:rPr>
        <w:t xml:space="preserve">, </w:t>
      </w:r>
      <w:r>
        <w:rPr>
          <w:rFonts w:cs="Times New Roman" w:ascii="Times New Roman" w:hAnsi="Times New Roman"/>
          <w:i/>
          <w:iCs/>
          <w:sz w:val="16"/>
          <w:szCs w:val="24"/>
        </w:rPr>
        <w:t>71</w:t>
      </w:r>
      <w:r>
        <w:rPr>
          <w:rFonts w:cs="Times New Roman" w:ascii="Times New Roman" w:hAnsi="Times New Roman"/>
          <w:sz w:val="16"/>
          <w:szCs w:val="24"/>
        </w:rPr>
        <w:t>, 1853–1859.</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Maria, T. D., &amp; Bleotu, V. (2014). Modern Trends in Higher Education Funding. </w:t>
      </w:r>
      <w:r>
        <w:rPr>
          <w:rFonts w:cs="Times New Roman" w:ascii="Times New Roman" w:hAnsi="Times New Roman"/>
          <w:i/>
          <w:iCs/>
          <w:sz w:val="16"/>
          <w:szCs w:val="24"/>
        </w:rPr>
        <w:t>Procedia - Social and Behavioral Sciences</w:t>
      </w:r>
      <w:r>
        <w:rPr>
          <w:rFonts w:cs="Times New Roman" w:ascii="Times New Roman" w:hAnsi="Times New Roman"/>
          <w:sz w:val="16"/>
          <w:szCs w:val="24"/>
        </w:rPr>
        <w:t xml:space="preserve">, </w:t>
      </w:r>
      <w:r>
        <w:rPr>
          <w:rFonts w:cs="Times New Roman" w:ascii="Times New Roman" w:hAnsi="Times New Roman"/>
          <w:i/>
          <w:iCs/>
          <w:sz w:val="16"/>
          <w:szCs w:val="24"/>
        </w:rPr>
        <w:t>116</w:t>
      </w:r>
      <w:r>
        <w:rPr>
          <w:rFonts w:cs="Times New Roman" w:ascii="Times New Roman" w:hAnsi="Times New Roman"/>
          <w:sz w:val="16"/>
          <w:szCs w:val="24"/>
        </w:rPr>
        <w:t>, 2226–2230.</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Mathenge, P. W., &amp; Muturi, W. (2017). Effect of Financial Management Practices on Performance of Public Universities in Kenya. </w:t>
      </w:r>
      <w:r>
        <w:rPr>
          <w:rFonts w:cs="Times New Roman" w:ascii="Times New Roman" w:hAnsi="Times New Roman"/>
          <w:i/>
          <w:iCs/>
          <w:sz w:val="16"/>
          <w:szCs w:val="24"/>
        </w:rPr>
        <w:t>International Journal of Social Sciences and Infromation Technology</w:t>
      </w:r>
      <w:r>
        <w:rPr>
          <w:rFonts w:cs="Times New Roman" w:ascii="Times New Roman" w:hAnsi="Times New Roman"/>
          <w:sz w:val="16"/>
          <w:szCs w:val="24"/>
        </w:rPr>
        <w:t xml:space="preserve">, </w:t>
      </w:r>
      <w:r>
        <w:rPr>
          <w:rFonts w:cs="Times New Roman" w:ascii="Times New Roman" w:hAnsi="Times New Roman"/>
          <w:i/>
          <w:iCs/>
          <w:sz w:val="16"/>
          <w:szCs w:val="24"/>
        </w:rPr>
        <w:t>3</w:t>
      </w:r>
      <w:r>
        <w:rPr>
          <w:rFonts w:cs="Times New Roman" w:ascii="Times New Roman" w:hAnsi="Times New Roman"/>
          <w:sz w:val="16"/>
          <w:szCs w:val="24"/>
        </w:rPr>
        <w:t>(8), 2354–2363.</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McMillan, M. L., &amp; Datta, D. (1998). The relative efficiencies of Canadian universities: a DEA perspective. C</w:t>
      </w:r>
      <w:r>
        <w:rPr>
          <w:rFonts w:cs="Times New Roman" w:ascii="Times New Roman" w:hAnsi="Times New Roman"/>
          <w:i/>
          <w:iCs/>
          <w:sz w:val="16"/>
          <w:szCs w:val="24"/>
        </w:rPr>
        <w:t>anadian Public Policy/Analyse de Politiques, 24</w:t>
      </w:r>
      <w:r>
        <w:rPr>
          <w:rFonts w:cs="Times New Roman" w:ascii="Times New Roman" w:hAnsi="Times New Roman"/>
          <w:sz w:val="16"/>
          <w:szCs w:val="24"/>
        </w:rPr>
        <w:t>(4), 485–511.</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Mohajan, H. K. (2017). Two Criteria for Good Measurements in Research: Validity and Reliability. </w:t>
      </w:r>
      <w:r>
        <w:rPr>
          <w:rFonts w:cs="Times New Roman" w:ascii="Times New Roman" w:hAnsi="Times New Roman"/>
          <w:i/>
          <w:iCs/>
          <w:sz w:val="16"/>
          <w:szCs w:val="24"/>
        </w:rPr>
        <w:t>Annals of Spiru Haret University. Economic Series</w:t>
      </w:r>
      <w:r>
        <w:rPr>
          <w:rFonts w:cs="Times New Roman" w:ascii="Times New Roman" w:hAnsi="Times New Roman"/>
          <w:sz w:val="16"/>
          <w:szCs w:val="24"/>
        </w:rPr>
        <w:t xml:space="preserve">, </w:t>
      </w:r>
      <w:r>
        <w:rPr>
          <w:rFonts w:cs="Times New Roman" w:ascii="Times New Roman" w:hAnsi="Times New Roman"/>
          <w:i/>
          <w:iCs/>
          <w:sz w:val="16"/>
          <w:szCs w:val="24"/>
        </w:rPr>
        <w:t>17</w:t>
      </w:r>
      <w:r>
        <w:rPr>
          <w:rFonts w:cs="Times New Roman" w:ascii="Times New Roman" w:hAnsi="Times New Roman"/>
          <w:sz w:val="16"/>
          <w:szCs w:val="24"/>
        </w:rPr>
        <w:t>(4), 59–82.</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Munoz, D. A. (2016). Assessing the research efficiency of higher education institutions in Chile – a data envelopment analysis approach. </w:t>
      </w:r>
      <w:r>
        <w:rPr>
          <w:rFonts w:cs="Times New Roman" w:ascii="Times New Roman" w:hAnsi="Times New Roman"/>
          <w:i/>
          <w:iCs/>
          <w:sz w:val="16"/>
          <w:szCs w:val="24"/>
        </w:rPr>
        <w:t>International Journal of Educational Management</w:t>
      </w:r>
      <w:r>
        <w:rPr>
          <w:rFonts w:cs="Times New Roman" w:ascii="Times New Roman" w:hAnsi="Times New Roman"/>
          <w:sz w:val="16"/>
          <w:szCs w:val="24"/>
        </w:rPr>
        <w:t xml:space="preserve">, </w:t>
      </w:r>
      <w:r>
        <w:rPr>
          <w:rFonts w:cs="Times New Roman" w:ascii="Times New Roman" w:hAnsi="Times New Roman"/>
          <w:i/>
          <w:iCs/>
          <w:sz w:val="16"/>
          <w:szCs w:val="24"/>
        </w:rPr>
        <w:t>30</w:t>
      </w:r>
      <w:r>
        <w:rPr>
          <w:rFonts w:cs="Times New Roman" w:ascii="Times New Roman" w:hAnsi="Times New Roman"/>
          <w:sz w:val="16"/>
          <w:szCs w:val="24"/>
        </w:rPr>
        <w:t>(6), 809-825.</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Mutiso, J. M., Onyango, P. M., &amp; Nyagol, M. (2015). Effects of Funding Sources on Access to Quality Higher Education in Public Universities in Kenya: A Case Study. </w:t>
      </w:r>
      <w:r>
        <w:rPr>
          <w:rFonts w:cs="Times New Roman" w:ascii="Times New Roman" w:hAnsi="Times New Roman"/>
          <w:i/>
          <w:iCs/>
          <w:sz w:val="16"/>
          <w:szCs w:val="24"/>
        </w:rPr>
        <w:t>International Journal of Business and Social Research</w:t>
      </w:r>
      <w:r>
        <w:rPr>
          <w:rFonts w:cs="Times New Roman" w:ascii="Times New Roman" w:hAnsi="Times New Roman"/>
          <w:sz w:val="16"/>
          <w:szCs w:val="24"/>
        </w:rPr>
        <w:t xml:space="preserve">, </w:t>
      </w:r>
      <w:r>
        <w:rPr>
          <w:rFonts w:cs="Times New Roman" w:ascii="Times New Roman" w:hAnsi="Times New Roman"/>
          <w:i/>
          <w:iCs/>
          <w:sz w:val="16"/>
          <w:szCs w:val="24"/>
        </w:rPr>
        <w:t>5</w:t>
      </w:r>
      <w:r>
        <w:rPr>
          <w:rFonts w:cs="Times New Roman" w:ascii="Times New Roman" w:hAnsi="Times New Roman"/>
          <w:sz w:val="16"/>
          <w:szCs w:val="24"/>
        </w:rPr>
        <w:t>(3), 68–81.</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Myeki, L. W., &amp; Temoso, O. (2019). Efficiency assessment of public universities in South Africa, 2009-2013: Panel data evidence. </w:t>
      </w:r>
      <w:r>
        <w:rPr>
          <w:rFonts w:cs="Times New Roman" w:ascii="Times New Roman" w:hAnsi="Times New Roman"/>
          <w:i/>
          <w:iCs/>
          <w:sz w:val="16"/>
          <w:szCs w:val="24"/>
        </w:rPr>
        <w:t>South African Journal of Higher Education</w:t>
      </w:r>
      <w:r>
        <w:rPr>
          <w:rFonts w:cs="Times New Roman" w:ascii="Times New Roman" w:hAnsi="Times New Roman"/>
          <w:sz w:val="16"/>
          <w:szCs w:val="24"/>
        </w:rPr>
        <w:t xml:space="preserve">, </w:t>
      </w:r>
      <w:r>
        <w:rPr>
          <w:rFonts w:cs="Times New Roman" w:ascii="Times New Roman" w:hAnsi="Times New Roman"/>
          <w:i/>
          <w:iCs/>
          <w:sz w:val="16"/>
          <w:szCs w:val="24"/>
        </w:rPr>
        <w:t>33</w:t>
      </w:r>
      <w:r>
        <w:rPr>
          <w:rFonts w:cs="Times New Roman" w:ascii="Times New Roman" w:hAnsi="Times New Roman"/>
          <w:sz w:val="16"/>
          <w:szCs w:val="24"/>
        </w:rPr>
        <w:t>(5), 264–280.</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Nguta, M. H., &amp; Ndegwa, J. (2021). Finance &amp; Banking Studies The Mediating Effect of Firm Revenue on the Relationship Between Board Characteristics on Financial Distress of Deposit Taking Saccos in Nairobi County. </w:t>
      </w:r>
      <w:r>
        <w:rPr>
          <w:rFonts w:cs="Times New Roman" w:ascii="Times New Roman" w:hAnsi="Times New Roman"/>
          <w:i/>
          <w:iCs/>
          <w:sz w:val="16"/>
          <w:szCs w:val="24"/>
        </w:rPr>
        <w:t>International Journal of Finance &amp; Banking Studies</w:t>
      </w:r>
      <w:r>
        <w:rPr>
          <w:rFonts w:cs="Times New Roman" w:ascii="Times New Roman" w:hAnsi="Times New Roman"/>
          <w:sz w:val="16"/>
          <w:szCs w:val="24"/>
        </w:rPr>
        <w:t xml:space="preserve">, </w:t>
      </w:r>
      <w:r>
        <w:rPr>
          <w:rFonts w:cs="Times New Roman" w:ascii="Times New Roman" w:hAnsi="Times New Roman"/>
          <w:i/>
          <w:iCs/>
          <w:sz w:val="16"/>
          <w:szCs w:val="24"/>
        </w:rPr>
        <w:t>10</w:t>
      </w:r>
      <w:r>
        <w:rPr>
          <w:rFonts w:cs="Times New Roman" w:ascii="Times New Roman" w:hAnsi="Times New Roman"/>
          <w:sz w:val="16"/>
          <w:szCs w:val="24"/>
        </w:rPr>
        <w:t>(1), 34–47.</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Nirajini, A., &amp; Priya, K. B. (2013). Impact of Capital Structure on Financial Performance of the Listed Trading Companies in Sri Lanka. </w:t>
      </w:r>
      <w:r>
        <w:rPr>
          <w:rFonts w:cs="Times New Roman" w:ascii="Times New Roman" w:hAnsi="Times New Roman"/>
          <w:i/>
          <w:iCs/>
          <w:sz w:val="16"/>
          <w:szCs w:val="24"/>
        </w:rPr>
        <w:t>International Journal of Scientific and Research Publications</w:t>
      </w:r>
      <w:r>
        <w:rPr>
          <w:rFonts w:cs="Times New Roman" w:ascii="Times New Roman" w:hAnsi="Times New Roman"/>
          <w:sz w:val="16"/>
          <w:szCs w:val="24"/>
        </w:rPr>
        <w:t xml:space="preserve">, </w:t>
      </w:r>
      <w:r>
        <w:rPr>
          <w:rFonts w:cs="Times New Roman" w:ascii="Times New Roman" w:hAnsi="Times New Roman"/>
          <w:i/>
          <w:iCs/>
          <w:sz w:val="16"/>
          <w:szCs w:val="24"/>
        </w:rPr>
        <w:t>3</w:t>
      </w:r>
      <w:r>
        <w:rPr>
          <w:rFonts w:cs="Times New Roman" w:ascii="Times New Roman" w:hAnsi="Times New Roman"/>
          <w:sz w:val="16"/>
          <w:szCs w:val="24"/>
        </w:rPr>
        <w:t>(5), 1–9.</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Odhiambo, G. (2018). The role of Kenyan universities in national development. </w:t>
      </w:r>
      <w:r>
        <w:rPr>
          <w:rFonts w:cs="Times New Roman" w:ascii="Times New Roman" w:hAnsi="Times New Roman"/>
          <w:i/>
          <w:iCs/>
          <w:sz w:val="16"/>
          <w:szCs w:val="24"/>
        </w:rPr>
        <w:t>Forum for International Research in Education</w:t>
      </w:r>
      <w:r>
        <w:rPr>
          <w:rFonts w:cs="Times New Roman" w:ascii="Times New Roman" w:hAnsi="Times New Roman"/>
          <w:sz w:val="16"/>
          <w:szCs w:val="24"/>
        </w:rPr>
        <w:t xml:space="preserve">, </w:t>
      </w:r>
      <w:r>
        <w:rPr>
          <w:rFonts w:cs="Times New Roman" w:ascii="Times New Roman" w:hAnsi="Times New Roman"/>
          <w:i/>
          <w:iCs/>
          <w:sz w:val="16"/>
          <w:szCs w:val="24"/>
        </w:rPr>
        <w:t>4</w:t>
      </w:r>
      <w:r>
        <w:rPr>
          <w:rFonts w:cs="Times New Roman" w:ascii="Times New Roman" w:hAnsi="Times New Roman"/>
          <w:sz w:val="16"/>
          <w:szCs w:val="24"/>
        </w:rPr>
        <w:t>(3), 191–209.</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Salmi, J., &amp; Hauptman, A. M. (2006). Resource Allocation Mechanisms in Tertiary Education: A Typology and an Assessment. </w:t>
      </w:r>
      <w:r>
        <w:rPr>
          <w:rFonts w:cs="Times New Roman" w:ascii="Times New Roman" w:hAnsi="Times New Roman"/>
          <w:i/>
          <w:iCs/>
          <w:sz w:val="16"/>
          <w:szCs w:val="24"/>
        </w:rPr>
        <w:t>Higher Education in the World 2006 – The Financing of Universities</w:t>
      </w:r>
      <w:r>
        <w:rPr>
          <w:rFonts w:cs="Times New Roman" w:ascii="Times New Roman" w:hAnsi="Times New Roman"/>
          <w:sz w:val="16"/>
          <w:szCs w:val="24"/>
        </w:rPr>
        <w:t xml:space="preserve">, </w:t>
      </w:r>
      <w:r>
        <w:rPr>
          <w:rFonts w:cs="Times New Roman" w:ascii="Times New Roman" w:hAnsi="Times New Roman"/>
          <w:i/>
          <w:iCs/>
          <w:sz w:val="16"/>
          <w:szCs w:val="24"/>
        </w:rPr>
        <w:t>January 2006</w:t>
      </w:r>
      <w:r>
        <w:rPr>
          <w:rFonts w:cs="Times New Roman" w:ascii="Times New Roman" w:hAnsi="Times New Roman"/>
          <w:sz w:val="16"/>
          <w:szCs w:val="24"/>
        </w:rPr>
        <w:t>, 60–83.</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Selim, S., &amp; Bursalioglu, S. A. (2013). Analysis of the Determinants of Universities Efficiency in Turkey : Application of the Data Envelopment Analysis and Panel Tobit Model. </w:t>
      </w:r>
      <w:r>
        <w:rPr>
          <w:rFonts w:cs="Times New Roman" w:ascii="Times New Roman" w:hAnsi="Times New Roman"/>
          <w:i/>
          <w:iCs/>
          <w:sz w:val="16"/>
          <w:szCs w:val="24"/>
        </w:rPr>
        <w:t>Procedia Social and Behavioral Sciences</w:t>
      </w:r>
      <w:r>
        <w:rPr>
          <w:rFonts w:cs="Times New Roman" w:ascii="Times New Roman" w:hAnsi="Times New Roman"/>
          <w:sz w:val="16"/>
          <w:szCs w:val="24"/>
        </w:rPr>
        <w:t xml:space="preserve">, </w:t>
      </w:r>
      <w:r>
        <w:rPr>
          <w:rFonts w:cs="Times New Roman" w:ascii="Times New Roman" w:hAnsi="Times New Roman"/>
          <w:i/>
          <w:iCs/>
          <w:sz w:val="16"/>
          <w:szCs w:val="24"/>
        </w:rPr>
        <w:t>89</w:t>
      </w:r>
      <w:r>
        <w:rPr>
          <w:rFonts w:cs="Times New Roman" w:ascii="Times New Roman" w:hAnsi="Times New Roman"/>
          <w:sz w:val="16"/>
          <w:szCs w:val="24"/>
        </w:rPr>
        <w:t>, 895–900.</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Timmerman, T. A. (2000). Racial diversity, age diversity, interdependence, and team performance. </w:t>
      </w:r>
      <w:r>
        <w:rPr>
          <w:rFonts w:cs="Times New Roman" w:ascii="Times New Roman" w:hAnsi="Times New Roman"/>
          <w:i/>
          <w:iCs/>
          <w:sz w:val="16"/>
          <w:szCs w:val="24"/>
        </w:rPr>
        <w:t>Small Group Research</w:t>
      </w:r>
      <w:r>
        <w:rPr>
          <w:rFonts w:cs="Times New Roman" w:ascii="Times New Roman" w:hAnsi="Times New Roman"/>
          <w:sz w:val="16"/>
          <w:szCs w:val="24"/>
        </w:rPr>
        <w:t xml:space="preserve">, </w:t>
      </w:r>
      <w:r>
        <w:rPr>
          <w:rFonts w:cs="Times New Roman" w:ascii="Times New Roman" w:hAnsi="Times New Roman"/>
          <w:i/>
          <w:iCs/>
          <w:sz w:val="16"/>
          <w:szCs w:val="24"/>
        </w:rPr>
        <w:t>31</w:t>
      </w:r>
      <w:r>
        <w:rPr>
          <w:rFonts w:cs="Times New Roman" w:ascii="Times New Roman" w:hAnsi="Times New Roman"/>
          <w:sz w:val="16"/>
          <w:szCs w:val="24"/>
        </w:rPr>
        <w:t>(5), 592–606.</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Wolszczak-Derlacz, J. (2017). An evaluation and explanation of (in)efficiency in higher education institutions in Europe and the U.S. with the application of two-stage semi-parametric DEA. </w:t>
      </w:r>
      <w:r>
        <w:rPr>
          <w:rFonts w:cs="Times New Roman" w:ascii="Times New Roman" w:hAnsi="Times New Roman"/>
          <w:i/>
          <w:iCs/>
          <w:sz w:val="16"/>
          <w:szCs w:val="24"/>
        </w:rPr>
        <w:t>Research Policy</w:t>
      </w:r>
      <w:r>
        <w:rPr>
          <w:rFonts w:cs="Times New Roman" w:ascii="Times New Roman" w:hAnsi="Times New Roman"/>
          <w:sz w:val="16"/>
          <w:szCs w:val="24"/>
        </w:rPr>
        <w:t xml:space="preserve">, </w:t>
      </w:r>
      <w:r>
        <w:rPr>
          <w:rFonts w:cs="Times New Roman" w:ascii="Times New Roman" w:hAnsi="Times New Roman"/>
          <w:i/>
          <w:iCs/>
          <w:sz w:val="16"/>
          <w:szCs w:val="24"/>
        </w:rPr>
        <w:t>46</w:t>
      </w:r>
      <w:r>
        <w:rPr>
          <w:rFonts w:cs="Times New Roman" w:ascii="Times New Roman" w:hAnsi="Times New Roman"/>
          <w:sz w:val="16"/>
          <w:szCs w:val="24"/>
        </w:rPr>
        <w:t>(9), 1595–1605.</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Yaisawarng, S., &amp; Ng, Y. C. (2014). The impact of higher education reform on research performance of Chinese universities. </w:t>
      </w:r>
      <w:r>
        <w:rPr>
          <w:rFonts w:cs="Times New Roman" w:ascii="Times New Roman" w:hAnsi="Times New Roman"/>
          <w:i/>
          <w:iCs/>
          <w:sz w:val="16"/>
          <w:szCs w:val="24"/>
        </w:rPr>
        <w:t>China Economic Review</w:t>
      </w:r>
      <w:r>
        <w:rPr>
          <w:rFonts w:cs="Times New Roman" w:ascii="Times New Roman" w:hAnsi="Times New Roman"/>
          <w:sz w:val="16"/>
          <w:szCs w:val="24"/>
        </w:rPr>
        <w:t xml:space="preserve">, </w:t>
      </w:r>
      <w:r>
        <w:rPr>
          <w:rFonts w:cs="Times New Roman" w:ascii="Times New Roman" w:hAnsi="Times New Roman"/>
          <w:i/>
          <w:iCs/>
          <w:sz w:val="16"/>
          <w:szCs w:val="24"/>
        </w:rPr>
        <w:t>31</w:t>
      </w:r>
      <w:r>
        <w:rPr>
          <w:rFonts w:cs="Times New Roman" w:ascii="Times New Roman" w:hAnsi="Times New Roman"/>
          <w:sz w:val="16"/>
          <w:szCs w:val="24"/>
        </w:rPr>
        <w:t>, 94–105. 6</w:t>
      </w:r>
    </w:p>
    <w:p>
      <w:pPr>
        <w:pStyle w:val="Normal"/>
        <w:widowControl w:val="false"/>
        <w:spacing w:lineRule="auto" w:line="240" w:before="0" w:after="0"/>
        <w:ind w:left="480" w:hanging="480"/>
        <w:rPr>
          <w:rFonts w:ascii="Times New Roman" w:hAnsi="Times New Roman" w:cs="Times New Roman"/>
          <w:sz w:val="16"/>
          <w:szCs w:val="24"/>
        </w:rPr>
      </w:pPr>
      <w:r>
        <w:rPr>
          <w:rFonts w:cs="Times New Roman" w:ascii="Times New Roman" w:hAnsi="Times New Roman"/>
          <w:sz w:val="16"/>
          <w:szCs w:val="24"/>
        </w:rPr>
        <w:t xml:space="preserve">Zeleza, P. T. (2020, March 12). </w:t>
      </w:r>
      <w:r>
        <w:rPr>
          <w:rFonts w:cs="Times New Roman" w:ascii="Times New Roman" w:hAnsi="Times New Roman"/>
          <w:i/>
          <w:iCs/>
          <w:sz w:val="16"/>
          <w:szCs w:val="24"/>
        </w:rPr>
        <w:t>The Crisis Facing Higher Education and What Can Be Done About It</w:t>
      </w:r>
      <w:r>
        <w:rPr>
          <w:rFonts w:cs="Times New Roman" w:ascii="Times New Roman" w:hAnsi="Times New Roman"/>
          <w:sz w:val="16"/>
          <w:szCs w:val="24"/>
        </w:rPr>
        <w:t>. The Elephant. https://www.theelephant.info/ideas/2020/03/12/the-crisis-facing-higher-education-and-what-can-be-done-about-it/.</w:t>
      </w:r>
    </w:p>
    <w:p>
      <w:pPr>
        <w:pStyle w:val="Normal"/>
        <w:spacing w:lineRule="auto" w:line="240" w:before="0" w:after="0"/>
        <w:ind w:left="357" w:hanging="357"/>
        <w:jc w:val="both"/>
        <w:rPr>
          <w:rFonts w:ascii="Times New Roman" w:hAnsi="Times New Roman" w:eastAsia="PMingLiU" w:cs="Times New Roman"/>
          <w:sz w:val="16"/>
          <w:szCs w:val="16"/>
          <w:lang w:val="en-US"/>
        </w:rPr>
      </w:pPr>
      <w:r>
        <w:rPr/>
      </w:r>
      <w:r>
        <w:rPr/>
        <w:fldChar w:fldCharType="end"/>
      </w:r>
    </w:p>
    <w:sectPr>
      <w:type w:val="nextPage"/>
      <w:pgSz w:w="12240" w:h="15840"/>
      <w:pgMar w:left="1440" w:right="1440" w:header="0" w:top="1276"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Bookman Old Styl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630" w:hanging="360"/>
      </w:pPr>
    </w:lvl>
    <w:lvl w:ilvl="1">
      <w:start w:val="1"/>
      <w:numFmt w:val="lowerLetter"/>
      <w:lvlText w:val="%2."/>
      <w:lvlJc w:val="left"/>
      <w:pPr>
        <w:tabs>
          <w:tab w:val="num" w:pos="0"/>
        </w:tabs>
        <w:ind w:left="1350" w:hanging="360"/>
      </w:pPr>
    </w:lvl>
    <w:lvl w:ilvl="2">
      <w:start w:val="1"/>
      <w:numFmt w:val="lowerRoman"/>
      <w:lvlText w:val="%3."/>
      <w:lvlJc w:val="right"/>
      <w:pPr>
        <w:tabs>
          <w:tab w:val="num" w:pos="0"/>
        </w:tabs>
        <w:ind w:left="2070" w:hanging="180"/>
      </w:pPr>
    </w:lvl>
    <w:lvl w:ilvl="3">
      <w:start w:val="1"/>
      <w:numFmt w:val="decimal"/>
      <w:lvlText w:val="%4."/>
      <w:lvlJc w:val="left"/>
      <w:pPr>
        <w:tabs>
          <w:tab w:val="num" w:pos="0"/>
        </w:tabs>
        <w:ind w:left="2790" w:hanging="360"/>
      </w:pPr>
    </w:lvl>
    <w:lvl w:ilvl="4">
      <w:start w:val="1"/>
      <w:numFmt w:val="lowerLetter"/>
      <w:lvlText w:val="%5."/>
      <w:lvlJc w:val="left"/>
      <w:pPr>
        <w:tabs>
          <w:tab w:val="num" w:pos="0"/>
        </w:tabs>
        <w:ind w:left="3510" w:hanging="360"/>
      </w:pPr>
    </w:lvl>
    <w:lvl w:ilvl="5">
      <w:start w:val="1"/>
      <w:numFmt w:val="lowerRoman"/>
      <w:lvlText w:val="%6."/>
      <w:lvlJc w:val="right"/>
      <w:pPr>
        <w:tabs>
          <w:tab w:val="num" w:pos="0"/>
        </w:tabs>
        <w:ind w:left="4230" w:hanging="180"/>
      </w:pPr>
    </w:lvl>
    <w:lvl w:ilvl="6">
      <w:start w:val="1"/>
      <w:numFmt w:val="decimal"/>
      <w:lvlText w:val="%7."/>
      <w:lvlJc w:val="left"/>
      <w:pPr>
        <w:tabs>
          <w:tab w:val="num" w:pos="0"/>
        </w:tabs>
        <w:ind w:left="4950" w:hanging="360"/>
      </w:pPr>
    </w:lvl>
    <w:lvl w:ilvl="7">
      <w:start w:val="1"/>
      <w:numFmt w:val="lowerLetter"/>
      <w:lvlText w:val="%8."/>
      <w:lvlJc w:val="left"/>
      <w:pPr>
        <w:tabs>
          <w:tab w:val="num" w:pos="0"/>
        </w:tabs>
        <w:ind w:left="5670" w:hanging="360"/>
      </w:pPr>
    </w:lvl>
    <w:lvl w:ilvl="8">
      <w:start w:val="1"/>
      <w:numFmt w:val="lowerRoman"/>
      <w:lvlText w:val="%9."/>
      <w:lvlJc w:val="right"/>
      <w:pPr>
        <w:tabs>
          <w:tab w:val="num" w:pos="0"/>
        </w:tabs>
        <w:ind w:left="6390" w:hanging="180"/>
      </w:pPr>
    </w:lvl>
  </w:abstractNum>
  <w:abstractNum w:abstractNumId="2">
    <w:lvl w:ilvl="0">
      <w:start w:val="1"/>
      <w:numFmt w:val="upperLetter"/>
      <w:lvlText w:val="%1."/>
      <w:lvlJc w:val="left"/>
      <w:pPr>
        <w:tabs>
          <w:tab w:val="num" w:pos="0"/>
        </w:tabs>
        <w:ind w:left="630" w:hanging="360"/>
      </w:pPr>
    </w:lvl>
    <w:lvl w:ilvl="1">
      <w:start w:val="1"/>
      <w:numFmt w:val="lowerLetter"/>
      <w:lvlText w:val="%2."/>
      <w:lvlJc w:val="left"/>
      <w:pPr>
        <w:tabs>
          <w:tab w:val="num" w:pos="0"/>
        </w:tabs>
        <w:ind w:left="1350" w:hanging="360"/>
      </w:pPr>
    </w:lvl>
    <w:lvl w:ilvl="2">
      <w:start w:val="1"/>
      <w:numFmt w:val="lowerRoman"/>
      <w:lvlText w:val="%3."/>
      <w:lvlJc w:val="right"/>
      <w:pPr>
        <w:tabs>
          <w:tab w:val="num" w:pos="0"/>
        </w:tabs>
        <w:ind w:left="2070" w:hanging="180"/>
      </w:pPr>
    </w:lvl>
    <w:lvl w:ilvl="3">
      <w:start w:val="1"/>
      <w:numFmt w:val="decimal"/>
      <w:lvlText w:val="%4."/>
      <w:lvlJc w:val="left"/>
      <w:pPr>
        <w:tabs>
          <w:tab w:val="num" w:pos="0"/>
        </w:tabs>
        <w:ind w:left="2790" w:hanging="360"/>
      </w:pPr>
    </w:lvl>
    <w:lvl w:ilvl="4">
      <w:start w:val="1"/>
      <w:numFmt w:val="lowerLetter"/>
      <w:lvlText w:val="%5."/>
      <w:lvlJc w:val="left"/>
      <w:pPr>
        <w:tabs>
          <w:tab w:val="num" w:pos="0"/>
        </w:tabs>
        <w:ind w:left="3510" w:hanging="360"/>
      </w:pPr>
    </w:lvl>
    <w:lvl w:ilvl="5">
      <w:start w:val="1"/>
      <w:numFmt w:val="lowerRoman"/>
      <w:lvlText w:val="%6."/>
      <w:lvlJc w:val="right"/>
      <w:pPr>
        <w:tabs>
          <w:tab w:val="num" w:pos="0"/>
        </w:tabs>
        <w:ind w:left="4230" w:hanging="180"/>
      </w:pPr>
    </w:lvl>
    <w:lvl w:ilvl="6">
      <w:start w:val="1"/>
      <w:numFmt w:val="decimal"/>
      <w:lvlText w:val="%7."/>
      <w:lvlJc w:val="left"/>
      <w:pPr>
        <w:tabs>
          <w:tab w:val="num" w:pos="0"/>
        </w:tabs>
        <w:ind w:left="4950" w:hanging="360"/>
      </w:pPr>
    </w:lvl>
    <w:lvl w:ilvl="7">
      <w:start w:val="1"/>
      <w:numFmt w:val="lowerLetter"/>
      <w:lvlText w:val="%8."/>
      <w:lvlJc w:val="left"/>
      <w:pPr>
        <w:tabs>
          <w:tab w:val="num" w:pos="0"/>
        </w:tabs>
        <w:ind w:left="5670" w:hanging="360"/>
      </w:pPr>
    </w:lvl>
    <w:lvl w:ilvl="8">
      <w:start w:val="1"/>
      <w:numFmt w:val="lowerRoman"/>
      <w:lvlText w:val="%9."/>
      <w:lvlJc w:val="right"/>
      <w:pPr>
        <w:tabs>
          <w:tab w:val="num" w:pos="0"/>
        </w:tabs>
        <w:ind w:left="6390" w:hanging="180"/>
      </w:pPr>
    </w:lvl>
  </w:abstractNum>
  <w:abstractNum w:abstractNumId="3">
    <w:lvl w:ilvl="0">
      <w:start w:val="1"/>
      <w:numFmt w:val="upperLetter"/>
      <w:lvlText w:val="%1."/>
      <w:lvlJc w:val="left"/>
      <w:pPr>
        <w:tabs>
          <w:tab w:val="num" w:pos="0"/>
        </w:tabs>
        <w:ind w:left="630" w:hanging="360"/>
      </w:pPr>
    </w:lvl>
    <w:lvl w:ilvl="1">
      <w:start w:val="1"/>
      <w:numFmt w:val="lowerLetter"/>
      <w:lvlText w:val="%2."/>
      <w:lvlJc w:val="left"/>
      <w:pPr>
        <w:tabs>
          <w:tab w:val="num" w:pos="0"/>
        </w:tabs>
        <w:ind w:left="1350" w:hanging="360"/>
      </w:pPr>
    </w:lvl>
    <w:lvl w:ilvl="2">
      <w:start w:val="1"/>
      <w:numFmt w:val="lowerRoman"/>
      <w:lvlText w:val="%3."/>
      <w:lvlJc w:val="right"/>
      <w:pPr>
        <w:tabs>
          <w:tab w:val="num" w:pos="0"/>
        </w:tabs>
        <w:ind w:left="2070" w:hanging="180"/>
      </w:pPr>
    </w:lvl>
    <w:lvl w:ilvl="3">
      <w:start w:val="1"/>
      <w:numFmt w:val="decimal"/>
      <w:lvlText w:val="%4."/>
      <w:lvlJc w:val="left"/>
      <w:pPr>
        <w:tabs>
          <w:tab w:val="num" w:pos="0"/>
        </w:tabs>
        <w:ind w:left="2790" w:hanging="360"/>
      </w:pPr>
    </w:lvl>
    <w:lvl w:ilvl="4">
      <w:start w:val="1"/>
      <w:numFmt w:val="lowerLetter"/>
      <w:lvlText w:val="%5."/>
      <w:lvlJc w:val="left"/>
      <w:pPr>
        <w:tabs>
          <w:tab w:val="num" w:pos="0"/>
        </w:tabs>
        <w:ind w:left="3510" w:hanging="360"/>
      </w:pPr>
    </w:lvl>
    <w:lvl w:ilvl="5">
      <w:start w:val="1"/>
      <w:numFmt w:val="lowerRoman"/>
      <w:lvlText w:val="%6."/>
      <w:lvlJc w:val="right"/>
      <w:pPr>
        <w:tabs>
          <w:tab w:val="num" w:pos="0"/>
        </w:tabs>
        <w:ind w:left="4230" w:hanging="180"/>
      </w:pPr>
    </w:lvl>
    <w:lvl w:ilvl="6">
      <w:start w:val="1"/>
      <w:numFmt w:val="decimal"/>
      <w:lvlText w:val="%7."/>
      <w:lvlJc w:val="left"/>
      <w:pPr>
        <w:tabs>
          <w:tab w:val="num" w:pos="0"/>
        </w:tabs>
        <w:ind w:left="4950" w:hanging="360"/>
      </w:pPr>
    </w:lvl>
    <w:lvl w:ilvl="7">
      <w:start w:val="1"/>
      <w:numFmt w:val="lowerLetter"/>
      <w:lvlText w:val="%8."/>
      <w:lvlJc w:val="left"/>
      <w:pPr>
        <w:tabs>
          <w:tab w:val="num" w:pos="0"/>
        </w:tabs>
        <w:ind w:left="5670" w:hanging="360"/>
      </w:pPr>
    </w:lvl>
    <w:lvl w:ilvl="8">
      <w:start w:val="1"/>
      <w:numFmt w:val="lowerRoman"/>
      <w:lvlText w:val="%9."/>
      <w:lvlJc w:val="right"/>
      <w:pPr>
        <w:tabs>
          <w:tab w:val="num" w:pos="0"/>
        </w:tabs>
        <w:ind w:left="6390" w:hanging="180"/>
      </w:pPr>
    </w:lvl>
  </w:abstractNum>
  <w:abstractNum w:abstractNumId="4">
    <w:lvl w:ilvl="0">
      <w:start w:val="1"/>
      <w:numFmt w:val="decimal"/>
      <w:lvlText w:val="%1)"/>
      <w:lvlJc w:val="left"/>
      <w:pPr>
        <w:tabs>
          <w:tab w:val="num" w:pos="0"/>
        </w:tabs>
        <w:ind w:left="564" w:hanging="360"/>
      </w:pPr>
    </w:lvl>
    <w:lvl w:ilvl="1">
      <w:start w:val="1"/>
      <w:numFmt w:val="lowerLetter"/>
      <w:lvlText w:val="%2."/>
      <w:lvlJc w:val="left"/>
      <w:pPr>
        <w:tabs>
          <w:tab w:val="num" w:pos="0"/>
        </w:tabs>
        <w:ind w:left="1284" w:hanging="360"/>
      </w:pPr>
    </w:lvl>
    <w:lvl w:ilvl="2">
      <w:start w:val="1"/>
      <w:numFmt w:val="lowerRoman"/>
      <w:lvlText w:val="%3."/>
      <w:lvlJc w:val="right"/>
      <w:pPr>
        <w:tabs>
          <w:tab w:val="num" w:pos="0"/>
        </w:tabs>
        <w:ind w:left="2004" w:hanging="180"/>
      </w:pPr>
    </w:lvl>
    <w:lvl w:ilvl="3">
      <w:start w:val="1"/>
      <w:numFmt w:val="decimal"/>
      <w:lvlText w:val="%4."/>
      <w:lvlJc w:val="left"/>
      <w:pPr>
        <w:tabs>
          <w:tab w:val="num" w:pos="0"/>
        </w:tabs>
        <w:ind w:left="2724" w:hanging="360"/>
      </w:pPr>
    </w:lvl>
    <w:lvl w:ilvl="4">
      <w:start w:val="1"/>
      <w:numFmt w:val="lowerLetter"/>
      <w:lvlText w:val="%5."/>
      <w:lvlJc w:val="left"/>
      <w:pPr>
        <w:tabs>
          <w:tab w:val="num" w:pos="0"/>
        </w:tabs>
        <w:ind w:left="3444" w:hanging="360"/>
      </w:pPr>
    </w:lvl>
    <w:lvl w:ilvl="5">
      <w:start w:val="1"/>
      <w:numFmt w:val="lowerRoman"/>
      <w:lvlText w:val="%6."/>
      <w:lvlJc w:val="right"/>
      <w:pPr>
        <w:tabs>
          <w:tab w:val="num" w:pos="0"/>
        </w:tabs>
        <w:ind w:left="4164" w:hanging="180"/>
      </w:pPr>
    </w:lvl>
    <w:lvl w:ilvl="6">
      <w:start w:val="1"/>
      <w:numFmt w:val="decimal"/>
      <w:lvlText w:val="%7."/>
      <w:lvlJc w:val="left"/>
      <w:pPr>
        <w:tabs>
          <w:tab w:val="num" w:pos="0"/>
        </w:tabs>
        <w:ind w:left="4884" w:hanging="360"/>
      </w:pPr>
    </w:lvl>
    <w:lvl w:ilvl="7">
      <w:start w:val="1"/>
      <w:numFmt w:val="lowerLetter"/>
      <w:lvlText w:val="%8."/>
      <w:lvlJc w:val="left"/>
      <w:pPr>
        <w:tabs>
          <w:tab w:val="num" w:pos="0"/>
        </w:tabs>
        <w:ind w:left="5604" w:hanging="360"/>
      </w:pPr>
    </w:lvl>
    <w:lvl w:ilvl="8">
      <w:start w:val="1"/>
      <w:numFmt w:val="lowerRoman"/>
      <w:lvlText w:val="%9."/>
      <w:lvlJc w:val="right"/>
      <w:pPr>
        <w:tabs>
          <w:tab w:val="num" w:pos="0"/>
        </w:tabs>
        <w:ind w:left="6324"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dc72be"/>
    <w:rPr>
      <w:sz w:val="20"/>
      <w:szCs w:val="20"/>
      <w:lang w:val="en-GB"/>
    </w:rPr>
  </w:style>
  <w:style w:type="character" w:styleId="FootnoteCharacters">
    <w:name w:val="Footnote Characters"/>
    <w:basedOn w:val="DefaultParagraphFont"/>
    <w:semiHidden/>
    <w:qFormat/>
    <w:rsid w:val="00dc72be"/>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dc72be"/>
    <w:rPr>
      <w:rFonts w:ascii="Tahoma" w:hAnsi="Tahoma" w:cs="Tahoma"/>
      <w:sz w:val="16"/>
      <w:szCs w:val="16"/>
      <w:lang w:val="en-GB"/>
    </w:rPr>
  </w:style>
  <w:style w:type="character" w:styleId="EndnoteCharacters">
    <w:name w:val="Endnote Characters"/>
    <w:basedOn w:val="DefaultParagraphFont"/>
    <w:uiPriority w:val="99"/>
    <w:semiHidden/>
    <w:unhideWhenUsed/>
    <w:qFormat/>
    <w:rsid w:val="004c22c0"/>
    <w:rPr>
      <w:vertAlign w:val="superscript"/>
    </w:rPr>
  </w:style>
  <w:style w:type="character" w:styleId="EndnoteAnchor">
    <w:name w:val="Endnote Anchor"/>
    <w:rPr>
      <w:vertAlign w:val="superscript"/>
    </w:rPr>
  </w:style>
  <w:style w:type="character" w:styleId="NoSpacingChar" w:customStyle="1">
    <w:name w:val="No Spacing Char"/>
    <w:link w:val="NoSpacing"/>
    <w:uiPriority w:val="1"/>
    <w:qFormat/>
    <w:rsid w:val="00d1324e"/>
    <w:rPr>
      <w:lang w:val="en-GB"/>
    </w:rPr>
  </w:style>
  <w:style w:type="character" w:styleId="HeaderChar" w:customStyle="1">
    <w:name w:val="Header Char"/>
    <w:basedOn w:val="DefaultParagraphFont"/>
    <w:link w:val="Header"/>
    <w:uiPriority w:val="99"/>
    <w:qFormat/>
    <w:rsid w:val="002d6eb9"/>
    <w:rPr>
      <w:lang w:val="en-GB"/>
    </w:rPr>
  </w:style>
  <w:style w:type="character" w:styleId="FooterChar" w:customStyle="1">
    <w:name w:val="Footer Char"/>
    <w:basedOn w:val="DefaultParagraphFont"/>
    <w:link w:val="Footer"/>
    <w:uiPriority w:val="99"/>
    <w:qFormat/>
    <w:rsid w:val="002d6eb9"/>
    <w:rPr>
      <w:lang w:val="en-GB"/>
    </w:rPr>
  </w:style>
  <w:style w:type="character" w:styleId="PlaceholderText">
    <w:name w:val="Placeholder Text"/>
    <w:basedOn w:val="DefaultParagraphFont"/>
    <w:uiPriority w:val="99"/>
    <w:semiHidden/>
    <w:qFormat/>
    <w:rsid w:val="0039402c"/>
    <w:rPr>
      <w:color w:val="808080"/>
    </w:rPr>
  </w:style>
  <w:style w:type="character" w:styleId="Strong">
    <w:name w:val="Strong"/>
    <w:basedOn w:val="DefaultParagraphFont"/>
    <w:uiPriority w:val="22"/>
    <w:qFormat/>
    <w:rsid w:val="00d051cf"/>
    <w:rPr>
      <w:b/>
      <w:bCs/>
    </w:rPr>
  </w:style>
  <w:style w:type="character" w:styleId="Emphasis">
    <w:name w:val="Emphasis"/>
    <w:basedOn w:val="DefaultParagraphFont"/>
    <w:uiPriority w:val="20"/>
    <w:qFormat/>
    <w:rsid w:val="00d051cf"/>
    <w:rPr>
      <w:i/>
      <w:iCs/>
    </w:rPr>
  </w:style>
  <w:style w:type="character" w:styleId="Annotationreference">
    <w:name w:val="annotation reference"/>
    <w:basedOn w:val="DefaultParagraphFont"/>
    <w:uiPriority w:val="99"/>
    <w:semiHidden/>
    <w:unhideWhenUsed/>
    <w:qFormat/>
    <w:rsid w:val="005c191d"/>
    <w:rPr>
      <w:sz w:val="16"/>
      <w:szCs w:val="16"/>
    </w:rPr>
  </w:style>
  <w:style w:type="character" w:styleId="CommentTextChar" w:customStyle="1">
    <w:name w:val="Comment Text Char"/>
    <w:basedOn w:val="DefaultParagraphFont"/>
    <w:link w:val="CommentText"/>
    <w:uiPriority w:val="99"/>
    <w:qFormat/>
    <w:rsid w:val="005c191d"/>
    <w:rPr>
      <w:sz w:val="20"/>
      <w:szCs w:val="20"/>
      <w:lang w:val="en-GB"/>
    </w:rPr>
  </w:style>
  <w:style w:type="character" w:styleId="CommentSubjectChar" w:customStyle="1">
    <w:name w:val="Comment Subject Char"/>
    <w:basedOn w:val="CommentTextChar"/>
    <w:link w:val="CommentSubject"/>
    <w:uiPriority w:val="99"/>
    <w:semiHidden/>
    <w:qFormat/>
    <w:rsid w:val="005c191d"/>
    <w:rPr>
      <w:b/>
      <w:bCs/>
      <w:sz w:val="20"/>
      <w:szCs w:val="20"/>
      <w:lang w:val="en-GB"/>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FootnoteTextChar"/>
    <w:uiPriority w:val="99"/>
    <w:semiHidden/>
    <w:unhideWhenUsed/>
    <w:rsid w:val="00dc72be"/>
    <w:pPr>
      <w:spacing w:lineRule="auto" w:line="240" w:before="0" w:after="0"/>
    </w:pPr>
    <w:rPr>
      <w:sz w:val="20"/>
      <w:szCs w:val="20"/>
    </w:rPr>
  </w:style>
  <w:style w:type="paragraph" w:styleId="BalloonText">
    <w:name w:val="Balloon Text"/>
    <w:basedOn w:val="Normal"/>
    <w:link w:val="BalloonTextChar"/>
    <w:uiPriority w:val="99"/>
    <w:semiHidden/>
    <w:unhideWhenUsed/>
    <w:qFormat/>
    <w:rsid w:val="00dc72be"/>
    <w:pPr>
      <w:spacing w:lineRule="auto" w:line="240" w:before="0" w:after="0"/>
    </w:pPr>
    <w:rPr>
      <w:rFonts w:ascii="Tahoma" w:hAnsi="Tahoma" w:cs="Tahoma"/>
      <w:sz w:val="16"/>
      <w:szCs w:val="16"/>
    </w:rPr>
  </w:style>
  <w:style w:type="paragraph" w:styleId="NoSpacing">
    <w:name w:val="No Spacing"/>
    <w:link w:val="NoSpacingChar"/>
    <w:uiPriority w:val="1"/>
    <w:qFormat/>
    <w:rsid w:val="00f32c3b"/>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ListParagraph">
    <w:name w:val="List Paragraph"/>
    <w:basedOn w:val="Normal"/>
    <w:uiPriority w:val="1"/>
    <w:qFormat/>
    <w:rsid w:val="00d1324e"/>
    <w:pPr>
      <w:spacing w:lineRule="auto" w:line="480" w:before="240" w:after="240"/>
      <w:ind w:left="720" w:hanging="0"/>
      <w:contextualSpacing/>
      <w:jc w:val="both"/>
    </w:pPr>
    <w:rPr>
      <w:rFonts w:ascii="Times New Roman" w:hAnsi="Times New Roman"/>
      <w:sz w:val="24"/>
    </w:rPr>
  </w:style>
  <w:style w:type="paragraph" w:styleId="Caption1">
    <w:name w:val="caption"/>
    <w:basedOn w:val="Normal"/>
    <w:next w:val="Normal"/>
    <w:uiPriority w:val="35"/>
    <w:unhideWhenUsed/>
    <w:qFormat/>
    <w:rsid w:val="00fa4b54"/>
    <w:pPr>
      <w:spacing w:lineRule="auto" w:line="360" w:before="0" w:after="0"/>
      <w:jc w:val="both"/>
    </w:pPr>
    <w:rPr>
      <w:rFonts w:ascii="Times New Roman" w:hAnsi="Times New Roman" w:cs="Times New Roman"/>
      <w:b/>
      <w:iCs/>
      <w:sz w:val="24"/>
      <w:szCs w:val="24"/>
      <w:lang w:val="en-US"/>
    </w:rPr>
  </w:style>
  <w:style w:type="paragraph" w:styleId="Default" w:customStyle="1">
    <w:name w:val="Default"/>
    <w:qFormat/>
    <w:rsid w:val="00fa4b54"/>
    <w:pPr>
      <w:widowControl/>
      <w:suppressAutoHyphens w:val="true"/>
      <w:bidi w:val="0"/>
      <w:spacing w:lineRule="auto" w:line="360" w:beforeAutospacing="1" w:afterAutospacing="1"/>
      <w:jc w:val="both"/>
    </w:pPr>
    <w:rPr>
      <w:rFonts w:ascii="Times New Roman" w:hAnsi="Times New Roman" w:eastAsia="Calibri" w:cs="Times New Roman"/>
      <w:color w:val="000000"/>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2d6eb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d6eb9"/>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unhideWhenUsed/>
    <w:qFormat/>
    <w:rsid w:val="005c191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c191d"/>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1324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3A99E-F8B7-45E3-BD7D-5B146863E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Application>LibreOffice/6.4.7.2$Linux_X86_64 LibreOffice_project/40$Build-2</Application>
  <Pages>11</Pages>
  <Words>6728</Words>
  <Characters>38459</Characters>
  <CharactersWithSpaces>44712</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2023-10-10T18:30:00Z</dcterms:created>
  <dc:creator>Beatrice Anyuki</dc:creator>
  <dc:description/>
  <dc:language>en-US</dc:language>
  <cp:lastModifiedBy/>
  <dcterms:modified xsi:type="dcterms:W3CDTF">2024-03-28T11:16:54Z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GrammarlyDocumentId">
    <vt:lpwstr>dcbf00830acd1e372f3252257e6278537d7d8696ebb05da11aa8953c3850f65c</vt:lpwstr>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Recent Style Id 0_1">
    <vt:lpwstr>http://www.zotero.org/styles/american-medical-association</vt:lpwstr>
  </property>
  <property fmtid="{D5CDD505-2E9C-101B-9397-08002B2CF9AE}" pid="10" name="Mendeley Recent Style Id 1_1">
    <vt:lpwstr>http://www.zotero.org/styles/american-political-science-association</vt:lpwstr>
  </property>
  <property fmtid="{D5CDD505-2E9C-101B-9397-08002B2CF9AE}" pid="11" name="Mendeley Recent Style Id 2_1">
    <vt:lpwstr>http://www.zotero.org/styles/apa</vt:lpwstr>
  </property>
  <property fmtid="{D5CDD505-2E9C-101B-9397-08002B2CF9AE}" pid="12" name="Mendeley Recent Style Id 3_1">
    <vt:lpwstr>http://www.zotero.org/styles/american-sociological-association</vt:lpwstr>
  </property>
  <property fmtid="{D5CDD505-2E9C-101B-9397-08002B2CF9AE}" pid="13" name="Mendeley Recent Style Id 4_1">
    <vt:lpwstr>http://www.zotero.org/styles/chicago-author-date</vt:lpwstr>
  </property>
  <property fmtid="{D5CDD505-2E9C-101B-9397-08002B2CF9AE}" pid="14" name="Mendeley Recent Style Id 5_1">
    <vt:lpwstr>http://www.zotero.org/styles/harvard-cite-them-right</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Medical Association 11th edition</vt:lpwstr>
  </property>
  <property fmtid="{D5CDD505-2E9C-101B-9397-08002B2CF9AE}" pid="20" name="Mendeley Recent Style Name 1_1">
    <vt:lpwstr>American Political Science Association</vt:lpwstr>
  </property>
  <property fmtid="{D5CDD505-2E9C-101B-9397-08002B2CF9AE}" pid="21" name="Mendeley Recent Style Name 2_1">
    <vt:lpwstr>American Psychological Association 7th edition</vt:lpwstr>
  </property>
  <property fmtid="{D5CDD505-2E9C-101B-9397-08002B2CF9AE}" pid="22" name="Mendeley Recent Style Name 3_1">
    <vt:lpwstr>American Sociological Association 6th edition</vt:lpwstr>
  </property>
  <property fmtid="{D5CDD505-2E9C-101B-9397-08002B2CF9AE}" pid="23" name="Mendeley Recent Style Name 4_1">
    <vt:lpwstr>Chicago Manual of Style 17th edition (author-date)</vt:lpwstr>
  </property>
  <property fmtid="{D5CDD505-2E9C-101B-9397-08002B2CF9AE}" pid="24" name="Mendeley Recent Style Name 5_1">
    <vt:lpwstr>Cite Them Right 11th edition - Harvard</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9th edition</vt:lpwstr>
  </property>
  <property fmtid="{D5CDD505-2E9C-101B-9397-08002B2CF9AE}" pid="28" name="Mendeley Recent Style Name 9_1">
    <vt:lpwstr>Nature</vt:lpwstr>
  </property>
  <property fmtid="{D5CDD505-2E9C-101B-9397-08002B2CF9AE}" pid="29" name="Mendeley Unique User Id_1">
    <vt:lpwstr>4b0e9743-07cd-3301-9e21-e1593523ceb8</vt:lpwstr>
  </property>
  <property fmtid="{D5CDD505-2E9C-101B-9397-08002B2CF9AE}" pid="30" name="ScaleCrop">
    <vt:bool>0</vt:bool>
  </property>
  <property fmtid="{D5CDD505-2E9C-101B-9397-08002B2CF9AE}" pid="31" name="ShareDoc">
    <vt:bool>0</vt:bool>
  </property>
</Properties>
</file>