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header2.xml.rels" ContentType="application/vnd.openxmlformats-package.relationships+xml"/>
  <Override PartName="/word/_rels/footer2.xml.rels" ContentType="application/vnd.openxmlformats-package.relationships+xml"/>
  <Override PartName="/word/_rels/footer4.xml.rels" ContentType="application/vnd.openxmlformats-package.relationships+xml"/>
  <Override PartName="/word/numbering.xml" ContentType="application/vnd.openxmlformats-officedocument.wordprocessingml.numbering+xml"/>
  <Override PartName="/word/footer4.xml" ContentType="application/vnd.openxmlformats-officedocument.wordprocessingml.footer+xml"/>
  <Override PartName="/word/theme/theme1.xml" ContentType="application/vnd.openxmlformats-officedocument.theme+xml"/>
  <Override PartName="/word/styles.xml" ContentType="application/vnd.openxmlformats-officedocument.wordprocessingml.styles+xml"/>
  <Override PartName="/word/header1.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tif" ContentType="image/tiff"/>
  <Override PartName="/word/media/image5.tif" ContentType="image/tiff"/>
  <Override PartName="/word/media/image6.tif" ContentType="image/tiff"/>
  <Override PartName="/word/media/image7.png" ContentType="image/png"/>
  <Override PartName="/word/fontTable.xml" ContentType="application/vnd.openxmlformats-officedocument.wordprocessingml.fontTable+xml"/>
  <Override PartName="/word/header4.xml" ContentType="application/vnd.openxmlformats-officedocument.wordprocessingml.header+xml"/>
  <Override PartName="/word/footer3.xml" ContentType="application/vnd.openxmlformats-officedocument.wordprocessingml.footer+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Bdr>
          <w:top w:val="single" w:sz="4" w:space="1" w:color="000000"/>
        </w:pBdr>
        <w:tabs>
          <w:tab w:val="clear" w:pos="719"/>
          <w:tab w:val="left" w:pos="440" w:leader="none"/>
        </w:tabs>
        <w:spacing w:before="0" w:after="0"/>
        <w:jc w:val="left"/>
        <w:rPr>
          <w:rFonts w:ascii="Minion pro" w:hAnsi="Minion pro"/>
          <w:sz w:val="14"/>
          <w:szCs w:val="14"/>
        </w:rPr>
      </w:pPr>
      <w:r>
        <w:rPr>
          <w:rFonts w:ascii="Minion pro" w:hAnsi="Minion pro"/>
          <w:sz w:val="14"/>
          <w:szCs w:val="14"/>
        </w:rPr>
        <w:t>DOI: XXXXX</w:t>
      </w:r>
    </w:p>
    <w:p>
      <w:pPr>
        <w:pStyle w:val="Normal"/>
        <w:tabs>
          <w:tab w:val="clear" w:pos="719"/>
          <w:tab w:val="left" w:pos="440" w:leader="none"/>
        </w:tabs>
        <w:spacing w:before="0" w:after="0"/>
        <w:jc w:val="left"/>
        <w:rPr>
          <w:rFonts w:ascii="Minion pro" w:hAnsi="Minion pro"/>
          <w:b/>
          <w:b/>
          <w:bCs/>
          <w:i/>
          <w:i/>
          <w:iCs/>
          <w:sz w:val="18"/>
          <w:szCs w:val="18"/>
        </w:rPr>
      </w:pPr>
      <w:r>
        <w:rPr>
          <w:rFonts w:ascii="Minion pro" w:hAnsi="Minion pro"/>
          <w:b/>
          <w:bCs/>
          <w:i/>
          <w:iCs/>
          <w:sz w:val="18"/>
          <w:szCs w:val="18"/>
        </w:rPr>
      </w:r>
    </w:p>
    <w:p>
      <w:pPr>
        <w:pStyle w:val="Normal"/>
        <w:tabs>
          <w:tab w:val="clear" w:pos="719"/>
          <w:tab w:val="left" w:pos="440" w:leader="none"/>
        </w:tabs>
        <w:spacing w:before="0" w:after="0"/>
        <w:jc w:val="left"/>
        <w:rPr>
          <w:rFonts w:ascii="Minion pro" w:hAnsi="Minion pro"/>
          <w:b/>
          <w:b/>
          <w:bCs/>
          <w:i/>
          <w:i/>
          <w:iCs/>
          <w:sz w:val="18"/>
          <w:szCs w:val="18"/>
        </w:rPr>
      </w:pPr>
      <w:r>
        <w:rPr>
          <w:rFonts w:ascii="Minion pro" w:hAnsi="Minion pro"/>
          <w:b/>
          <w:bCs/>
          <w:i/>
          <w:iCs/>
          <w:sz w:val="18"/>
          <w:szCs w:val="18"/>
        </w:rPr>
        <w:t>Type: Article</w:t>
      </w:r>
    </w:p>
    <w:p>
      <w:pPr>
        <w:pStyle w:val="Normal"/>
        <w:tabs>
          <w:tab w:val="clear" w:pos="719"/>
          <w:tab w:val="left" w:pos="440" w:leader="none"/>
        </w:tabs>
        <w:spacing w:before="360" w:after="240"/>
        <w:jc w:val="left"/>
        <w:rPr>
          <w:rFonts w:ascii="Minion pro" w:hAnsi="Minion pro"/>
          <w:b/>
          <w:b/>
          <w:kern w:val="2"/>
          <w:sz w:val="28"/>
          <w:szCs w:val="28"/>
        </w:rPr>
      </w:pPr>
      <w:r>
        <w:rPr>
          <w:rFonts w:ascii="Minion pro" w:hAnsi="Minion pro"/>
          <w:b/>
          <w:kern w:val="2"/>
          <w:sz w:val="28"/>
          <w:szCs w:val="28"/>
        </w:rPr>
        <w:t>Medium-Term Results of Native Pulmonary Valve Stenosis with and without Supravalvular Obstruction in Childhood</w:t>
      </w:r>
      <w:bookmarkStart w:id="0" w:name="_Hlk54099856"/>
      <w:bookmarkEnd w:id="0"/>
    </w:p>
    <w:p>
      <w:pPr>
        <w:pStyle w:val="Author"/>
        <w:keepNext w:val="false"/>
        <w:widowControl w:val="false"/>
        <w:tabs>
          <w:tab w:val="clear" w:pos="450"/>
          <w:tab w:val="left" w:pos="440" w:leader="none"/>
        </w:tabs>
        <w:snapToGrid w:val="false"/>
        <w:spacing w:before="0" w:after="240"/>
        <w:jc w:val="left"/>
        <w:rPr>
          <w:rFonts w:ascii="Minion pro" w:hAnsi="Minion pro"/>
          <w:i w:val="false"/>
          <w:i w:val="false"/>
          <w:sz w:val="22"/>
          <w:szCs w:val="22"/>
          <w:vertAlign w:val="superscript"/>
          <w:lang w:val="de-CH"/>
        </w:rPr>
      </w:pPr>
      <w:r>
        <w:rPr>
          <w:rFonts w:ascii="Minion pro" w:hAnsi="Minion pro"/>
          <w:bCs/>
          <w:i w:val="false"/>
          <w:sz w:val="22"/>
          <w:szCs w:val="22"/>
          <w:lang w:val="de-CH"/>
        </w:rPr>
        <w:t>Olivia Lenoir</w:t>
      </w:r>
      <w:r>
        <w:rPr>
          <w:rFonts w:ascii="Minion pro" w:hAnsi="Minion pro"/>
          <w:bCs/>
          <w:i w:val="false"/>
          <w:sz w:val="22"/>
          <w:szCs w:val="22"/>
          <w:vertAlign w:val="superscript"/>
          <w:lang w:val="de-CH"/>
        </w:rPr>
        <w:t>1,2</w:t>
      </w:r>
      <w:r>
        <w:rPr>
          <w:rFonts w:ascii="Minion pro" w:hAnsi="Minion pro"/>
          <w:bCs/>
          <w:i w:val="false"/>
          <w:sz w:val="22"/>
          <w:szCs w:val="22"/>
          <w:lang w:val="de-CH"/>
        </w:rPr>
        <w:t>, Daniel Quandt</w:t>
      </w:r>
      <w:r>
        <w:rPr>
          <w:rFonts w:ascii="Minion pro" w:hAnsi="Minion pro"/>
          <w:bCs/>
          <w:i w:val="false"/>
          <w:sz w:val="22"/>
          <w:szCs w:val="22"/>
          <w:vertAlign w:val="superscript"/>
          <w:lang w:val="de-CH"/>
        </w:rPr>
        <w:t>1,2</w:t>
      </w:r>
      <w:r>
        <w:rPr>
          <w:rFonts w:ascii="Minion pro" w:hAnsi="Minion pro"/>
          <w:bCs/>
          <w:i w:val="false"/>
          <w:sz w:val="22"/>
          <w:szCs w:val="22"/>
          <w:lang w:val="de-CH"/>
        </w:rPr>
        <w:t>, Oliver Kretschmar</w:t>
      </w:r>
      <w:r>
        <w:rPr>
          <w:rFonts w:ascii="Minion pro" w:hAnsi="Minion pro"/>
          <w:bCs/>
          <w:i w:val="false"/>
          <w:sz w:val="22"/>
          <w:szCs w:val="22"/>
          <w:vertAlign w:val="superscript"/>
          <w:lang w:val="de-CH"/>
        </w:rPr>
        <w:t>1,2</w:t>
      </w:r>
      <w:r>
        <w:rPr>
          <w:rFonts w:ascii="Minion pro" w:hAnsi="Minion pro"/>
          <w:bCs/>
          <w:i w:val="false"/>
          <w:sz w:val="22"/>
          <w:szCs w:val="22"/>
          <w:lang w:val="de-CH"/>
        </w:rPr>
        <w:t>, Walter Knirsch</w:t>
      </w:r>
      <w:r>
        <w:rPr>
          <w:rFonts w:ascii="Minion pro" w:hAnsi="Minion pro"/>
          <w:bCs/>
          <w:i w:val="false"/>
          <w:sz w:val="22"/>
          <w:szCs w:val="22"/>
          <w:vertAlign w:val="superscript"/>
          <w:lang w:val="de-CH"/>
        </w:rPr>
        <w:t>1,2,*</w:t>
      </w:r>
    </w:p>
    <w:p>
      <w:pPr>
        <w:pStyle w:val="Normal"/>
        <w:widowControl w:val="false"/>
        <w:tabs>
          <w:tab w:val="clear" w:pos="719"/>
          <w:tab w:val="left" w:pos="440" w:leader="none"/>
        </w:tabs>
        <w:snapToGrid w:val="false"/>
        <w:jc w:val="left"/>
        <w:rPr>
          <w:rFonts w:ascii="Minion pro" w:hAnsi="Minion pro"/>
          <w:sz w:val="18"/>
          <w:szCs w:val="18"/>
        </w:rPr>
      </w:pPr>
      <w:r>
        <w:rPr>
          <w:rFonts w:ascii="Minion pro" w:hAnsi="Minion pro"/>
          <w:sz w:val="18"/>
          <w:szCs w:val="18"/>
          <w:vertAlign w:val="superscript"/>
        </w:rPr>
        <w:t>1</w:t>
      </w:r>
      <w:r>
        <w:rPr>
          <w:rFonts w:ascii="Minion pro" w:hAnsi="Minion pro"/>
          <w:sz w:val="18"/>
          <w:szCs w:val="18"/>
        </w:rPr>
        <w:t>Pediatric Cardiology, Pediatric Heart Center, and Children’s Research Center, University Children’s Hospital Zurich, Zurich, Switzerland</w:t>
      </w:r>
    </w:p>
    <w:p>
      <w:pPr>
        <w:pStyle w:val="Normal"/>
        <w:widowControl w:val="false"/>
        <w:tabs>
          <w:tab w:val="clear" w:pos="719"/>
          <w:tab w:val="left" w:pos="440" w:leader="none"/>
        </w:tabs>
        <w:snapToGrid w:val="false"/>
        <w:jc w:val="left"/>
        <w:rPr>
          <w:rFonts w:ascii="Minion pro" w:hAnsi="Minion pro"/>
          <w:sz w:val="18"/>
          <w:szCs w:val="18"/>
        </w:rPr>
      </w:pPr>
      <w:r>
        <w:rPr>
          <w:rFonts w:ascii="Minion pro" w:hAnsi="Minion pro"/>
          <w:sz w:val="18"/>
          <w:szCs w:val="18"/>
          <w:vertAlign w:val="superscript"/>
        </w:rPr>
        <w:t>2</w:t>
      </w:r>
      <w:r>
        <w:rPr>
          <w:rFonts w:ascii="Minion pro" w:hAnsi="Minion pro"/>
          <w:sz w:val="18"/>
          <w:szCs w:val="18"/>
        </w:rPr>
        <w:t>University of Zurich, Zurich, Switzerland</w:t>
      </w:r>
    </w:p>
    <w:p>
      <w:pPr>
        <w:pStyle w:val="Normal"/>
        <w:widowControl w:val="false"/>
        <w:tabs>
          <w:tab w:val="clear" w:pos="719"/>
          <w:tab w:val="left" w:pos="440" w:leader="none"/>
        </w:tabs>
        <w:snapToGrid w:val="false"/>
        <w:jc w:val="left"/>
        <w:rPr>
          <w:rStyle w:val="InternetLink"/>
          <w:rFonts w:ascii="Minion pro" w:hAnsi="Minion pro"/>
          <w:color w:val="auto"/>
          <w:sz w:val="18"/>
          <w:szCs w:val="18"/>
          <w:u w:val="none"/>
        </w:rPr>
      </w:pPr>
      <w:r>
        <w:rPr>
          <w:rFonts w:ascii="Minion pro" w:hAnsi="Minion pro"/>
          <w:sz w:val="18"/>
          <w:szCs w:val="18"/>
          <w:vertAlign w:val="superscript"/>
        </w:rPr>
        <w:t>*</w:t>
      </w:r>
      <w:r>
        <w:rPr>
          <w:rFonts w:ascii="Minion pro" w:hAnsi="Minion pro"/>
          <w:sz w:val="18"/>
          <w:szCs w:val="18"/>
        </w:rPr>
        <w:t xml:space="preserve">Corresponding Author: Walter Knirsch.   </w:t>
      </w:r>
      <w:hyperlink r:id="rId2">
        <w:r>
          <w:rPr>
            <w:rStyle w:val="InternetLink"/>
            <w:rFonts w:ascii="Minion pro" w:hAnsi="Minion pro"/>
            <w:sz w:val="18"/>
            <w:szCs w:val="18"/>
          </w:rPr>
          <w:t>walter.knirsch@kispi.uzh.ch</w:t>
        </w:r>
      </w:hyperlink>
      <w:hyperlink r:id="rId3">
        <w:r>
          <w:rPr>
            <w:rStyle w:val="InternetLink"/>
            <w:rFonts w:ascii="Minion pro" w:hAnsi="Minion pro"/>
            <w:color w:val="auto"/>
            <w:sz w:val="18"/>
            <w:szCs w:val="18"/>
            <w:u w:val="none"/>
          </w:rPr>
          <w:t xml:space="preserve"> </w:t>
        </w:r>
      </w:hyperlink>
    </w:p>
    <w:p>
      <w:pPr>
        <w:pStyle w:val="Normal"/>
        <w:widowControl w:val="false"/>
        <w:tabs>
          <w:tab w:val="clear" w:pos="719"/>
          <w:tab w:val="left" w:pos="440" w:leader="none"/>
        </w:tabs>
        <w:snapToGrid w:val="false"/>
        <w:jc w:val="left"/>
        <w:rPr>
          <w:rStyle w:val="InternetLink"/>
          <w:rFonts w:ascii="Minion pro" w:hAnsi="Minion pro"/>
          <w:color w:val="auto"/>
          <w:sz w:val="18"/>
          <w:szCs w:val="18"/>
          <w:u w:val="none"/>
        </w:rPr>
      </w:pPr>
      <w:r>
        <w:rPr>
          <w:rFonts w:ascii="Minion pro" w:hAnsi="Minion pro"/>
          <w:sz w:val="18"/>
          <w:szCs w:val="18"/>
        </w:rPr>
        <w:t>Received: 30 March 2021    Accepted: 19 August 2021</w:t>
      </w:r>
    </w:p>
    <w:p>
      <w:pPr>
        <w:pStyle w:val="Normal"/>
        <w:widowControl w:val="false"/>
        <w:tabs>
          <w:tab w:val="clear" w:pos="719"/>
          <w:tab w:val="left" w:pos="440" w:leader="none"/>
        </w:tabs>
        <w:snapToGrid w:val="false"/>
        <w:jc w:val="left"/>
        <w:rPr>
          <w:rStyle w:val="InternetLink"/>
          <w:color w:val="auto"/>
          <w:sz w:val="18"/>
          <w:szCs w:val="18"/>
          <w:u w:val="none"/>
        </w:rPr>
      </w:pPr>
      <w:r>
        <w:rPr>
          <w:color w:val="auto"/>
          <w:sz w:val="18"/>
          <w:szCs w:val="18"/>
          <w:u w:val="none"/>
        </w:rPr>
      </w:r>
    </w:p>
    <w:p>
      <w:pPr>
        <w:pStyle w:val="Normal"/>
        <w:widowControl w:val="false"/>
        <w:tabs>
          <w:tab w:val="clear" w:pos="719"/>
          <w:tab w:val="left" w:pos="440" w:leader="none"/>
        </w:tabs>
        <w:snapToGrid w:val="false"/>
        <w:jc w:val="left"/>
        <w:rPr>
          <w:rStyle w:val="InternetLink"/>
          <w:color w:val="auto"/>
          <w:sz w:val="18"/>
          <w:szCs w:val="18"/>
          <w:u w:val="none"/>
        </w:rPr>
      </w:pPr>
      <w:r>
        <w:rPr/>
        <mc:AlternateContent>
          <mc:Choice Requires="wps">
            <w:drawing>
              <wp:inline distT="0" distB="0" distL="0" distR="4445" wp14:anchorId="64C3342B">
                <wp:extent cx="5979160" cy="3847465"/>
                <wp:effectExtent l="0" t="0" r="4445" b="0"/>
                <wp:docPr id="1" name="Shape1"/>
                <a:graphic xmlns:a="http://schemas.openxmlformats.org/drawingml/2006/main">
                  <a:graphicData uri="http://schemas.microsoft.com/office/word/2010/wordprocessingShape">
                    <wps:wsp>
                      <wps:cNvSpPr/>
                      <wps:spPr>
                        <a:xfrm>
                          <a:off x="0" y="0"/>
                          <a:ext cx="5978520" cy="3846960"/>
                        </a:xfrm>
                        <a:prstGeom prst="rect">
                          <a:avLst/>
                        </a:prstGeom>
                        <a:solidFill>
                          <a:schemeClr val="bg1">
                            <a:lumMod val="95000"/>
                          </a:schemeClr>
                        </a:solidFill>
                        <a:ln w="9360">
                          <a:noFill/>
                        </a:ln>
                      </wps:spPr>
                      <wps:style>
                        <a:lnRef idx="0"/>
                        <a:fillRef idx="0"/>
                        <a:effectRef idx="0"/>
                        <a:fontRef idx="minor"/>
                      </wps:style>
                      <wps:txbx>
                        <w:txbxContent>
                          <w:p>
                            <w:pPr>
                              <w:pStyle w:val="FrameContents"/>
                              <w:widowControl w:val="false"/>
                              <w:snapToGrid w:val="false"/>
                              <w:rPr>
                                <w:rFonts w:ascii="Minion pro" w:hAnsi="Minion pro"/>
                                <w:b/>
                                <w:b/>
                                <w:bCs/>
                                <w:sz w:val="20"/>
                              </w:rPr>
                            </w:pPr>
                            <w:r>
                              <w:rPr>
                                <w:rFonts w:ascii="Minion pro" w:hAnsi="Minion pro"/>
                                <w:b/>
                                <w:bCs/>
                                <w:sz w:val="20"/>
                              </w:rPr>
                              <w:t>ABSTRACT</w:t>
                            </w:r>
                          </w:p>
                          <w:p>
                            <w:pPr>
                              <w:pStyle w:val="FrameContents"/>
                              <w:widowControl w:val="false"/>
                              <w:snapToGrid w:val="false"/>
                              <w:spacing w:before="0" w:after="0"/>
                              <w:rPr>
                                <w:rFonts w:ascii="Minion pro" w:hAnsi="Minion pro"/>
                                <w:sz w:val="20"/>
                                <w:lang w:val="en-GB"/>
                              </w:rPr>
                            </w:pPr>
                            <w:r>
                              <w:rPr>
                                <w:rFonts w:ascii="Minion pro" w:hAnsi="Minion pro"/>
                                <w:b/>
                                <w:bCs/>
                                <w:sz w:val="20"/>
                                <w:lang w:val="en-GB"/>
                              </w:rPr>
                              <w:t xml:space="preserve">Objectives. </w:t>
                            </w:r>
                            <w:r>
                              <w:rPr>
                                <w:rFonts w:ascii="Minion pro" w:hAnsi="Minion pro"/>
                                <w:sz w:val="20"/>
                                <w:lang w:val="en-GB"/>
                              </w:rPr>
                              <w:t xml:space="preserve">Factors influencing results of balloon valvuloplasty (BVP) of pulmonary valve stenosis (PS) in children are investigated. </w:t>
                            </w:r>
                            <w:r>
                              <w:rPr>
                                <w:rFonts w:ascii="Minion pro" w:hAnsi="Minion pro"/>
                                <w:b/>
                                <w:bCs/>
                                <w:sz w:val="20"/>
                                <w:lang w:val="en-GB"/>
                              </w:rPr>
                              <w:t>Background.</w:t>
                            </w:r>
                            <w:r>
                              <w:rPr>
                                <w:rFonts w:ascii="Minion pro" w:hAnsi="Minion pro"/>
                                <w:sz w:val="20"/>
                                <w:lang w:val="en-GB"/>
                              </w:rPr>
                              <w:t xml:space="preserve"> BVP has become the standard of care for PS, medium-term results are not uniform and depend on various preconditions. </w:t>
                            </w:r>
                            <w:r>
                              <w:rPr>
                                <w:rFonts w:ascii="Minion pro" w:hAnsi="Minion pro"/>
                                <w:b/>
                                <w:bCs/>
                                <w:sz w:val="20"/>
                                <w:lang w:val="en-GB"/>
                              </w:rPr>
                              <w:t>Methods.</w:t>
                            </w:r>
                            <w:r>
                              <w:rPr>
                                <w:rFonts w:ascii="Minion pro" w:hAnsi="Minion pro"/>
                                <w:sz w:val="20"/>
                                <w:lang w:val="en-GB"/>
                              </w:rPr>
                              <w:t xml:space="preserve"> We analysed the medium-term results of BVP of PS in children in an observational, single centre study. Need for additional procedure was defined as outcome after initial BVP. </w:t>
                            </w:r>
                            <w:r>
                              <w:rPr>
                                <w:rFonts w:ascii="Minion pro" w:hAnsi="Minion pro"/>
                                <w:b/>
                                <w:bCs/>
                                <w:sz w:val="20"/>
                                <w:lang w:val="en-GB"/>
                              </w:rPr>
                              <w:t>Results.</w:t>
                            </w:r>
                            <w:r>
                              <w:rPr>
                                <w:rFonts w:ascii="Minion pro" w:hAnsi="Minion pro"/>
                                <w:sz w:val="20"/>
                                <w:lang w:val="en-GB"/>
                              </w:rPr>
                              <w:t xml:space="preserve"> We included 143 children (83 female) at a median (IQR) age of 2.6 (0.26–9.24) months and body weight of 5 (3.4–8) kg at BVP with a follow–up of 5.04 (1.6–10.2) years. We used balloon size of 10 (9–14) mm and maximal balloon pressure of 4 (3.5–10) atm, resulting in balloon–to–pulmonary annulus ratio of 1.28 (1.2–1.4). Systolic pressure gradient of PS was reduced with BVP (43.5 mmHg vs. 14.0 mmHg, p&lt;0.001) and confirmed by echocardiography (68.0 mmHg vs. 25.0 mmHg, p&lt;0.001) day 1 post procedure. Pulmonary BVP with associated supravalvular PS resulted in a relevant reduction of systolic pressure gradient in 23 of </w:t>
                            </w:r>
                            <w:r>
                              <w:rPr>
                                <w:rFonts w:ascii="Minion pro" w:hAnsi="Minion pro"/>
                                <w:color w:val="000000" w:themeColor="text1"/>
                                <w:sz w:val="20"/>
                                <w:lang w:val="en-GB"/>
                              </w:rPr>
                              <w:t xml:space="preserve">31 patients (74.2 %). </w:t>
                            </w:r>
                            <w:r>
                              <w:rPr>
                                <w:rFonts w:ascii="Minion pro" w:hAnsi="Minion pro"/>
                                <w:sz w:val="20"/>
                                <w:lang w:val="en-GB"/>
                              </w:rPr>
                              <w:t xml:space="preserve">Early additional procedure was necessary in 14 patients (9.8 %) after 0.2 (0.1–0.7) years due to residual PS (n=13) and infective endocarditis (n=1). Factors for additional procedures were associated supravalvular PS with a higher residual pressure gradient, but not genetic syndrome. During further follow–up of 5.04 (1.6–10.2) years no further additional procedures were needed. </w:t>
                            </w:r>
                            <w:r>
                              <w:rPr>
                                <w:rFonts w:ascii="Minion pro" w:hAnsi="Minion pro"/>
                                <w:b/>
                                <w:bCs/>
                                <w:sz w:val="20"/>
                                <w:lang w:val="en-GB"/>
                              </w:rPr>
                              <w:t>Conclusions.</w:t>
                            </w:r>
                            <w:r>
                              <w:rPr>
                                <w:rFonts w:ascii="Minion pro" w:hAnsi="Minion pro"/>
                                <w:sz w:val="20"/>
                                <w:lang w:val="en-GB"/>
                              </w:rPr>
                              <w:t xml:space="preserve"> Pulmonary BVP of native pulmonary valve stenosis leads to excellent medium-term results, even in 3 of 4 infants with associated supravalvular obstruction sufficient pressure relief can be obtained</w:t>
                            </w:r>
                            <w:r>
                              <w:rPr>
                                <w:rFonts w:ascii="Minion pro" w:hAnsi="Minion pro"/>
                                <w:sz w:val="20"/>
                              </w:rPr>
                              <w:t>.</w:t>
                            </w:r>
                          </w:p>
                          <w:p>
                            <w:pPr>
                              <w:pStyle w:val="FrameContents"/>
                              <w:widowControl w:val="false"/>
                              <w:snapToGrid w:val="false"/>
                              <w:rPr>
                                <w:rFonts w:ascii="Minion pro" w:hAnsi="Minion pro"/>
                                <w:sz w:val="20"/>
                              </w:rPr>
                            </w:pPr>
                            <w:r>
                              <w:rPr>
                                <w:rFonts w:ascii="Minion pro" w:hAnsi="Minion pro"/>
                                <w:sz w:val="20"/>
                              </w:rPr>
                            </w:r>
                          </w:p>
                          <w:p>
                            <w:pPr>
                              <w:pStyle w:val="FrameContents"/>
                              <w:widowControl w:val="false"/>
                              <w:snapToGrid w:val="false"/>
                              <w:rPr>
                                <w:rFonts w:ascii="Minion pro" w:hAnsi="Minion pro"/>
                                <w:b/>
                                <w:b/>
                                <w:sz w:val="20"/>
                              </w:rPr>
                            </w:pPr>
                            <w:r>
                              <w:rPr>
                                <w:rFonts w:ascii="Minion pro" w:hAnsi="Minion pro"/>
                                <w:b/>
                                <w:sz w:val="20"/>
                              </w:rPr>
                              <w:t>KEYWORDS</w:t>
                            </w:r>
                          </w:p>
                          <w:p>
                            <w:pPr>
                              <w:pStyle w:val="FrameContents"/>
                              <w:widowControl w:val="false"/>
                              <w:snapToGrid w:val="false"/>
                              <w:spacing w:before="0" w:after="60"/>
                              <w:rPr>
                                <w:sz w:val="20"/>
                              </w:rPr>
                            </w:pPr>
                            <w:r>
                              <w:rPr>
                                <w:rFonts w:ascii="Minion pro" w:hAnsi="Minion pro"/>
                                <w:sz w:val="20"/>
                                <w:lang w:val="en-GB"/>
                              </w:rPr>
                              <w:t>Pediatric; catheter; congenital; pulmonary balloon valvuloplasty</w:t>
                            </w:r>
                          </w:p>
                        </w:txbxContent>
                      </wps:txbx>
                      <wps:bodyPr>
                        <a:spAutoFit/>
                      </wps:bodyPr>
                    </wps:wsp>
                  </a:graphicData>
                </a:graphic>
              </wp:inline>
            </w:drawing>
          </mc:Choice>
          <mc:Fallback>
            <w:pict>
              <v:rect id="shape_0" ID="Shape1" fillcolor="#f2f2f2" stroked="f" style="position:absolute;margin-left:0pt;margin-top:-302.95pt;width:470.7pt;height:302.85pt;mso-position-vertical:top" wp14:anchorId="64C3342B">
                <w10:wrap type="square"/>
                <v:fill o:detectmouseclick="t" type="solid" color2="#0d0d0d"/>
                <v:stroke color="#3465a4" weight="9360" joinstyle="round" endcap="flat"/>
                <v:textbox>
                  <w:txbxContent>
                    <w:p>
                      <w:pPr>
                        <w:pStyle w:val="FrameContents"/>
                        <w:widowControl w:val="false"/>
                        <w:snapToGrid w:val="false"/>
                        <w:rPr>
                          <w:rFonts w:ascii="Minion pro" w:hAnsi="Minion pro"/>
                          <w:b/>
                          <w:b/>
                          <w:bCs/>
                          <w:sz w:val="20"/>
                        </w:rPr>
                      </w:pPr>
                      <w:r>
                        <w:rPr>
                          <w:rFonts w:ascii="Minion pro" w:hAnsi="Minion pro"/>
                          <w:b/>
                          <w:bCs/>
                          <w:sz w:val="20"/>
                        </w:rPr>
                        <w:t>ABSTRACT</w:t>
                      </w:r>
                    </w:p>
                    <w:p>
                      <w:pPr>
                        <w:pStyle w:val="FrameContents"/>
                        <w:widowControl w:val="false"/>
                        <w:snapToGrid w:val="false"/>
                        <w:spacing w:before="0" w:after="0"/>
                        <w:rPr>
                          <w:rFonts w:ascii="Minion pro" w:hAnsi="Minion pro"/>
                          <w:sz w:val="20"/>
                          <w:lang w:val="en-GB"/>
                        </w:rPr>
                      </w:pPr>
                      <w:r>
                        <w:rPr>
                          <w:rFonts w:ascii="Minion pro" w:hAnsi="Minion pro"/>
                          <w:b/>
                          <w:bCs/>
                          <w:sz w:val="20"/>
                          <w:lang w:val="en-GB"/>
                        </w:rPr>
                        <w:t xml:space="preserve">Objectives. </w:t>
                      </w:r>
                      <w:r>
                        <w:rPr>
                          <w:rFonts w:ascii="Minion pro" w:hAnsi="Minion pro"/>
                          <w:sz w:val="20"/>
                          <w:lang w:val="en-GB"/>
                        </w:rPr>
                        <w:t xml:space="preserve">Factors influencing results of balloon valvuloplasty (BVP) of pulmonary valve stenosis (PS) in children are investigated. </w:t>
                      </w:r>
                      <w:r>
                        <w:rPr>
                          <w:rFonts w:ascii="Minion pro" w:hAnsi="Minion pro"/>
                          <w:b/>
                          <w:bCs/>
                          <w:sz w:val="20"/>
                          <w:lang w:val="en-GB"/>
                        </w:rPr>
                        <w:t>Background.</w:t>
                      </w:r>
                      <w:r>
                        <w:rPr>
                          <w:rFonts w:ascii="Minion pro" w:hAnsi="Minion pro"/>
                          <w:sz w:val="20"/>
                          <w:lang w:val="en-GB"/>
                        </w:rPr>
                        <w:t xml:space="preserve"> BVP has become the standard of care for PS, medium-term results are not uniform and depend on various preconditions. </w:t>
                      </w:r>
                      <w:r>
                        <w:rPr>
                          <w:rFonts w:ascii="Minion pro" w:hAnsi="Minion pro"/>
                          <w:b/>
                          <w:bCs/>
                          <w:sz w:val="20"/>
                          <w:lang w:val="en-GB"/>
                        </w:rPr>
                        <w:t>Methods.</w:t>
                      </w:r>
                      <w:r>
                        <w:rPr>
                          <w:rFonts w:ascii="Minion pro" w:hAnsi="Minion pro"/>
                          <w:sz w:val="20"/>
                          <w:lang w:val="en-GB"/>
                        </w:rPr>
                        <w:t xml:space="preserve"> We analysed the medium-term results of BVP of PS in children in an observational, single centre study. Need for additional procedure was defined as outcome after initial BVP. </w:t>
                      </w:r>
                      <w:r>
                        <w:rPr>
                          <w:rFonts w:ascii="Minion pro" w:hAnsi="Minion pro"/>
                          <w:b/>
                          <w:bCs/>
                          <w:sz w:val="20"/>
                          <w:lang w:val="en-GB"/>
                        </w:rPr>
                        <w:t>Results.</w:t>
                      </w:r>
                      <w:r>
                        <w:rPr>
                          <w:rFonts w:ascii="Minion pro" w:hAnsi="Minion pro"/>
                          <w:sz w:val="20"/>
                          <w:lang w:val="en-GB"/>
                        </w:rPr>
                        <w:t xml:space="preserve"> We included 143 children (83 female) at a median (IQR) age of 2.6 (0.26–9.24) months and body weight of 5 (3.4–8) kg at BVP with a follow–up of 5.04 (1.6–10.2) years. We used balloon size of 10 (9–14) mm and maximal balloon pressure of 4 (3.5–10) atm, resulting in balloon–to–pulmonary annulus ratio of 1.28 (1.2–1.4). Systolic pressure gradient of PS was reduced with BVP (43.5 mmHg vs. 14.0 mmHg, p&lt;0.001) and confirmed by echocardiography (68.0 mmHg vs. 25.0 mmHg, p&lt;0.001) day 1 post procedure. Pulmonary BVP with associated supravalvular PS resulted in a relevant reduction of systolic pressure gradient in 23 of </w:t>
                      </w:r>
                      <w:r>
                        <w:rPr>
                          <w:rFonts w:ascii="Minion pro" w:hAnsi="Minion pro"/>
                          <w:color w:val="000000" w:themeColor="text1"/>
                          <w:sz w:val="20"/>
                          <w:lang w:val="en-GB"/>
                        </w:rPr>
                        <w:t xml:space="preserve">31 patients (74.2 %). </w:t>
                      </w:r>
                      <w:r>
                        <w:rPr>
                          <w:rFonts w:ascii="Minion pro" w:hAnsi="Minion pro"/>
                          <w:sz w:val="20"/>
                          <w:lang w:val="en-GB"/>
                        </w:rPr>
                        <w:t xml:space="preserve">Early additional procedure was necessary in 14 patients (9.8 %) after 0.2 (0.1–0.7) years due to residual PS (n=13) and infective endocarditis (n=1). Factors for additional procedures were associated supravalvular PS with a higher residual pressure gradient, but not genetic syndrome. During further follow–up of 5.04 (1.6–10.2) years no further additional procedures were needed. </w:t>
                      </w:r>
                      <w:r>
                        <w:rPr>
                          <w:rFonts w:ascii="Minion pro" w:hAnsi="Minion pro"/>
                          <w:b/>
                          <w:bCs/>
                          <w:sz w:val="20"/>
                          <w:lang w:val="en-GB"/>
                        </w:rPr>
                        <w:t>Conclusions.</w:t>
                      </w:r>
                      <w:r>
                        <w:rPr>
                          <w:rFonts w:ascii="Minion pro" w:hAnsi="Minion pro"/>
                          <w:sz w:val="20"/>
                          <w:lang w:val="en-GB"/>
                        </w:rPr>
                        <w:t xml:space="preserve"> Pulmonary BVP of native pulmonary valve stenosis leads to excellent medium-term results, even in 3 of 4 infants with associated supravalvular obstruction sufficient pressure relief can be obtained</w:t>
                      </w:r>
                      <w:r>
                        <w:rPr>
                          <w:rFonts w:ascii="Minion pro" w:hAnsi="Minion pro"/>
                          <w:sz w:val="20"/>
                        </w:rPr>
                        <w:t>.</w:t>
                      </w:r>
                    </w:p>
                    <w:p>
                      <w:pPr>
                        <w:pStyle w:val="FrameContents"/>
                        <w:widowControl w:val="false"/>
                        <w:snapToGrid w:val="false"/>
                        <w:rPr>
                          <w:rFonts w:ascii="Minion pro" w:hAnsi="Minion pro"/>
                          <w:sz w:val="20"/>
                        </w:rPr>
                      </w:pPr>
                      <w:r>
                        <w:rPr>
                          <w:rFonts w:ascii="Minion pro" w:hAnsi="Minion pro"/>
                          <w:sz w:val="20"/>
                        </w:rPr>
                      </w:r>
                    </w:p>
                    <w:p>
                      <w:pPr>
                        <w:pStyle w:val="FrameContents"/>
                        <w:widowControl w:val="false"/>
                        <w:snapToGrid w:val="false"/>
                        <w:rPr>
                          <w:rFonts w:ascii="Minion pro" w:hAnsi="Minion pro"/>
                          <w:b/>
                          <w:b/>
                          <w:sz w:val="20"/>
                        </w:rPr>
                      </w:pPr>
                      <w:r>
                        <w:rPr>
                          <w:rFonts w:ascii="Minion pro" w:hAnsi="Minion pro"/>
                          <w:b/>
                          <w:sz w:val="20"/>
                        </w:rPr>
                        <w:t>KEYWORDS</w:t>
                      </w:r>
                    </w:p>
                    <w:p>
                      <w:pPr>
                        <w:pStyle w:val="FrameContents"/>
                        <w:widowControl w:val="false"/>
                        <w:snapToGrid w:val="false"/>
                        <w:spacing w:before="0" w:after="60"/>
                        <w:rPr>
                          <w:sz w:val="20"/>
                        </w:rPr>
                      </w:pPr>
                      <w:r>
                        <w:rPr>
                          <w:rFonts w:ascii="Minion pro" w:hAnsi="Minion pro"/>
                          <w:sz w:val="20"/>
                          <w:lang w:val="en-GB"/>
                        </w:rPr>
                        <w:t>Pediatric; catheter; congenital; pulmonary balloon valvuloplasty</w:t>
                      </w:r>
                    </w:p>
                  </w:txbxContent>
                </v:textbox>
              </v:rect>
            </w:pict>
          </mc:Fallback>
        </mc:AlternateContent>
      </w:r>
    </w:p>
    <w:p>
      <w:pPr>
        <w:pStyle w:val="Keyword"/>
        <w:widowControl w:val="false"/>
        <w:tabs>
          <w:tab w:val="clear" w:pos="719"/>
          <w:tab w:val="left" w:pos="440" w:leader="none"/>
          <w:tab w:val="left" w:pos="730" w:leader="none"/>
        </w:tabs>
        <w:snapToGrid w:val="false"/>
        <w:spacing w:before="0" w:after="0"/>
        <w:rPr>
          <w:b/>
          <w:b/>
          <w:vanish/>
          <w:szCs w:val="22"/>
        </w:rPr>
      </w:pPr>
      <w:r>
        <w:rPr>
          <w:b/>
          <w:vanish/>
          <w:szCs w:val="22"/>
        </w:rPr>
      </w:r>
    </w:p>
    <w:p>
      <w:pPr>
        <w:sectPr>
          <w:headerReference w:type="even" r:id="rId4"/>
          <w:headerReference w:type="default" r:id="rId5"/>
          <w:footerReference w:type="even" r:id="rId6"/>
          <w:footerReference w:type="default" r:id="rId7"/>
          <w:type w:val="nextPage"/>
          <w:pgSz w:w="12240" w:h="15840"/>
          <w:pgMar w:left="1440" w:right="1440" w:header="454" w:top="1440" w:footer="283" w:bottom="1440" w:gutter="0"/>
          <w:pgNumType w:fmt="decimal"/>
          <w:formProt w:val="false"/>
          <w:textDirection w:val="lrTb"/>
          <w:docGrid w:type="default" w:linePitch="299" w:charSpace="0"/>
        </w:sectPr>
        <w:pStyle w:val="Normal"/>
        <w:tabs>
          <w:tab w:val="clear" w:pos="719"/>
          <w:tab w:val="left" w:pos="440" w:leader="none"/>
          <w:tab w:val="left" w:pos="1150" w:leader="none"/>
        </w:tabs>
        <w:rPr>
          <w:vanish/>
        </w:rPr>
      </w:pPr>
      <w:r>
        <w:rPr>
          <w:vanish/>
        </w:rPr>
        <w:tab/>
      </w:r>
    </w:p>
    <w:p>
      <w:pPr>
        <w:pStyle w:val="Keyword"/>
        <w:widowControl w:val="false"/>
        <w:tabs>
          <w:tab w:val="clear" w:pos="719"/>
          <w:tab w:val="left" w:pos="440" w:leader="none"/>
        </w:tabs>
        <w:snapToGrid w:val="false"/>
        <w:spacing w:before="240" w:after="60"/>
        <w:rPr>
          <w:b/>
          <w:b/>
          <w:szCs w:val="22"/>
        </w:rPr>
      </w:pPr>
      <w:r>
        <w:rPr>
          <w:b/>
          <w:szCs w:val="22"/>
        </w:rPr>
        <w:t>1 Introduction</w:t>
      </w:r>
    </w:p>
    <w:p>
      <w:pPr>
        <w:pStyle w:val="Normal"/>
        <w:tabs>
          <w:tab w:val="clear" w:pos="719"/>
          <w:tab w:val="left" w:pos="440" w:leader="none"/>
        </w:tabs>
        <w:spacing w:before="0" w:after="0"/>
        <w:ind w:firstLine="440"/>
        <w:rPr>
          <w:lang w:val="en-GB"/>
        </w:rPr>
      </w:pPr>
      <w:r>
        <w:rPr>
          <w:szCs w:val="22"/>
          <w:lang w:val="en-GB"/>
        </w:rPr>
        <w:t>Pulmonary valve stenosis (PS) is a congenital heart defect (CHD) causing an obstruction of the right ventricular outflow tract at the valvular level. PS is common with an incidence of 0.7 per 1000 live births.</w:t>
      </w:r>
      <w:r>
        <w:fldChar w:fldCharType="begin"/>
      </w:r>
      <w:r>
        <w:rPr>
          <w:szCs w:val="22"/>
          <w:lang w:val="en-GB"/>
        </w:rPr>
        <w:instrText>ADDIN EN.CITE &lt;EndNote&gt;&lt;Cite&gt;&lt;Author&gt;Hoffman&lt;/Author&gt;&lt;Year&gt;2002&lt;/Year&gt;&lt;IDText&gt;The incidence of congenital heart disease&lt;/IDText&gt;&lt;DisplayText&gt;(1)&lt;/DisplayText&gt;&lt;record&gt;&lt;dates&gt;&lt;pub-dates&gt;&lt;date&gt;Jun&lt;/date&gt;&lt;/pub-dates&gt;&lt;year&gt;2002&lt;/year&gt;&lt;/dates&gt;&lt;keywords&gt;&lt;keyword&gt;Ductus Arteriosus, Patent&lt;/keyword&gt;&lt;keyword&gt;Heart Defects, Congenital&lt;/keyword&gt;&lt;keyword&gt;Heart Septal Defects, Ventricular&lt;/keyword&gt;&lt;keyword&gt;Heart Valve Diseases&lt;/keyword&gt;&lt;keyword&gt;Humans&lt;/keyword&gt;&lt;keyword&gt;Incidence&lt;/keyword&gt;&lt;/keywords&gt;&lt;urls&gt;&lt;related-urls&gt;&lt;url&gt;https://www.ncbi.nlm.nih.gov/pubmed/12084585&lt;/url&gt;&lt;/related-urls&gt;&lt;/urls&gt;&lt;isbn&gt;0735-1097&lt;/isbn&gt;&lt;titles&gt;&lt;title&gt;The incidence of congenital heart disease&lt;/title&gt;&lt;secondary-title&gt;J Am Coll Cardiol&lt;/secondary-title&gt;&lt;/titles&gt;&lt;pages&gt;1890-900&lt;/pages&gt;&lt;number&gt;12&lt;/number&gt;&lt;contributors&gt;&lt;authors&gt;&lt;author&gt;Hoffman, J. I.&lt;/author&gt;&lt;author&gt;Kaplan, S.&lt;/author&gt;&lt;/authors&gt;&lt;/contributors&gt;&lt;language&gt;eng&lt;/language&gt;&lt;added-date format="utc"&gt;1578395265&lt;/added-date&gt;&lt;ref-type name="Journal Article"&gt;17&lt;/ref-type&gt;&lt;rec-number&gt;78&lt;/rec-number&gt;&lt;last-updated-date format="utc"&gt;1578395265&lt;/last-updated-date&gt;&lt;accession-num&gt;12084585&lt;/accession-num&gt;&lt;electronic-resource-num&gt;10.1016/s0735-1097(02)01886-7&lt;/electronic-resource-num&gt;&lt;volume&gt;39&lt;/volume&gt;&lt;/record&gt;&lt;/Cite&gt;&lt;/EndNote&gt;</w:instrText>
      </w:r>
      <w:r>
        <w:rPr>
          <w:szCs w:val="22"/>
          <w:lang w:val="en-GB"/>
        </w:rPr>
      </w:r>
      <w:r>
        <w:rPr>
          <w:szCs w:val="22"/>
          <w:lang w:val="en-GB"/>
        </w:rPr>
        <w:fldChar w:fldCharType="separate"/>
      </w:r>
      <w:r>
        <w:rPr>
          <w:szCs w:val="22"/>
          <w:lang w:val="en-GB"/>
        </w:rPr>
        <w:t>[1]</w:t>
      </w:r>
      <w:r>
        <w:rPr>
          <w:szCs w:val="22"/>
          <w:lang w:val="en-GB"/>
        </w:rPr>
      </w:r>
      <w:r>
        <w:rPr>
          <w:szCs w:val="22"/>
          <w:lang w:val="en-GB"/>
        </w:rPr>
        <w:fldChar w:fldCharType="end"/>
      </w:r>
      <w:r>
        <w:rPr>
          <w:szCs w:val="22"/>
          <w:lang w:val="en-GB"/>
        </w:rPr>
        <w:t xml:space="preserve"> It may occur isolated or in combination with other types of CHD such as Tetralogy of Fallot with subvalvular or supravalvular pulmonary stenosis.</w:t>
      </w:r>
      <w:r>
        <w:fldChar w:fldCharType="begin"/>
      </w:r>
      <w:r>
        <w:rPr>
          <w:szCs w:val="22"/>
          <w:lang w:val="en-GB"/>
        </w:rPr>
        <w:instrText>ADDIN EN.CITE &lt;EndNote&gt;&lt;Cite&gt;&lt;Author&gt;Baumgartner&lt;/Author&gt;&lt;Year&gt;2009&lt;/Year&gt;&lt;IDText&gt;Echocardiographic assessment of valve stenosis: EAE/ASE recommendations for clinical practice&lt;/IDText&gt;&lt;DisplayText&gt;(2)&lt;/DisplayText&gt;&lt;record&gt;&lt;dates&gt;&lt;pub-dates&gt;&lt;date&gt;Jan&lt;/date&gt;&lt;/pub-dates&gt;&lt;year&gt;2009&lt;/year&gt;&lt;/dates&gt;&lt;keywords&gt;&lt;keyword&gt;Aortic Valve Stenosis&lt;/keyword&gt;&lt;keyword&gt;Echocardiography&lt;/keyword&gt;&lt;keyword&gt;Europe&lt;/keyword&gt;&lt;keyword&gt;Humans&lt;/keyword&gt;&lt;keyword&gt;Mitral Valve Stenosis&lt;/keyword&gt;&lt;keyword&gt;Practice Guidelines as Topic&lt;/keyword&gt;&lt;keyword&gt;Practice Patterns, Physicians&amp;apos;&lt;/keyword&gt;&lt;keyword&gt;Pulmonary Valve Stenosis&lt;/keyword&gt;&lt;keyword&gt;United States&lt;/keyword&gt;&lt;/keywords&gt;&lt;urls&gt;&lt;related-urls&gt;&lt;url&gt;https://www.ncbi.nlm.nih.gov/pubmed/19130998&lt;/url&gt;&lt;/related-urls&gt;&lt;/urls&gt;&lt;isbn&gt;1097-6795&lt;/isbn&gt;&lt;titles&gt;&lt;title&gt;Echocardiographic assessment of valve stenosis: EAE/ASE recommendations for clinical practice&lt;/title&gt;&lt;secondary-title&gt;J Am Soc Echocardiogr&lt;/secondary-title&gt;&lt;/titles&gt;&lt;pages&gt;1-23; quiz 101-2&lt;/pages&gt;&lt;number&gt;1&lt;/number&gt;&lt;contributors&gt;&lt;authors&gt;&lt;author&gt;Baumgartner, H.&lt;/author&gt;&lt;author&gt;Hung, J.&lt;/author&gt;&lt;author&gt;Bermejo, J.&lt;/author&gt;&lt;author&gt;Chambers, J. B.&lt;/author&gt;&lt;author&gt;Evangelista, A.&lt;/author&gt;&lt;author&gt;Griffin, B. P.&lt;/author&gt;&lt;author&gt;Iung, B.&lt;/author&gt;&lt;author&gt;Otto, C. M.&lt;/author&gt;&lt;author&gt;Pellikka, P. A.&lt;/author&gt;&lt;author&gt;Quiñones, M.&lt;/author&gt;&lt;author&gt;American Society of Echocardiography&lt;/author&gt;&lt;author&gt;European Association of Echocardiography&lt;/author&gt;&lt;/authors&gt;&lt;/contributors&gt;&lt;language&gt;eng&lt;/language&gt;&lt;added-date format="utc"&gt;1582550490&lt;/added-date&gt;&lt;ref-type name="Journal Article"&gt;17&lt;/ref-type&gt;&lt;rec-number&gt;152&lt;/rec-number&gt;&lt;last-updated-date format="utc"&gt;1582550490&lt;/last-updated-date&gt;&lt;accession-num&gt;19130998&lt;/accession-num&gt;&lt;electronic-resource-num&gt;10.1016/j.echo.2008.11.029&lt;/electronic-resource-num&gt;&lt;volume&gt;22&lt;/volume&gt;&lt;/record&gt;&lt;/Cite&gt;&lt;/EndNote&gt;</w:instrText>
      </w:r>
      <w:r>
        <w:rPr>
          <w:szCs w:val="22"/>
          <w:lang w:val="en-GB"/>
        </w:rPr>
      </w:r>
      <w:r>
        <w:rPr>
          <w:szCs w:val="22"/>
          <w:lang w:val="en-GB"/>
        </w:rPr>
        <w:fldChar w:fldCharType="separate"/>
      </w:r>
      <w:r>
        <w:rPr>
          <w:szCs w:val="22"/>
          <w:lang w:val="en-GB"/>
        </w:rPr>
        <w:t>[2]</w:t>
      </w:r>
      <w:r>
        <w:rPr>
          <w:szCs w:val="22"/>
          <w:lang w:val="en-GB"/>
        </w:rPr>
      </w:r>
      <w:r>
        <w:rPr>
          <w:szCs w:val="22"/>
          <w:lang w:val="en-GB"/>
        </w:rPr>
        <w:fldChar w:fldCharType="end"/>
      </w:r>
      <w:r>
        <w:rPr>
          <w:szCs w:val="22"/>
          <w:lang w:val="en-GB"/>
        </w:rPr>
        <w:t xml:space="preserve"> Depending on the hemodynamic severity, right ventricular pressure load leads to right ventricular myocardial hypertrophy. Clinical signs of PS include failure to thrive, exercise-induced dyspnea, arrhythmia or fatigue, but mostly young patients are oligosymptomatic.</w:t>
      </w:r>
      <w:r>
        <w:fldChar w:fldCharType="begin"/>
      </w:r>
      <w:r>
        <w:rPr>
          <w:szCs w:val="22"/>
          <w:lang w:val="en-GB"/>
        </w:rPr>
        <w:instrText>ADDIN EN.CITE &lt;EndNote&gt;&lt;Cite&gt;&lt;Author&gt;Cuypers&lt;/Author&gt;&lt;Year&gt;2013&lt;/Year&gt;&lt;IDText&gt;Pulmonary stenosis: update on diagnosis and therapeutic options&lt;/IDText&gt;&lt;DisplayText&gt;(3)&lt;/DisplayText&gt;&lt;record&gt;&lt;dates&gt;&lt;pub-dates&gt;&lt;date&gt;Mar&lt;/date&gt;&lt;/pub-dates&gt;&lt;year&gt;2013&lt;/year&gt;&lt;/dates&gt;&lt;keywords&gt;&lt;keyword&gt;Balloon Valvuloplasty&lt;/keyword&gt;&lt;keyword&gt;Cardiac Catheterization&lt;/keyword&gt;&lt;keyword&gt;Diagnostic Imaging&lt;/keyword&gt;&lt;keyword&gt;Heart Valve Prosthesis Implantation&lt;/keyword&gt;&lt;keyword&gt;Humans&lt;/keyword&gt;&lt;keyword&gt;Incidence&lt;/keyword&gt;&lt;keyword&gt;Prevalence&lt;/keyword&gt;&lt;keyword&gt;Pulmonary Valve&lt;/keyword&gt;&lt;keyword&gt;Pulmonary Valve Stenosis&lt;/keyword&gt;&lt;/keywords&gt;&lt;urls&gt;&lt;related-urls&gt;&lt;url&gt;https://www.ncbi.nlm.nih.gov/pubmed/23303481&lt;/url&gt;&lt;/related-urls&gt;&lt;/urls&gt;&lt;isbn&gt;1468-201X&lt;/isbn&gt;&lt;titles&gt;&lt;title&gt;Pulmonary stenosis: update on diagnosis and therapeutic options&lt;/title&gt;&lt;secondary-title&gt;Heart&lt;/secondary-title&gt;&lt;/titles&gt;&lt;pages&gt;339-47&lt;/pages&gt;&lt;number&gt;5&lt;/number&gt;&lt;contributors&gt;&lt;authors&gt;&lt;author&gt;Cuypers, J. A.&lt;/author&gt;&lt;author&gt;Witsenburg, M.&lt;/author&gt;&lt;author&gt;van der Linde, D.&lt;/author&gt;&lt;author&gt;Roos-Hesselink, J. W.&lt;/author&gt;&lt;/authors&gt;&lt;/contributors&gt;&lt;edition&gt;2013/01/08&lt;/edition&gt;&lt;language&gt;eng&lt;/language&gt;&lt;added-date format="utc"&gt;1581682733&lt;/added-date&gt;&lt;ref-type name="Journal Article"&gt;17&lt;/ref-type&gt;&lt;rec-number&gt;149&lt;/rec-number&gt;&lt;last-updated-date format="utc"&gt;1581682733&lt;/last-updated-date&gt;&lt;accession-num&gt;23303481&lt;/accession-num&gt;&lt;electronic-resource-num&gt;10.1136/heartjnl-2012-301964&lt;/electronic-resource-num&gt;&lt;volume&gt;99&lt;/volume&gt;&lt;/record&gt;&lt;/Cite&gt;&lt;/EndNote&gt;</w:instrText>
      </w:r>
      <w:r>
        <w:rPr>
          <w:szCs w:val="22"/>
          <w:lang w:val="en-GB"/>
        </w:rPr>
      </w:r>
      <w:r>
        <w:rPr>
          <w:szCs w:val="22"/>
          <w:lang w:val="en-GB"/>
        </w:rPr>
        <w:fldChar w:fldCharType="separate"/>
      </w:r>
      <w:r>
        <w:rPr>
          <w:szCs w:val="22"/>
          <w:lang w:val="en-GB"/>
        </w:rPr>
        <w:t>[3]</w:t>
      </w:r>
      <w:r>
        <w:rPr>
          <w:szCs w:val="22"/>
          <w:lang w:val="en-GB"/>
        </w:rPr>
      </w:r>
      <w:r>
        <w:rPr>
          <w:szCs w:val="22"/>
          <w:lang w:val="en-GB"/>
        </w:rPr>
        <w:fldChar w:fldCharType="end"/>
      </w:r>
      <w:r>
        <w:rPr>
          <w:szCs w:val="22"/>
          <w:lang w:val="en-GB"/>
        </w:rPr>
        <w:t xml:space="preserve"> In contrast, in newborns with critical PS with duct dependent pulmonary blood flow central cyanosis may be the leading symptom due to interatrial right-left-shunt.</w:t>
      </w:r>
      <w:r>
        <w:fldChar w:fldCharType="begin"/>
      </w:r>
      <w:r>
        <w:rPr>
          <w:szCs w:val="22"/>
          <w:lang w:val="en-GB"/>
        </w:rPr>
        <w:instrText>ADDIN EN.CITE</w:instrText>
      </w:r>
      <w:r>
        <w:rPr>
          <w:szCs w:val="22"/>
          <w:lang w:val="en-GB"/>
        </w:rPr>
      </w:r>
      <w:r>
        <w:fldChar w:fldCharType="begin"/>
      </w:r>
      <w:r>
        <w:rPr>
          <w:szCs w:val="22"/>
          <w:lang w:val="en-GB"/>
        </w:rPr>
        <w:instrText>ADDIN EN.CITE.DATA</w:instrText>
      </w:r>
      <w:r>
        <w:rPr>
          <w:szCs w:val="22"/>
          <w:lang w:val="en-GB"/>
        </w:rPr>
      </w:r>
      <w:r>
        <w:rPr>
          <w:szCs w:val="22"/>
          <w:lang w:val="en-GB"/>
        </w:rPr>
        <w:fldChar w:fldCharType="separate"/>
      </w:r>
      <w:r>
        <w:rPr>
          <w:szCs w:val="22"/>
          <w:lang w:val="en-GB"/>
        </w:rPr>
      </w:r>
      <w:r>
        <w:rPr>
          <w:szCs w:val="22"/>
          <w:lang w:val="en-GB"/>
        </w:rPr>
      </w:r>
      <w:r>
        <w:rPr>
          <w:szCs w:val="22"/>
          <w:lang w:val="en-GB"/>
        </w:rPr>
        <w:fldChar w:fldCharType="end"/>
      </w:r>
      <w:r>
        <w:rPr>
          <w:szCs w:val="22"/>
          <w:lang w:val="en-GB"/>
        </w:rPr>
        <w:fldChar w:fldCharType="separate"/>
      </w:r>
      <w:r>
        <w:rPr>
          <w:szCs w:val="22"/>
          <w:lang w:val="en-GB"/>
        </w:rPr>
        <w:t>[4]</w:t>
      </w:r>
      <w:r>
        <w:rPr>
          <w:szCs w:val="22"/>
          <w:lang w:val="en-GB"/>
        </w:rPr>
      </w:r>
      <w:r>
        <w:rPr>
          <w:szCs w:val="22"/>
          <w:lang w:val="en-GB"/>
        </w:rPr>
        <w:fldChar w:fldCharType="end"/>
      </w:r>
      <w:r>
        <w:rPr>
          <w:szCs w:val="22"/>
          <w:lang w:val="en-GB"/>
        </w:rPr>
        <w:t xml:space="preserve"> Beside these clinical findings, the diagnosis of PS is made by transthoracic echocardiography and interventional and surgical treatment options are available for PS.</w:t>
      </w:r>
      <w:r>
        <w:fldChar w:fldCharType="begin"/>
      </w:r>
      <w:r>
        <w:rPr>
          <w:szCs w:val="22"/>
          <w:lang w:val="en-GB"/>
        </w:rPr>
        <w:instrText>ADDIN EN.CITE &lt;EndNote&gt;&lt;Cite&gt;&lt;Author&gt;Cuypers&lt;/Author&gt;&lt;Year&gt;2013&lt;/Year&gt;&lt;IDText&gt;Pulmonary stenosis: update on diagnosis and therapeutic options&lt;/IDText&gt;&lt;DisplayText&gt;(3)&lt;/DisplayText&gt;&lt;record&gt;&lt;dates&gt;&lt;pub-dates&gt;&lt;date&gt;Mar&lt;/date&gt;&lt;/pub-dates&gt;&lt;year&gt;2013&lt;/year&gt;&lt;/dates&gt;&lt;keywords&gt;&lt;keyword&gt;Balloon Valvuloplasty&lt;/keyword&gt;&lt;keyword&gt;Cardiac Catheterization&lt;/keyword&gt;&lt;keyword&gt;Diagnostic Imaging&lt;/keyword&gt;&lt;keyword&gt;Heart Valve Prosthesis Implantation&lt;/keyword&gt;&lt;keyword&gt;Humans&lt;/keyword&gt;&lt;keyword&gt;Incidence&lt;/keyword&gt;&lt;keyword&gt;Prevalence&lt;/keyword&gt;&lt;keyword&gt;Pulmonary Valve&lt;/keyword&gt;&lt;keyword&gt;Pulmonary Valve Stenosis&lt;/keyword&gt;&lt;/keywords&gt;&lt;urls&gt;&lt;related-urls&gt;&lt;url&gt;https://www.ncbi.nlm.nih.gov/pubmed/23303481&lt;/url&gt;&lt;/related-urls&gt;&lt;/urls&gt;&lt;isbn&gt;1468-201X&lt;/isbn&gt;&lt;titles&gt;&lt;title&gt;Pulmonary stenosis: update on diagnosis and therapeutic options&lt;/title&gt;&lt;secondary-title&gt;Heart&lt;/secondary-title&gt;&lt;/titles&gt;&lt;pages&gt;339-47&lt;/pages&gt;&lt;number&gt;5&lt;/number&gt;&lt;contributors&gt;&lt;authors&gt;&lt;author&gt;Cuypers, J. A.&lt;/author&gt;&lt;author&gt;Witsenburg, M.&lt;/author&gt;&lt;author&gt;van der Linde, D.&lt;/author&gt;&lt;author&gt;Roos-Hesselink, J. W.&lt;/author&gt;&lt;/authors&gt;&lt;/contributors&gt;&lt;edition&gt;2013/01/08&lt;/edition&gt;&lt;language&gt;eng&lt;/language&gt;&lt;added-date format="utc"&gt;1581682733&lt;/added-date&gt;&lt;ref-type name="Journal Article"&gt;17&lt;/ref-type&gt;&lt;rec-number&gt;149&lt;/rec-number&gt;&lt;last-updated-date format="utc"&gt;1581682733&lt;/last-updated-date&gt;&lt;accession-num&gt;23303481&lt;/accession-num&gt;&lt;electronic-resource-num&gt;10.1136/heartjnl-2012-301964&lt;/electronic-resource-num&gt;&lt;volume&gt;99&lt;/volume&gt;&lt;/record&gt;&lt;/Cite&gt;&lt;/EndNote&gt;</w:instrText>
      </w:r>
      <w:r>
        <w:rPr>
          <w:szCs w:val="22"/>
          <w:lang w:val="en-GB"/>
        </w:rPr>
      </w:r>
      <w:r>
        <w:rPr>
          <w:szCs w:val="22"/>
          <w:lang w:val="en-GB"/>
        </w:rPr>
        <w:fldChar w:fldCharType="separate"/>
      </w:r>
      <w:r>
        <w:rPr>
          <w:szCs w:val="22"/>
          <w:lang w:val="en-GB"/>
        </w:rPr>
        <w:t>[3]</w:t>
      </w:r>
      <w:r>
        <w:rPr>
          <w:szCs w:val="22"/>
          <w:lang w:val="en-GB"/>
        </w:rPr>
      </w:r>
      <w:r>
        <w:rPr>
          <w:szCs w:val="22"/>
          <w:lang w:val="en-GB"/>
        </w:rPr>
        <w:fldChar w:fldCharType="end"/>
      </w:r>
      <w:r>
        <w:rPr>
          <w:szCs w:val="22"/>
          <w:lang w:val="en-GB"/>
        </w:rPr>
        <w:t xml:space="preserve"> The catheter interventional technique of balloon valvuloplasty (BVP) </w:t>
      </w:r>
      <w:r>
        <w:rPr>
          <w:lang w:val="en-GB"/>
        </w:rPr>
        <w:t>has been introduced in 1982 by Kan et al.</w:t>
      </w:r>
      <w:r>
        <w:fldChar w:fldCharType="begin"/>
      </w:r>
      <w:r>
        <w:rPr>
          <w:lang w:val="en-GB"/>
        </w:rPr>
        <w:instrText>ADDIN EN.CITE &lt;EndNote&gt;&lt;Cite&gt;&lt;Author&gt;Kan&lt;/Author&gt;&lt;Year&gt;1982&lt;/Year&gt;&lt;IDText&gt;Percutaneous balloon valvuloplasty: a new method for treating congenital pulmonary-valve stenosis&lt;/IDText&gt;&lt;DisplayText&gt;(5)&lt;/DisplayText&gt;&lt;record&gt;&lt;dates&gt;&lt;pub-dates&gt;&lt;date&gt;Aug&lt;/date&gt;&lt;/pub-dates&gt;&lt;year&gt;1982&lt;/year&gt;&lt;/dates&gt;&lt;keywords&gt;&lt;keyword&gt;Adolescent&lt;/keyword&gt;&lt;keyword&gt;Cardiac Catheterization&lt;/keyword&gt;&lt;keyword&gt;Child&lt;/keyword&gt;&lt;keyword&gt;Child, Preschool&lt;/keyword&gt;&lt;keyword&gt;Dilatation&lt;/keyword&gt;&lt;keyword&gt;Hemodynamics&lt;/keyword&gt;&lt;keyword&gt;Humans&lt;/keyword&gt;&lt;keyword&gt;Infant&lt;/keyword&gt;&lt;keyword&gt;Pulmonary Valve Stenosis&lt;/keyword&gt;&lt;/keywords&gt;&lt;urls&gt;&lt;related-urls&gt;&lt;url&gt;https://www.ncbi.nlm.nih.gov/pubmed/7099226&lt;/url&gt;&lt;/related-urls&gt;&lt;/urls&gt;&lt;isbn&gt;0028-4793&lt;/isbn&gt;&lt;titles&gt;&lt;title&gt;Percutaneous balloon valvuloplasty: a new method for treating congenital pulmonary-valve stenosis&lt;/title&gt;&lt;secondary-title&gt;N Engl J Med&lt;/secondary-title&gt;&lt;/titles&gt;&lt;pages&gt;540-2&lt;/pages&gt;&lt;number&gt;9&lt;/number&gt;&lt;contributors&gt;&lt;authors&gt;&lt;author&gt;Kan, J. S.&lt;/author&gt;&lt;author&gt;White, R. I.&lt;/author&gt;&lt;author&gt;Mitchell, S. E.&lt;/author&gt;&lt;author&gt;Gardner, T. J.&lt;/author&gt;&lt;/authors&gt;&lt;/contributors&gt;&lt;language&gt;eng&lt;/language&gt;&lt;added-date format="utc"&gt;1578409280&lt;/added-date&gt;&lt;ref-type name="Journal Article"&gt;17&lt;/ref-type&gt;&lt;rec-number&gt;86&lt;/rec-number&gt;&lt;last-updated-date format="utc"&gt;1578409280&lt;/last-updated-date&gt;&lt;accession-num&gt;7099226&lt;/accession-num&gt;&lt;electronic-resource-num&gt;10.1056/NEJM198208263070907&lt;/electronic-resource-num&gt;&lt;volume&gt;307&lt;/volume&gt;&lt;/record&gt;&lt;/Cite&gt;&lt;/EndNote&gt;</w:instrText>
      </w:r>
      <w:r>
        <w:rPr>
          <w:lang w:val="en-GB"/>
        </w:rPr>
      </w:r>
      <w:r>
        <w:rPr>
          <w:lang w:val="en-GB"/>
        </w:rPr>
        <w:fldChar w:fldCharType="separate"/>
      </w:r>
      <w:r>
        <w:rPr>
          <w:lang w:val="en-GB"/>
        </w:rPr>
        <w:t>[5]</w:t>
      </w:r>
      <w:r>
        <w:rPr>
          <w:lang w:val="en-GB"/>
        </w:rPr>
      </w:r>
      <w:r>
        <w:rPr>
          <w:lang w:val="en-GB"/>
        </w:rPr>
        <w:fldChar w:fldCharType="end"/>
      </w:r>
      <w:r>
        <w:rPr>
          <w:lang w:val="en-GB"/>
        </w:rPr>
        <w:t xml:space="preserve"> Nowadays, BVP of PS is the standard treatment for native PS in children </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t>[6–8]</w:t>
      </w:r>
      <w:r>
        <w:rPr>
          <w:lang w:val="en-GB"/>
        </w:rPr>
      </w:r>
      <w:r>
        <w:rPr>
          <w:lang w:val="en-GB"/>
        </w:rPr>
        <w:fldChar w:fldCharType="end"/>
      </w:r>
      <w:r>
        <w:rPr>
          <w:lang w:val="en-GB"/>
        </w:rPr>
        <w:t xml:space="preserve"> with acceptable results.</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t>[9, 10]</w:t>
      </w:r>
      <w:r>
        <w:rPr>
          <w:lang w:val="en-GB"/>
        </w:rPr>
      </w:r>
      <w:r>
        <w:rPr>
          <w:lang w:val="en-GB"/>
        </w:rPr>
        <w:fldChar w:fldCharType="end"/>
      </w:r>
    </w:p>
    <w:p>
      <w:pPr>
        <w:pStyle w:val="Normal"/>
        <w:tabs>
          <w:tab w:val="clear" w:pos="719"/>
          <w:tab w:val="left" w:pos="440" w:leader="none"/>
        </w:tabs>
        <w:spacing w:before="0" w:after="0"/>
        <w:ind w:firstLine="440"/>
        <w:rPr>
          <w:lang w:val="en-GB"/>
        </w:rPr>
      </w:pPr>
      <w:r>
        <w:rPr>
          <w:lang w:val="en-GB"/>
        </w:rPr>
        <w:t>Nevertheless, the occurrence of a residual PS after primary BVP during follow-up has been noticed.</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t>[8, 11, 12]</w:t>
      </w:r>
      <w:r>
        <w:rPr>
          <w:lang w:val="en-GB"/>
        </w:rPr>
      </w:r>
      <w:r>
        <w:rPr>
          <w:lang w:val="en-GB"/>
        </w:rPr>
        <w:fldChar w:fldCharType="end"/>
      </w:r>
      <w:r>
        <w:rPr>
          <w:lang w:val="en-GB"/>
        </w:rPr>
        <w:t xml:space="preserve"> One of the risk factors for residual PS includes the combination of valvular PS with an associated supravalvular obstruction.</w:t>
      </w:r>
      <w:r>
        <w:fldChar w:fldCharType="begin"/>
      </w:r>
      <w:r>
        <w:rPr>
          <w:lang w:val="en-GB"/>
        </w:rPr>
        <w:instrText>ADDIN EN.CITE &lt;EndNote&gt;&lt;Cite&gt;&lt;Author&gt;Holzer&lt;/Author&gt;&lt;Year&gt;2012&lt;/Year&gt;&lt;IDText&gt;Safety and efficacy of balloon pulmonary valvuloplasty: a multicenter experience&lt;/IDText&gt;&lt;DisplayText&gt;(13)&lt;/DisplayText&gt;&lt;record&gt;&lt;dates&gt;&lt;pub-dates&gt;&lt;date&gt;Oct&lt;/date&gt;&lt;/pub-dates&gt;&lt;year&gt;2012&lt;/year&gt;&lt;/dates&gt;&lt;keywords&gt;&lt;keyword&gt;Age Factors&lt;/keyword&gt;&lt;keyword&gt;Balloon Valvuloplasty&lt;/keyword&gt;&lt;keyword&gt;Clinical Competence&lt;/keyword&gt;&lt;keyword&gt;Hemodynamics&lt;/keyword&gt;&lt;keyword&gt;Humans&lt;/keyword&gt;&lt;keyword&gt;Infant&lt;/keyword&gt;&lt;keyword&gt;Infant, Newborn&lt;/keyword&gt;&lt;keyword&gt;Multivariate Analysis&lt;/keyword&gt;&lt;keyword&gt;Odds Ratio&lt;/keyword&gt;&lt;keyword&gt;Patient Safety&lt;/keyword&gt;&lt;keyword&gt;Prospective Studies&lt;/keyword&gt;&lt;keyword&gt;Pulmonary Valve Stenosis&lt;/keyword&gt;&lt;keyword&gt;Registries&lt;/keyword&gt;&lt;keyword&gt;Risk Assessment&lt;/keyword&gt;&lt;keyword&gt;Risk Factors&lt;/keyword&gt;&lt;keyword&gt;Severity of Illness Index&lt;/keyword&gt;&lt;keyword&gt;Treatment Outcome&lt;/keyword&gt;&lt;keyword&gt;United States&lt;/keyword&gt;&lt;keyword&gt;Ventricular Function, Right&lt;/keyword&gt;&lt;/keywords&gt;&lt;urls&gt;&lt;related-urls&gt;&lt;url&gt;https://www.ncbi.nlm.nih.gov/pubmed/22422728&lt;/url&gt;&lt;/related-urls&gt;&lt;/urls&gt;&lt;isbn&gt;1522-726X&lt;/isbn&gt;&lt;titles&gt;&lt;title&gt;Safety and efficacy of balloon pulmonary valvuloplasty: a multicenter experience&lt;/title&gt;&lt;secondary-title&gt;Catheter Cardiovasc Interv&lt;/secondary-title&gt;&lt;/titles&gt;&lt;pages&gt;663-72&lt;/pages&gt;&lt;number&gt;4&lt;/number&gt;&lt;contributors&gt;&lt;authors&gt;&lt;author&gt;Holzer, R. J.&lt;/author&gt;&lt;author&gt;Gauvreau, K.&lt;/author&gt;&lt;author&gt;Kreutzer, J.&lt;/author&gt;&lt;author&gt;Trucco, S. M.&lt;/author&gt;&lt;author&gt;Torres, A.&lt;/author&gt;&lt;author&gt;Shahanavaz, S.&lt;/author&gt;&lt;author&gt;Bergersen, L.&lt;/author&gt;&lt;/authors&gt;&lt;/contributors&gt;&lt;edition&gt;2012/03/15&lt;/edition&gt;&lt;language&gt;eng&lt;/language&gt;&lt;added-date format="utc"&gt;1570280172&lt;/added-date&gt;&lt;ref-type name="Journal Article"&gt;17&lt;/ref-type&gt;&lt;rec-number&gt;70&lt;/rec-number&gt;&lt;last-updated-date format="utc"&gt;1570280172&lt;/last-updated-date&gt;&lt;accession-num&gt;22422728&lt;/accession-num&gt;&lt;electronic-resource-num&gt;10.1002/ccd.23473&lt;/electronic-resource-num&gt;&lt;volume&gt;80&lt;/volume&gt;&lt;/record&gt;&lt;/Cite&gt;&lt;/EndNote&gt;</w:instrText>
      </w:r>
      <w:r>
        <w:rPr>
          <w:lang w:val="en-GB"/>
        </w:rPr>
      </w:r>
      <w:r>
        <w:rPr>
          <w:lang w:val="en-GB"/>
        </w:rPr>
        <w:fldChar w:fldCharType="separate"/>
      </w:r>
      <w:r>
        <w:rPr>
          <w:lang w:val="en-GB"/>
        </w:rPr>
        <w:t>[13]</w:t>
      </w:r>
      <w:r>
        <w:rPr>
          <w:lang w:val="en-GB"/>
        </w:rPr>
      </w:r>
      <w:r>
        <w:rPr>
          <w:lang w:val="en-GB"/>
        </w:rPr>
        <w:fldChar w:fldCharType="end"/>
      </w:r>
      <w:r>
        <w:rPr>
          <w:lang w:val="en-GB"/>
        </w:rPr>
        <w:t xml:space="preserve"> Furthermore, the combination of valvular and supravalvular PS may also be associated with general hypoplasia of central and peripheral pulmonary arteries, often found in patients with genetic syndromes such as Allagile syndrome and Williams syndrome.</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t>[14, 15]</w:t>
      </w:r>
      <w:r>
        <w:rPr>
          <w:lang w:val="en-GB"/>
        </w:rPr>
      </w:r>
      <w:r>
        <w:rPr>
          <w:lang w:val="en-GB"/>
        </w:rPr>
        <w:fldChar w:fldCharType="end"/>
      </w:r>
      <w:r>
        <w:rPr>
          <w:lang w:val="en-GB"/>
        </w:rPr>
        <w:t xml:space="preserve"> Controversy exists in literature about the preferred treatment for supravalvular PS, which can be either treated by surgery,</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t>[16–18]</w:t>
      </w:r>
      <w:r>
        <w:rPr>
          <w:lang w:val="en-GB"/>
        </w:rPr>
      </w:r>
      <w:r>
        <w:rPr>
          <w:lang w:val="en-GB"/>
        </w:rPr>
        <w:fldChar w:fldCharType="end"/>
      </w:r>
      <w:r>
        <w:rPr>
          <w:lang w:val="en-GB"/>
        </w:rPr>
        <w:t xml:space="preserve"> or by balloon angioplasty of the main pulmonary artery.</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t>[19–21]</w:t>
      </w:r>
      <w:r>
        <w:rPr>
          <w:lang w:val="en-GB"/>
        </w:rPr>
      </w:r>
      <w:r>
        <w:rPr>
          <w:lang w:val="en-GB"/>
        </w:rPr>
        <w:fldChar w:fldCharType="end"/>
      </w:r>
      <w:r>
        <w:rPr>
          <w:lang w:val="en-GB"/>
        </w:rPr>
        <w:t xml:space="preserve"> Numbers of pediatric studies on treatment of combined valvular and supravalvular PS are limited.</w:t>
      </w:r>
    </w:p>
    <w:p>
      <w:pPr>
        <w:pStyle w:val="Normal"/>
        <w:tabs>
          <w:tab w:val="clear" w:pos="719"/>
          <w:tab w:val="left" w:pos="440" w:leader="none"/>
        </w:tabs>
        <w:spacing w:before="0" w:after="0"/>
        <w:ind w:firstLine="440"/>
        <w:rPr>
          <w:lang w:val="en-GB"/>
        </w:rPr>
      </w:pPr>
      <w:r>
        <w:rPr>
          <w:lang w:val="en-GB"/>
        </w:rPr>
        <w:t xml:space="preserve">Therefore, the aim of this study was to determine the medium-term follow-up of BVP of native PS in </w:t>
      </w:r>
      <w:r>
        <w:rPr>
          <w:spacing w:val="-6"/>
          <w:lang w:val="en-GB"/>
        </w:rPr>
        <w:t>children and to identify possible factors for treatment failure leading to residual PS and need for secondary treatment.</w:t>
      </w:r>
    </w:p>
    <w:p>
      <w:pPr>
        <w:pStyle w:val="Normal"/>
        <w:tabs>
          <w:tab w:val="clear" w:pos="719"/>
          <w:tab w:val="left" w:pos="440" w:leader="none"/>
        </w:tabs>
        <w:spacing w:before="0" w:after="0"/>
        <w:ind w:firstLine="440"/>
        <w:rPr>
          <w:szCs w:val="22"/>
        </w:rPr>
      </w:pPr>
      <w:r>
        <w:rPr>
          <w:lang w:val="en-GB"/>
        </w:rPr>
        <w:t>Our hypothesis</w:t>
      </w:r>
      <w:r>
        <w:rPr>
          <w:szCs w:val="22"/>
          <w:lang w:val="en-GB"/>
        </w:rPr>
        <w:t xml:space="preserve"> was that an additional supravalvular pulmonary stenosis, especially in children with genetic syndrome, may limit procedural success.</w:t>
      </w:r>
    </w:p>
    <w:p>
      <w:pPr>
        <w:pStyle w:val="Normal"/>
        <w:widowControl w:val="false"/>
        <w:tabs>
          <w:tab w:val="clear" w:pos="719"/>
          <w:tab w:val="left" w:pos="440" w:leader="none"/>
        </w:tabs>
        <w:snapToGrid w:val="false"/>
        <w:spacing w:before="240" w:after="60"/>
        <w:rPr>
          <w:b/>
          <w:b/>
          <w:szCs w:val="22"/>
        </w:rPr>
      </w:pPr>
      <w:r>
        <w:rPr>
          <w:b/>
          <w:szCs w:val="22"/>
        </w:rPr>
        <w:t>2 Materials and Methods</w:t>
      </w:r>
    </w:p>
    <w:p>
      <w:pPr>
        <w:pStyle w:val="Normal"/>
        <w:tabs>
          <w:tab w:val="clear" w:pos="719"/>
          <w:tab w:val="left" w:pos="440" w:leader="none"/>
        </w:tabs>
        <w:spacing w:before="0" w:after="0"/>
        <w:ind w:firstLine="440"/>
        <w:rPr>
          <w:lang w:val="en-GB"/>
        </w:rPr>
      </w:pPr>
      <w:r>
        <w:rPr>
          <w:lang w:val="en-GB"/>
        </w:rPr>
        <w:t>This study is a single centre, clinical observational study of children undergoing BVP for native PS. We reviewed the efficacy of BVP of native PS at our institution over the last 17 years for medium-term outcome, possible factors, including age at intervention, anatomic factors such as additional supravalvular stenosis, technical aspects of BVP, and genetic comorbidity. All consecutive patients with PS treated by BVP were identified within our digital hospital data base. The search was conducted with the keywords "pulmonary valve stenosis" and "balloon valvuloplasty" for the period from February 2002 to March 2019. Inclusion criteria were (1) age at intervention &lt;19 years, (2) diagnosis of a native PS; including critical pulmonary stenosis, and (3) associated simple type of CHD, such as patent foramen ovale (PFO), atrial septal defect (ASD), small muscular ventricular septal defect (VSD) or patent arterial duct (PDA), all without hemodynamic relevance at the time of BVP. We further included neonates, who already were treated before birth by a fetal BVP of fetal PS. Critical PS was defined by duct-dependent pulmonary circulation and need of prostaglandin E2 infusion with or without severe cyanosis after birth.</w:t>
      </w:r>
    </w:p>
    <w:p>
      <w:pPr>
        <w:pStyle w:val="Normal"/>
        <w:tabs>
          <w:tab w:val="clear" w:pos="719"/>
          <w:tab w:val="left" w:pos="440" w:leader="none"/>
        </w:tabs>
        <w:spacing w:before="0" w:after="0"/>
        <w:ind w:firstLine="440"/>
        <w:rPr/>
      </w:pPr>
      <w:r>
        <w:rPr>
          <w:lang w:val="en-GB"/>
        </w:rPr>
        <w:t>Patients were excluded, if they had another preceding cardiac surgical procedure, or an associated complex type of CHD, such as Tetralogy of Fallot, double outlet right ventricle of Fallot type, or pulmonary atresia with intact ventricular septum, or other CHD associated with valvular PS.</w:t>
      </w:r>
    </w:p>
    <w:p>
      <w:pPr>
        <w:pStyle w:val="Normal"/>
        <w:tabs>
          <w:tab w:val="clear" w:pos="719"/>
          <w:tab w:val="left" w:pos="440" w:leader="none"/>
        </w:tabs>
        <w:spacing w:before="0" w:after="0"/>
        <w:ind w:firstLine="440"/>
        <w:rPr>
          <w:lang w:val="en-GB"/>
        </w:rPr>
      </w:pPr>
      <w:r>
        <w:rPr>
          <w:lang w:val="en-GB"/>
        </w:rPr>
        <w:t>We did not exclude patients with Noonan syndrome, Williams’ syndrome or other genetic syndromes associated with valvular PS.</w:t>
      </w:r>
    </w:p>
    <w:p>
      <w:pPr>
        <w:pStyle w:val="Normal"/>
        <w:tabs>
          <w:tab w:val="clear" w:pos="719"/>
          <w:tab w:val="left" w:pos="440" w:leader="none"/>
        </w:tabs>
        <w:spacing w:before="0" w:after="0"/>
        <w:ind w:firstLine="440"/>
        <w:rPr>
          <w:lang w:val="en-GB"/>
        </w:rPr>
      </w:pPr>
      <w:r>
        <w:rPr>
          <w:lang w:val="en-GB"/>
        </w:rPr>
        <w:t>The medical records, echocardiograms, angiography and cardiac catheterization data were reviewed.</w:t>
      </w:r>
    </w:p>
    <w:p>
      <w:pPr>
        <w:pStyle w:val="Normal"/>
        <w:tabs>
          <w:tab w:val="clear" w:pos="719"/>
          <w:tab w:val="left" w:pos="440" w:leader="none"/>
        </w:tabs>
        <w:spacing w:before="0" w:after="0"/>
        <w:ind w:firstLine="440"/>
        <w:rPr>
          <w:lang w:val="en-GB"/>
        </w:rPr>
      </w:pPr>
      <w:r>
        <w:rPr>
          <w:lang w:val="en-GB"/>
        </w:rPr>
        <w:t>The indication for BVP was based on the Doppler pressure gradient across the pulmonary valve. The indication for a BVP of PS was a right ventricular pressure increase of more than 2/3 of the systolic arterial pressure in asymptomatic or more than 1/2 of the systolic arterial pressure in symptomatic patients or duct-dependent pulmonary perfusion (critical PS)</w:t>
      </w:r>
    </w:p>
    <w:p>
      <w:pPr>
        <w:pStyle w:val="Normal"/>
        <w:tabs>
          <w:tab w:val="clear" w:pos="719"/>
          <w:tab w:val="left" w:pos="440" w:leader="none"/>
        </w:tabs>
        <w:spacing w:before="240" w:after="60"/>
        <w:rPr>
          <w:b/>
          <w:b/>
          <w:i/>
          <w:i/>
          <w:szCs w:val="22"/>
        </w:rPr>
      </w:pPr>
      <w:r>
        <w:rPr>
          <w:b/>
          <w:i/>
          <w:szCs w:val="22"/>
        </w:rPr>
        <w:t>2.1 Catheter procedure</w:t>
      </w:r>
    </w:p>
    <w:p>
      <w:pPr>
        <w:pStyle w:val="Normal"/>
        <w:tabs>
          <w:tab w:val="clear" w:pos="719"/>
          <w:tab w:val="left" w:pos="440" w:leader="none"/>
        </w:tabs>
        <w:spacing w:before="0" w:after="0"/>
        <w:ind w:firstLine="440"/>
        <w:rPr>
          <w:b/>
          <w:b/>
          <w:bCs/>
          <w:lang w:val="en-GB"/>
        </w:rPr>
      </w:pPr>
      <w:r>
        <w:rPr>
          <w:lang w:val="en-GB"/>
        </w:rPr>
        <w:t>Transcatheter procedures were performed under general anaesthesia and endotracheal intubation. Standard technical approach was performed as previously described.</w:t>
      </w:r>
      <w:r>
        <w:fldChar w:fldCharType="begin"/>
      </w:r>
      <w:r>
        <w:rPr>
          <w:lang w:val="en-GB"/>
        </w:rPr>
        <w:instrText>ADDIN EN.CITE &lt;EndNote&gt;&lt;Cite&gt;&lt;Author&gt;Rao&lt;/Author&gt;&lt;Year&gt;2007&lt;/Year&gt;&lt;IDText&gt;Percutaneous balloon pulmonary valvuloplasty: state of the art&lt;/IDText&gt;&lt;DisplayText&gt;(22)&lt;/DisplayText&gt;&lt;record&gt;&lt;dates&gt;&lt;pub-dates&gt;&lt;date&gt;Apr&lt;/date&gt;&lt;/pub-dates&gt;&lt;year&gt;2007&lt;/year&gt;&lt;/dates&gt;&lt;keywords&gt;&lt;keyword&gt;Age Factors&lt;/keyword&gt;&lt;keyword&gt;Catheterization&lt;/keyword&gt;&lt;keyword&gt;Equipment Design&lt;/keyword&gt;&lt;keyword&gt;Equipment Safety&lt;/keyword&gt;&lt;keyword&gt;Graft Occlusion, Vascular&lt;/keyword&gt;&lt;keyword&gt;Humans&lt;/keyword&gt;&lt;keyword&gt;Pulmonary Valve Stenosis&lt;/keyword&gt;&lt;keyword&gt;Retreatment&lt;/keyword&gt;&lt;keyword&gt;Time Factors&lt;/keyword&gt;&lt;/keywords&gt;&lt;urls&gt;&lt;related-urls&gt;&lt;url&gt;https://www.ncbi.nlm.nih.gov/pubmed/17330270&lt;/url&gt;&lt;/related-urls&gt;&lt;/urls&gt;&lt;isbn&gt;1522-1946&lt;/isbn&gt;&lt;titles&gt;&lt;title&gt;Percutaneous balloon pulmonary valvuloplasty: state of the art&lt;/title&gt;&lt;secondary-title&gt;Catheter Cardiovasc Interv&lt;/secondary-title&gt;&lt;/titles&gt;&lt;pages&gt;747-63&lt;/pages&gt;&lt;number&gt;5&lt;/number&gt;&lt;contributors&gt;&lt;authors&gt;&lt;author&gt;Rao, P. S.&lt;/author&gt;&lt;/authors&gt;&lt;/contributors&gt;&lt;language&gt;eng&lt;/language&gt;&lt;added-date format="utc"&gt;1570279936&lt;/added-date&gt;&lt;ref-type name="Journal Article"&gt;17&lt;/ref-type&gt;&lt;rec-number&gt;66&lt;/rec-number&gt;&lt;last-updated-date format="utc"&gt;1570279936&lt;/last-updated-date&gt;&lt;accession-num&gt;17330270&lt;/accession-num&gt;&lt;electronic-resource-num&gt;10.1002/ccd.20982&lt;/electronic-resource-num&gt;&lt;volume&gt;69&lt;/volume&gt;&lt;/record&gt;&lt;/Cite&gt;&lt;/EndNote&gt;</w:instrText>
      </w:r>
      <w:r>
        <w:rPr>
          <w:lang w:val="en-GB"/>
        </w:rPr>
      </w:r>
      <w:r>
        <w:rPr>
          <w:lang w:val="en-GB"/>
        </w:rPr>
        <w:fldChar w:fldCharType="separate"/>
      </w:r>
      <w:r>
        <w:rPr>
          <w:lang w:val="en-GB"/>
        </w:rPr>
        <w:t>[22]</w:t>
      </w:r>
      <w:r>
        <w:rPr>
          <w:lang w:val="en-GB"/>
        </w:rPr>
      </w:r>
      <w:r>
        <w:rPr>
          <w:lang w:val="en-GB"/>
        </w:rPr>
        <w:fldChar w:fldCharType="end"/>
      </w:r>
      <w:r>
        <w:rPr>
          <w:lang w:val="en-GB"/>
        </w:rPr>
        <w:t xml:space="preserve"> For BVP, the adequate balloon size was determined starting with a balloon diameter of at least 120 % of the measured PV annulus in both projections. Balloon dilatation was performed with balloon inflation until the PV narrowing (balloon waist) disappeared, up to the recommended rated burst pressure. Post procedure, the peak-to-peak pressure gradient was re-measured across the pulmonary valve by a pressure curve pull back, and angiography of the PA and the RV were repeated. If a significant pressure gradient remained, secondary balloon valvuloplasty was performed with a larger balloon diameter (stepwise increase of balloon diameter by 1 to 2mm) and higher inflation pressures. The procedure was defined as successful, if a significant pressure gradient reduction defined as a residual peak-to-peak pressure gradient of less than 20mmHg or reduced systolic RV pressure less than half of the systemic arterial pressure and an improved opening of the PV with broader contrast jet on angiography was achieved. After cardiac catheterization, low molecular weight heparin was used twice daily for the following 24 hours to prevent thromboembolic complications.</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t>[23, 24]</w:t>
      </w:r>
      <w:r>
        <w:rPr>
          <w:lang w:val="en-GB"/>
        </w:rPr>
      </w:r>
      <w:r>
        <w:rPr>
          <w:lang w:val="en-GB"/>
        </w:rPr>
        <w:fldChar w:fldCharType="end"/>
      </w:r>
      <w:r>
        <w:rPr>
          <w:lang w:val="en-GB"/>
        </w:rPr>
        <w:t xml:space="preserve"> Patients stayed in hospital overnight for clinical observation and were discharged after clinical evaluation, electrocardiogram and echocardiogram one or two days after the procedure.</w:t>
      </w:r>
    </w:p>
    <w:p>
      <w:pPr>
        <w:pStyle w:val="Normal"/>
        <w:tabs>
          <w:tab w:val="clear" w:pos="719"/>
          <w:tab w:val="left" w:pos="440" w:leader="none"/>
        </w:tabs>
        <w:spacing w:before="0" w:after="0"/>
        <w:ind w:firstLine="440"/>
        <w:rPr>
          <w:lang w:val="en-GB"/>
        </w:rPr>
      </w:pPr>
      <w:r>
        <w:rPr>
          <w:lang w:val="en-GB"/>
        </w:rPr>
        <w:t>From the cardiac catheterization procedure, type of balloons, maximal balloon diameters and maximal balloon inflation pressures were noted. The maximal balloon diameter-to-PV annulus ratio, and the ratio between systolic RV pressure and systolic left ventricular pressure before and after the intervention were calculated. The SA pressure was evaluated before BVP. If the pressure of the LV was not noted in the protocol, systolic arterial blood pressure data was used. The diagnosis of supravalvular stenosis was made from angiography. Any complication during the procedure was noted and its severity was grouped according to Bergersen et al. 2011.</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t>[25]</w:t>
      </w:r>
      <w:r>
        <w:rPr>
          <w:lang w:val="en-GB"/>
        </w:rPr>
      </w:r>
      <w:r>
        <w:rPr>
          <w:lang w:val="en-GB"/>
        </w:rPr>
        <w:fldChar w:fldCharType="end"/>
      </w:r>
    </w:p>
    <w:p>
      <w:pPr>
        <w:pStyle w:val="Normal"/>
        <w:tabs>
          <w:tab w:val="clear" w:pos="719"/>
          <w:tab w:val="left" w:pos="440" w:leader="none"/>
        </w:tabs>
        <w:spacing w:before="240" w:after="60"/>
        <w:rPr>
          <w:b/>
          <w:b/>
          <w:i/>
          <w:i/>
          <w:szCs w:val="22"/>
        </w:rPr>
      </w:pPr>
      <w:r>
        <w:rPr>
          <w:b/>
          <w:i/>
          <w:szCs w:val="22"/>
        </w:rPr>
        <w:t>2.2 Doppler Echocardiography</w:t>
      </w:r>
    </w:p>
    <w:p>
      <w:pPr>
        <w:pStyle w:val="Normal"/>
        <w:tabs>
          <w:tab w:val="clear" w:pos="719"/>
          <w:tab w:val="left" w:pos="440" w:leader="none"/>
        </w:tabs>
        <w:spacing w:before="0" w:after="0"/>
        <w:ind w:firstLine="440"/>
        <w:rPr>
          <w:lang w:val="en-GB"/>
        </w:rPr>
      </w:pPr>
      <w:r>
        <w:rPr>
          <w:lang w:val="en-GB"/>
        </w:rPr>
        <w:t>Two-dimensional transthoracic Doppler echocardiography, pulsatile and continuous wave Doppler and colour flow mapping were used to study cardiac anatomy, dimension, function and flow pattern. Three echocardiographic examinations were reviewed for each child at (1) the day before BVP, (2) the day after BVP and (3) at the time of last follow-up. For patients undergoing an additional procedure, the last follow-up is defined as the last echocardiography performed before reintervention. From these echocardiograms, the diameter of the PV annulus, the maximum peak gradient across the PV and the presence of pulmonary valvular regurgitation (PR) were noted. PR was assessed by colour-flow mapping and graded as none, mild, moderate and severe according to the ratio of diastolic colour Doppler jet width to outflow diameter of the RV. A ratio of jet width-to-RV outflow diameter gradient of less than 1/3 was considered as mild, between 1/3 to 2/3 as moderate and of more than 2/3 as severe PR.</w:t>
      </w:r>
      <w:r>
        <w:fldChar w:fldCharType="begin"/>
      </w:r>
      <w:r>
        <w:rPr>
          <w:lang w:val="en-GB"/>
        </w:rPr>
        <w:instrText>ADDIN EN.CITE &lt;EndNote&gt;&lt;Cite&gt;&lt;Author&gt;Srivastava&lt;/Author&gt;&lt;Year&gt;2009&lt;/Year&gt;&lt;IDText&gt;Tetralogy of Fallot&lt;/IDText&gt;&lt;DisplayText&gt;(26)&lt;/DisplayText&gt;&lt;record&gt;&lt;titles&gt;&lt;title&gt;Tetralogy of Fallot&lt;/title&gt;&lt;secondary-title&gt;Echocardiography in pediatric and congenital heart disease : from fetus to adult&lt;/secondary-title&gt;&lt;/titles&gt;&lt;pages&gt;362-384&lt;/pages&gt;&lt;contributors&gt;&lt;authors&gt;&lt;author&gt;Srivastava, Shubhika&lt;/author&gt;&lt;author&gt;Parness, Ira A.&lt;/author&gt;&lt;/authors&gt;&lt;/contributors&gt;&lt;added-date format="utc"&gt;1584096684&lt;/added-date&gt;&lt;pub-location&gt;Oxford&lt;/pub-location&gt;&lt;ref-type name="Book Section"&gt;5&lt;/ref-type&gt;&lt;dates&gt;&lt;year&gt;2009&lt;/year&gt;&lt;/dates&gt;&lt;rec-number&gt;158&lt;/rec-number&gt;&lt;publisher&gt;Wiley-Blackwell&lt;/publisher&gt;&lt;last-updated-date format="utc"&gt;1603918375&lt;/last-updated-date&gt;&lt;contributors&gt;&lt;secondary-authors&gt;&lt;author&gt;Lai, Wyman W.&lt;/author&gt;&lt;/secondary-authors&gt;&lt;/contributors&gt;&lt;/record&gt;&lt;/Cite&gt;&lt;/EndNote&gt;</w:instrText>
      </w:r>
      <w:r>
        <w:rPr>
          <w:lang w:val="en-GB"/>
        </w:rPr>
      </w:r>
      <w:r>
        <w:rPr>
          <w:lang w:val="en-GB"/>
        </w:rPr>
        <w:fldChar w:fldCharType="separate"/>
      </w:r>
      <w:r>
        <w:rPr>
          <w:lang w:val="en-GB"/>
        </w:rPr>
        <w:t>[26]</w:t>
      </w:r>
      <w:r>
        <w:rPr>
          <w:lang w:val="en-GB"/>
        </w:rPr>
      </w:r>
      <w:r>
        <w:rPr>
          <w:lang w:val="en-GB"/>
        </w:rPr>
        <w:fldChar w:fldCharType="end"/>
      </w:r>
    </w:p>
    <w:p>
      <w:pPr>
        <w:pStyle w:val="Normal"/>
        <w:tabs>
          <w:tab w:val="clear" w:pos="719"/>
          <w:tab w:val="left" w:pos="440" w:leader="none"/>
        </w:tabs>
        <w:spacing w:before="240" w:after="60"/>
        <w:rPr>
          <w:b/>
          <w:b/>
          <w:i/>
          <w:i/>
          <w:szCs w:val="22"/>
        </w:rPr>
      </w:pPr>
      <w:r>
        <w:rPr>
          <w:b/>
          <w:i/>
          <w:szCs w:val="22"/>
        </w:rPr>
        <w:t>2.3 Statistics</w:t>
      </w:r>
    </w:p>
    <w:p>
      <w:pPr>
        <w:pStyle w:val="Normal"/>
        <w:tabs>
          <w:tab w:val="clear" w:pos="719"/>
          <w:tab w:val="left" w:pos="440" w:leader="none"/>
        </w:tabs>
        <w:spacing w:before="0" w:after="0"/>
        <w:ind w:firstLine="440"/>
        <w:rPr>
          <w:lang w:val="en-GB"/>
        </w:rPr>
      </w:pPr>
      <w:r>
        <w:rPr>
          <w:lang w:val="en-GB"/>
        </w:rPr>
        <w:t>Continuous data were presented median with interquartile ranges (IQR). Categorial variables were expressed as numbers with percentages. For statistical evaluation of continuous variables, we used the paired t-test or Mann-Whitney U-Test depending on the type of distribution of assessed data. Categorial parameters were compared using the Pearson chi-square test and Fisher exact test. Kaplan-Meier analysis were used displaying freedom of additional procedures. A p-value &lt;0.05 was determined as significant. All statistical analyses were performed using SPSS Statistics Version 25.0.</w:t>
      </w:r>
    </w:p>
    <w:p>
      <w:pPr>
        <w:pStyle w:val="Normal"/>
        <w:tabs>
          <w:tab w:val="clear" w:pos="719"/>
          <w:tab w:val="left" w:pos="440" w:leader="none"/>
        </w:tabs>
        <w:spacing w:before="0" w:after="0"/>
        <w:ind w:firstLine="440"/>
        <w:rPr>
          <w:lang w:val="en-GB"/>
        </w:rPr>
      </w:pPr>
      <w:r>
        <w:rPr>
          <w:lang w:val="en-GB"/>
        </w:rPr>
      </w:r>
    </w:p>
    <w:p>
      <w:pPr>
        <w:pStyle w:val="Normal"/>
        <w:tabs>
          <w:tab w:val="clear" w:pos="719"/>
          <w:tab w:val="left" w:pos="440" w:leader="none"/>
        </w:tabs>
        <w:spacing w:before="240" w:after="60"/>
        <w:rPr>
          <w:b/>
          <w:b/>
          <w:i/>
          <w:i/>
          <w:szCs w:val="22"/>
        </w:rPr>
      </w:pPr>
      <w:r>
        <w:rPr>
          <w:b/>
          <w:i/>
          <w:szCs w:val="22"/>
        </w:rPr>
        <w:t>2.4 Ethics</w:t>
      </w:r>
    </w:p>
    <w:p>
      <w:pPr>
        <w:pStyle w:val="Normal"/>
        <w:tabs>
          <w:tab w:val="clear" w:pos="719"/>
          <w:tab w:val="left" w:pos="440" w:leader="none"/>
        </w:tabs>
        <w:spacing w:before="0" w:after="0"/>
        <w:ind w:firstLine="440"/>
        <w:rPr>
          <w:lang w:val="en-GB"/>
        </w:rPr>
      </w:pPr>
      <w:r>
        <w:rPr>
          <w:lang w:val="en-GB"/>
        </w:rPr>
        <w:t>The study was approved by the Cantonal Ethical Committee (BASEC Nr. 2019–01130)</w:t>
      </w:r>
    </w:p>
    <w:p>
      <w:pPr>
        <w:pStyle w:val="Normal"/>
        <w:widowControl w:val="false"/>
        <w:tabs>
          <w:tab w:val="clear" w:pos="719"/>
          <w:tab w:val="left" w:pos="440" w:leader="none"/>
        </w:tabs>
        <w:snapToGrid w:val="false"/>
        <w:spacing w:before="240" w:after="60"/>
        <w:rPr>
          <w:b/>
          <w:b/>
          <w:szCs w:val="22"/>
        </w:rPr>
      </w:pPr>
      <w:r>
        <w:rPr>
          <w:b/>
          <w:szCs w:val="22"/>
        </w:rPr>
        <w:t>3 Results</w:t>
      </w:r>
    </w:p>
    <w:p>
      <w:pPr>
        <w:pStyle w:val="Normal"/>
        <w:widowControl w:val="false"/>
        <w:tabs>
          <w:tab w:val="clear" w:pos="719"/>
          <w:tab w:val="left" w:pos="440" w:leader="none"/>
        </w:tabs>
        <w:snapToGrid w:val="false"/>
        <w:rPr>
          <w:b/>
          <w:b/>
          <w:szCs w:val="22"/>
        </w:rPr>
      </w:pPr>
      <w:r>
        <w:rPr>
          <w:b/>
          <w:i/>
          <w:szCs w:val="22"/>
        </w:rPr>
        <w:t>3.1 Patients</w:t>
      </w:r>
    </w:p>
    <w:p>
      <w:pPr>
        <w:pStyle w:val="Normal"/>
        <w:tabs>
          <w:tab w:val="clear" w:pos="719"/>
          <w:tab w:val="left" w:pos="440" w:leader="none"/>
        </w:tabs>
        <w:spacing w:before="0" w:after="0"/>
        <w:ind w:firstLine="440"/>
        <w:rPr>
          <w:lang w:val="en-GB"/>
        </w:rPr>
      </w:pPr>
      <w:r>
        <w:rPr>
          <w:lang w:val="en-GB"/>
        </w:rPr>
        <w:t>Pulmonary balloon valvuloplasty was performed in 218 patients between February 2002 and March 2019. We excluded patients with a former cardiac procedure other than BVP of PS (n=40), associated complex CHD (n=11), pulmonary atresia with intact ventricular septum who required catheter radiofrequency perforation of atretic PV before BVP (n=10) or missing informed study consent (n=14).</w:t>
      </w:r>
    </w:p>
    <w:p>
      <w:pPr>
        <w:pStyle w:val="Normal"/>
        <w:tabs>
          <w:tab w:val="clear" w:pos="719"/>
          <w:tab w:val="left" w:pos="440" w:leader="none"/>
        </w:tabs>
        <w:spacing w:before="0" w:after="0"/>
        <w:ind w:firstLine="440"/>
        <w:rPr>
          <w:lang w:val="en-GB"/>
        </w:rPr>
      </w:pPr>
      <w:r>
        <w:rPr>
          <w:lang w:val="en-GB"/>
        </w:rPr>
        <w:t>Therefore, we report on 143 patients fulfilling the inclusion criteria with native PS treated with BVP. 112 patients had an isolated valvular PS without additional supravavlular obstruction, 31 patients had a combined valvular and supravalvular PS. Critical PS was found in 25 (17.5 %) neonates. Three patients were treated for PS before birth by a fetal BVP and needed further BVP for residual PS after birth.</w:t>
      </w:r>
    </w:p>
    <w:p>
      <w:pPr>
        <w:pStyle w:val="Normal"/>
        <w:tabs>
          <w:tab w:val="clear" w:pos="719"/>
          <w:tab w:val="left" w:pos="440" w:leader="none"/>
        </w:tabs>
        <w:spacing w:before="0" w:after="0"/>
        <w:ind w:firstLine="440"/>
        <w:rPr>
          <w:lang w:val="en-GB"/>
        </w:rPr>
      </w:pPr>
      <w:r>
        <w:rPr>
          <w:lang w:val="en-GB"/>
        </w:rPr>
        <w:t>Overall, the median (IQR) age at intervention was 2.6 (0.26–9.24) months, body weight 5.0 (3.4–8.0) kg, and body length 58 (50–73) cm. Forty-seven of 143 patients (33 %) were neonates, 66 of 143 (46 %) were infants and 30 of 143 (21 %) were older than 1 year of age at BVP. Associated genetic syndromes were found in 10 (7 %) patients including Noonan syndrome (n=6), Williams’ syndrome (n=2), Wolf-Hirschhorn syndrome (n=1), and Smith-Magenis syndrome (n=1). A total of 107 (75 %) infants had one or more additional minor CHD, including PFO (n=65, among them n=29 below 1 month of age), PDA (n=37, among them n=25 treated with prostaglandin E2 due to critical PS), ASD (n=42 ASD II, treated during follow-up n=4; n=1 ASD I), small muscular VSD (n=9, treated during follow-up n=0), and partial anomalous pulmonary venous drainage (PAPVD) (n=2, treated during follow-up n=0). Combined procedures during initial BVP of PS were interventional closure of ASD II (n=4), PFO (n=1) and PDA (n=1).</w:t>
      </w:r>
    </w:p>
    <w:p>
      <w:pPr>
        <w:pStyle w:val="Normal"/>
        <w:tabs>
          <w:tab w:val="clear" w:pos="719"/>
          <w:tab w:val="left" w:pos="440" w:leader="none"/>
        </w:tabs>
        <w:spacing w:before="0" w:after="0"/>
        <w:ind w:firstLine="440"/>
        <w:rPr>
          <w:lang w:val="en-GB"/>
        </w:rPr>
      </w:pPr>
      <w:r>
        <w:rPr>
          <w:lang w:val="en-GB"/>
        </w:rPr>
        <w:t>The immediate and medium-term results of BVP are shown in Tab. 1. Angiography revealed a median pulmonary annulus diameter comparable with the median diameter of the pulmonary valve annulus measured by echocardiography the day before (8.1 (7–10.4) mm at cath vs. 8.3 (7–10) mm on echo; p=0.748). The used balloon diameter for BVP was 10.0 (9-14) mm resulting in balloon diameter-to-PV annulus ratio of 1.28 (1.2–1.4) with a maximal balloon pressure of 4 (3.5–10.0) atm. Further procedural details of BVP are given in Tab. 2.</w:t>
      </w:r>
    </w:p>
    <w:p>
      <w:pPr>
        <w:pStyle w:val="Normal"/>
        <w:tabs>
          <w:tab w:val="clear" w:pos="719"/>
          <w:tab w:val="left" w:pos="440" w:leader="none"/>
        </w:tabs>
        <w:spacing w:before="0" w:after="0"/>
        <w:ind w:firstLine="440"/>
        <w:rPr>
          <w:lang w:val="en-GB"/>
        </w:rPr>
      </w:pPr>
      <w:r>
        <w:rPr>
          <w:lang w:val="en-GB"/>
        </w:rPr>
        <w:t>At catheterization, we found a significant reduction of invasive measured systolic RV pressure (before BVP 64.0 (52.0–84.0) mmHg vs. after BVP 41.0 (35.0–51.0) mmHg; p&lt;0.001), and systolic RV-PA pressure gradient (before 43.5 (31.3–59.0) mmHg vs. after 14.0 (9.0–20.0) mmHg; p&lt;0.001) and increase of systolic PA pressure (before BVP 20.0 (17.0–27.5) mmHg vs. after BVP 25.0 (21.0–32.0) mmHg; p&lt;0.001). Before BVP, the ratio systolic RV pressure-to-systolic arterial pressure was 0.9 (0.7–1.2) Tab. 1.</w:t>
      </w:r>
    </w:p>
    <w:p>
      <w:pPr>
        <w:pStyle w:val="Normal"/>
        <w:tabs>
          <w:tab w:val="clear" w:pos="719"/>
          <w:tab w:val="left" w:pos="440" w:leader="none"/>
        </w:tabs>
        <w:spacing w:before="0" w:after="0"/>
        <w:ind w:firstLine="434"/>
        <w:rPr>
          <w:lang w:val="en-GB"/>
        </w:rPr>
      </w:pPr>
      <w:r>
        <w:rPr>
          <w:spacing w:val="-3"/>
          <w:lang w:val="en-GB"/>
        </w:rPr>
        <w:t>Immediate and medium-term results of BVP of PS determined by echocardiography are shown in Fig. 1.</w:t>
      </w:r>
      <w:r>
        <w:rPr>
          <w:lang w:val="en-GB"/>
        </w:rPr>
        <w:t xml:space="preserve"> The peak Doppler pressure gradient was reduced from 68.0 (57.0–81.0) mmHg before BVP to 25.0 (19.0–45.0) mmHg on the day after BVP and 14.0 (5.8–22.0) mmHg at last follow-up (all p&lt;0.001).</w:t>
      </w:r>
    </w:p>
    <w:p>
      <w:pPr>
        <w:pStyle w:val="Normal"/>
        <w:tabs>
          <w:tab w:val="clear" w:pos="719"/>
          <w:tab w:val="left" w:pos="440" w:leader="none"/>
        </w:tabs>
        <w:spacing w:before="0" w:after="0"/>
        <w:ind w:firstLine="440"/>
        <w:rPr>
          <w:lang w:val="en-GB"/>
        </w:rPr>
      </w:pPr>
      <w:r>
        <w:rPr>
          <w:lang w:val="en-GB"/>
        </w:rPr>
        <w:t>The follow-up was 5.04 (1.6–0.2) years. Twenty-one patients were lost of follow-up and were excluded for medium-term analysis Fig. 1. Follow up rate was 85.4 %.</w:t>
      </w:r>
    </w:p>
    <w:p>
      <w:pPr>
        <w:pStyle w:val="Normal"/>
        <w:tabs>
          <w:tab w:val="clear" w:pos="719"/>
          <w:tab w:val="left" w:pos="440" w:leader="none"/>
        </w:tabs>
        <w:spacing w:before="0" w:after="0"/>
        <w:ind w:firstLine="440"/>
        <w:rPr>
          <w:lang w:val="en-GB"/>
        </w:rPr>
      </w:pPr>
      <w:r>
        <w:rPr>
          <w:lang w:val="en-GB"/>
        </w:rPr>
        <w:t>The distribution of the degree of PR determined on echo at the day after pulmonary BVP were in more than two thirds of the patients of mild degree (n=98, 69 %) and remained stable during medium-term follow-up (n=78, 64 %) Fig. 2. PR after pulmonary BVP of PS was not associated with oversizing of balloons used during BVP procedures. In 26 of 143 patients the balloon diameter-to-PV annulus ratio exceeded more than 1.4 but did not result in a higher degree of PR on the day after BVP or at last follow-up. PV replacement for PR was not necessary during medium-term follow-up.</w:t>
      </w:r>
    </w:p>
    <w:p>
      <w:pPr>
        <w:pStyle w:val="Normal"/>
        <w:tabs>
          <w:tab w:val="clear" w:pos="719"/>
          <w:tab w:val="left" w:pos="440" w:leader="none"/>
        </w:tabs>
        <w:spacing w:before="0" w:after="0"/>
        <w:rPr>
          <w:lang w:val="en-GB"/>
        </w:rPr>
      </w:pPr>
      <w:r>
        <w:rPr>
          <w:lang w:val="en-GB"/>
        </w:rPr>
      </w:r>
    </w:p>
    <w:p>
      <w:pPr>
        <w:pStyle w:val="Normal"/>
        <w:tabs>
          <w:tab w:val="clear" w:pos="719"/>
          <w:tab w:val="left" w:pos="440" w:leader="none"/>
        </w:tabs>
        <w:spacing w:before="0" w:after="0"/>
        <w:jc w:val="center"/>
        <w:rPr>
          <w:bCs/>
          <w:lang w:val="en-GB"/>
        </w:rPr>
      </w:pPr>
      <w:r>
        <w:rPr>
          <w:b/>
          <w:bCs/>
          <w:lang w:val="en-GB"/>
        </w:rPr>
        <w:t>Table 1:</w:t>
      </w:r>
      <w:r>
        <w:rPr>
          <w:lang w:val="en-GB"/>
        </w:rPr>
        <w:t xml:space="preserve"> </w:t>
      </w:r>
      <w:r>
        <w:rPr>
          <w:bCs/>
          <w:lang w:val="en-GB"/>
        </w:rPr>
        <w:t>Baseline characteristics and medium-term results of balloon valvuloplasty of native PS in pediatric patients comparing valvular and valvular + supravalvular PS.</w:t>
      </w:r>
    </w:p>
    <w:p>
      <w:pPr>
        <w:pStyle w:val="Normal"/>
        <w:tabs>
          <w:tab w:val="clear" w:pos="719"/>
          <w:tab w:val="left" w:pos="440" w:leader="none"/>
        </w:tabs>
        <w:spacing w:before="0" w:after="0"/>
        <w:jc w:val="center"/>
        <w:rPr>
          <w:lang w:val="en-GB"/>
        </w:rPr>
      </w:pPr>
      <w:r>
        <w:rPr>
          <w:lang w:val="en-GB"/>
        </w:rPr>
      </w:r>
    </w:p>
    <w:tbl>
      <w:tblPr>
        <w:tblStyle w:val="afa"/>
        <w:tblW w:w="9918" w:type="dxa"/>
        <w:jc w:val="center"/>
        <w:tblInd w:w="0" w:type="dxa"/>
        <w:tblCellMar>
          <w:top w:w="0" w:type="dxa"/>
          <w:left w:w="108" w:type="dxa"/>
          <w:bottom w:w="0" w:type="dxa"/>
          <w:right w:w="108" w:type="dxa"/>
        </w:tblCellMar>
        <w:tblLook w:val="04a0" w:noHBand="0" w:noVBand="1" w:firstColumn="1" w:lastRow="0" w:lastColumn="0" w:firstRow="1"/>
      </w:tblPr>
      <w:tblGrid>
        <w:gridCol w:w="4111"/>
        <w:gridCol w:w="1559"/>
        <w:gridCol w:w="1701"/>
        <w:gridCol w:w="1700"/>
        <w:gridCol w:w="847"/>
      </w:tblGrid>
      <w:tr>
        <w:trPr/>
        <w:tc>
          <w:tcPr>
            <w:tcW w:w="4111" w:type="dxa"/>
            <w:tcBorders>
              <w:left w:val="nil"/>
              <w:right w:val="nil"/>
            </w:tcBorders>
          </w:tcPr>
          <w:p>
            <w:pPr>
              <w:pStyle w:val="Normal"/>
              <w:spacing w:before="0" w:after="60"/>
              <w:rPr>
                <w:sz w:val="20"/>
                <w:lang w:val="en-GB"/>
              </w:rPr>
            </w:pPr>
            <w:r>
              <w:rPr>
                <w:sz w:val="20"/>
                <w:lang w:val="en-GB"/>
              </w:rPr>
            </w:r>
          </w:p>
        </w:tc>
        <w:tc>
          <w:tcPr>
            <w:tcW w:w="1559" w:type="dxa"/>
            <w:tcBorders>
              <w:left w:val="nil"/>
              <w:right w:val="nil"/>
            </w:tcBorders>
          </w:tcPr>
          <w:p>
            <w:pPr>
              <w:pStyle w:val="Normal"/>
              <w:spacing w:before="0" w:after="60"/>
              <w:jc w:val="center"/>
              <w:rPr>
                <w:sz w:val="20"/>
                <w:lang w:val="en-GB"/>
              </w:rPr>
            </w:pPr>
            <w:r>
              <w:rPr>
                <w:sz w:val="20"/>
                <w:lang w:val="en-GB"/>
              </w:rPr>
            </w:r>
          </w:p>
        </w:tc>
        <w:tc>
          <w:tcPr>
            <w:tcW w:w="3401" w:type="dxa"/>
            <w:gridSpan w:val="2"/>
            <w:tcBorders>
              <w:left w:val="nil"/>
              <w:right w:val="nil"/>
            </w:tcBorders>
          </w:tcPr>
          <w:p>
            <w:pPr>
              <w:pStyle w:val="Normal"/>
              <w:spacing w:before="0" w:after="60"/>
              <w:jc w:val="center"/>
              <w:rPr>
                <w:sz w:val="20"/>
                <w:lang w:val="en-GB"/>
              </w:rPr>
            </w:pPr>
            <w:r>
              <w:rPr>
                <w:sz w:val="20"/>
                <w:lang w:val="en-GB"/>
              </w:rPr>
              <w:t>Pulmonary valve stenosis</w:t>
            </w:r>
          </w:p>
        </w:tc>
        <w:tc>
          <w:tcPr>
            <w:tcW w:w="847" w:type="dxa"/>
            <w:tcBorders>
              <w:left w:val="nil"/>
              <w:right w:val="nil"/>
            </w:tcBorders>
          </w:tcPr>
          <w:p>
            <w:pPr>
              <w:pStyle w:val="Normal"/>
              <w:spacing w:before="0" w:after="60"/>
              <w:jc w:val="center"/>
              <w:rPr>
                <w:sz w:val="20"/>
                <w:lang w:val="en-GB"/>
              </w:rPr>
            </w:pPr>
            <w:r>
              <w:rPr>
                <w:sz w:val="20"/>
                <w:lang w:val="en-GB"/>
              </w:rPr>
            </w:r>
          </w:p>
        </w:tc>
      </w:tr>
      <w:tr>
        <w:trPr/>
        <w:tc>
          <w:tcPr>
            <w:tcW w:w="4111" w:type="dxa"/>
            <w:tcBorders>
              <w:left w:val="nil"/>
              <w:bottom w:val="nil"/>
              <w:right w:val="nil"/>
            </w:tcBorders>
          </w:tcPr>
          <w:p>
            <w:pPr>
              <w:pStyle w:val="Normal"/>
              <w:spacing w:before="0" w:after="60"/>
              <w:rPr>
                <w:sz w:val="20"/>
                <w:lang w:val="en-GB"/>
              </w:rPr>
            </w:pPr>
            <w:r>
              <w:rPr>
                <w:sz w:val="20"/>
                <w:lang w:val="en-GB"/>
              </w:rPr>
              <w:br/>
            </w:r>
          </w:p>
        </w:tc>
        <w:tc>
          <w:tcPr>
            <w:tcW w:w="1559" w:type="dxa"/>
            <w:tcBorders>
              <w:left w:val="nil"/>
              <w:bottom w:val="nil"/>
              <w:right w:val="nil"/>
            </w:tcBorders>
          </w:tcPr>
          <w:p>
            <w:pPr>
              <w:pStyle w:val="Normal"/>
              <w:spacing w:before="0" w:after="60"/>
              <w:jc w:val="center"/>
              <w:rPr>
                <w:sz w:val="20"/>
                <w:lang w:val="en-GB"/>
              </w:rPr>
            </w:pPr>
            <w:r>
              <w:rPr>
                <w:sz w:val="20"/>
                <w:lang w:val="en-GB"/>
              </w:rPr>
              <w:t>Total patients</w:t>
              <w:br/>
              <w:t>(n=143)</w:t>
            </w:r>
          </w:p>
        </w:tc>
        <w:tc>
          <w:tcPr>
            <w:tcW w:w="1701" w:type="dxa"/>
            <w:tcBorders>
              <w:left w:val="nil"/>
              <w:bottom w:val="nil"/>
              <w:right w:val="nil"/>
            </w:tcBorders>
          </w:tcPr>
          <w:p>
            <w:pPr>
              <w:pStyle w:val="Normal"/>
              <w:spacing w:before="0" w:after="60"/>
              <w:jc w:val="center"/>
              <w:rPr>
                <w:sz w:val="20"/>
                <w:lang w:val="en-GB"/>
              </w:rPr>
            </w:pPr>
            <w:r>
              <w:rPr>
                <w:sz w:val="20"/>
                <w:lang w:val="en-GB"/>
              </w:rPr>
              <w:t xml:space="preserve">Valvular </w:t>
              <w:br/>
              <w:t>(n=112)</w:t>
            </w:r>
          </w:p>
        </w:tc>
        <w:tc>
          <w:tcPr>
            <w:tcW w:w="1700" w:type="dxa"/>
            <w:tcBorders>
              <w:left w:val="nil"/>
              <w:bottom w:val="nil"/>
              <w:right w:val="nil"/>
            </w:tcBorders>
          </w:tcPr>
          <w:p>
            <w:pPr>
              <w:pStyle w:val="Normal"/>
              <w:spacing w:before="0" w:after="60"/>
              <w:jc w:val="center"/>
              <w:rPr>
                <w:sz w:val="20"/>
                <w:lang w:val="en-GB"/>
              </w:rPr>
            </w:pPr>
            <w:r>
              <w:rPr>
                <w:sz w:val="20"/>
                <w:lang w:val="en-GB"/>
              </w:rPr>
              <w:t>Valvular + supravalvular (n=31)</w:t>
            </w:r>
          </w:p>
        </w:tc>
        <w:tc>
          <w:tcPr>
            <w:tcW w:w="847" w:type="dxa"/>
            <w:tcBorders>
              <w:left w:val="nil"/>
              <w:bottom w:val="nil"/>
              <w:right w:val="nil"/>
            </w:tcBorders>
          </w:tcPr>
          <w:p>
            <w:pPr>
              <w:pStyle w:val="Normal"/>
              <w:spacing w:before="0" w:after="60"/>
              <w:jc w:val="center"/>
              <w:rPr>
                <w:sz w:val="20"/>
                <w:lang w:val="en-GB"/>
              </w:rPr>
            </w:pPr>
            <w:r>
              <w:rPr>
                <w:sz w:val="20"/>
                <w:lang w:val="en-GB"/>
              </w:rPr>
              <w:t>p value</w:t>
            </w:r>
          </w:p>
        </w:tc>
      </w:tr>
      <w:tr>
        <w:trPr/>
        <w:tc>
          <w:tcPr>
            <w:tcW w:w="4111" w:type="dxa"/>
            <w:tcBorders>
              <w:top w:val="nil"/>
              <w:left w:val="nil"/>
              <w:bottom w:val="nil"/>
              <w:right w:val="nil"/>
            </w:tcBorders>
            <w:shd w:color="auto" w:fill="auto" w:val="clear"/>
          </w:tcPr>
          <w:p>
            <w:pPr>
              <w:pStyle w:val="Normal"/>
              <w:spacing w:before="0" w:after="60"/>
              <w:ind w:left="171" w:hanging="0"/>
              <w:rPr>
                <w:sz w:val="20"/>
                <w:lang w:val="en-GB"/>
              </w:rPr>
            </w:pPr>
            <w:r>
              <w:rPr>
                <w:sz w:val="20"/>
                <w:lang w:val="en-GB"/>
              </w:rPr>
              <w:t>Age [years]</w:t>
            </w:r>
          </w:p>
        </w:tc>
        <w:tc>
          <w:tcPr>
            <w:tcW w:w="1559" w:type="dxa"/>
            <w:tcBorders>
              <w:top w:val="nil"/>
              <w:left w:val="nil"/>
              <w:bottom w:val="nil"/>
              <w:right w:val="nil"/>
            </w:tcBorders>
          </w:tcPr>
          <w:p>
            <w:pPr>
              <w:pStyle w:val="Normal"/>
              <w:spacing w:before="0" w:after="60"/>
              <w:jc w:val="center"/>
              <w:rPr>
                <w:sz w:val="20"/>
                <w:lang w:val="en-GB"/>
              </w:rPr>
            </w:pPr>
            <w:r>
              <w:rPr>
                <w:sz w:val="20"/>
                <w:lang w:val="en-GB"/>
              </w:rPr>
              <w:t>0.22 (0.02–0.8)</w:t>
            </w:r>
          </w:p>
        </w:tc>
        <w:tc>
          <w:tcPr>
            <w:tcW w:w="1701" w:type="dxa"/>
            <w:tcBorders>
              <w:top w:val="nil"/>
              <w:left w:val="nil"/>
              <w:bottom w:val="nil"/>
              <w:right w:val="nil"/>
            </w:tcBorders>
          </w:tcPr>
          <w:p>
            <w:pPr>
              <w:pStyle w:val="Normal"/>
              <w:spacing w:before="0" w:after="60"/>
              <w:jc w:val="center"/>
              <w:rPr>
                <w:sz w:val="20"/>
                <w:lang w:val="en-GB"/>
              </w:rPr>
            </w:pPr>
            <w:r>
              <w:rPr>
                <w:sz w:val="20"/>
                <w:lang w:val="en-GB"/>
              </w:rPr>
              <w:t>0.14 (0.01–0.7)</w:t>
            </w:r>
          </w:p>
        </w:tc>
        <w:tc>
          <w:tcPr>
            <w:tcW w:w="1700" w:type="dxa"/>
            <w:tcBorders>
              <w:top w:val="nil"/>
              <w:left w:val="nil"/>
              <w:bottom w:val="nil"/>
              <w:right w:val="nil"/>
            </w:tcBorders>
            <w:shd w:color="auto" w:fill="auto" w:val="clear"/>
          </w:tcPr>
          <w:p>
            <w:pPr>
              <w:pStyle w:val="Normal"/>
              <w:spacing w:before="0" w:after="60"/>
              <w:jc w:val="center"/>
              <w:rPr>
                <w:sz w:val="20"/>
                <w:lang w:val="en-GB"/>
              </w:rPr>
            </w:pPr>
            <w:r>
              <w:rPr>
                <w:sz w:val="20"/>
                <w:lang w:val="en-GB"/>
              </w:rPr>
              <w:t>0.47 (0.2–1.2)</w:t>
            </w:r>
          </w:p>
        </w:tc>
        <w:tc>
          <w:tcPr>
            <w:tcW w:w="847" w:type="dxa"/>
            <w:tcBorders>
              <w:top w:val="nil"/>
              <w:left w:val="nil"/>
              <w:bottom w:val="nil"/>
              <w:right w:val="nil"/>
            </w:tcBorders>
          </w:tcPr>
          <w:p>
            <w:pPr>
              <w:pStyle w:val="Normal"/>
              <w:spacing w:before="0" w:after="60"/>
              <w:jc w:val="center"/>
              <w:rPr>
                <w:sz w:val="20"/>
                <w:lang w:val="en-GB"/>
              </w:rPr>
            </w:pPr>
            <w:r>
              <w:rPr>
                <w:sz w:val="20"/>
                <w:lang w:val="en-GB"/>
              </w:rPr>
              <w:t>.002</w:t>
            </w:r>
          </w:p>
        </w:tc>
      </w:tr>
      <w:tr>
        <w:trPr/>
        <w:tc>
          <w:tcPr>
            <w:tcW w:w="4111" w:type="dxa"/>
            <w:tcBorders>
              <w:top w:val="nil"/>
              <w:left w:val="nil"/>
              <w:bottom w:val="nil"/>
              <w:right w:val="nil"/>
            </w:tcBorders>
          </w:tcPr>
          <w:p>
            <w:pPr>
              <w:pStyle w:val="Normal"/>
              <w:spacing w:before="0" w:after="60"/>
              <w:ind w:left="171" w:hanging="0"/>
              <w:rPr>
                <w:sz w:val="20"/>
                <w:lang w:val="en-GB"/>
              </w:rPr>
            </w:pPr>
            <w:r>
              <w:rPr>
                <w:sz w:val="20"/>
                <w:lang w:val="en-GB"/>
              </w:rPr>
              <w:t>Sex, female [n=, %]</w:t>
            </w:r>
          </w:p>
        </w:tc>
        <w:tc>
          <w:tcPr>
            <w:tcW w:w="1559" w:type="dxa"/>
            <w:tcBorders>
              <w:top w:val="nil"/>
              <w:left w:val="nil"/>
              <w:bottom w:val="nil"/>
              <w:right w:val="nil"/>
            </w:tcBorders>
          </w:tcPr>
          <w:p>
            <w:pPr>
              <w:pStyle w:val="Normal"/>
              <w:spacing w:before="0" w:after="60"/>
              <w:jc w:val="center"/>
              <w:rPr>
                <w:sz w:val="20"/>
                <w:lang w:val="en-GB"/>
              </w:rPr>
            </w:pPr>
            <w:r>
              <w:rPr>
                <w:sz w:val="20"/>
                <w:lang w:val="en-GB"/>
              </w:rPr>
              <w:t>83.0 (58%)</w:t>
            </w:r>
          </w:p>
        </w:tc>
        <w:tc>
          <w:tcPr>
            <w:tcW w:w="1701" w:type="dxa"/>
            <w:tcBorders>
              <w:top w:val="nil"/>
              <w:left w:val="nil"/>
              <w:bottom w:val="nil"/>
              <w:right w:val="nil"/>
            </w:tcBorders>
          </w:tcPr>
          <w:p>
            <w:pPr>
              <w:pStyle w:val="Normal"/>
              <w:spacing w:before="0" w:after="60"/>
              <w:jc w:val="center"/>
              <w:rPr>
                <w:sz w:val="20"/>
                <w:lang w:val="en-GB"/>
              </w:rPr>
            </w:pPr>
            <w:r>
              <w:rPr>
                <w:sz w:val="20"/>
                <w:lang w:val="en-GB"/>
              </w:rPr>
              <w:t>68.0 (60.7%)</w:t>
            </w:r>
          </w:p>
        </w:tc>
        <w:tc>
          <w:tcPr>
            <w:tcW w:w="1700" w:type="dxa"/>
            <w:tcBorders>
              <w:top w:val="nil"/>
              <w:left w:val="nil"/>
              <w:bottom w:val="nil"/>
              <w:right w:val="nil"/>
            </w:tcBorders>
          </w:tcPr>
          <w:p>
            <w:pPr>
              <w:pStyle w:val="Normal"/>
              <w:spacing w:before="0" w:after="60"/>
              <w:jc w:val="center"/>
              <w:rPr>
                <w:sz w:val="20"/>
                <w:lang w:val="en-GB"/>
              </w:rPr>
            </w:pPr>
            <w:r>
              <w:rPr>
                <w:sz w:val="20"/>
                <w:lang w:val="en-GB"/>
              </w:rPr>
              <w:t>15.0 (48.4%)</w:t>
            </w:r>
          </w:p>
        </w:tc>
        <w:tc>
          <w:tcPr>
            <w:tcW w:w="847" w:type="dxa"/>
            <w:tcBorders>
              <w:top w:val="nil"/>
              <w:left w:val="nil"/>
              <w:bottom w:val="nil"/>
              <w:right w:val="nil"/>
            </w:tcBorders>
          </w:tcPr>
          <w:p>
            <w:pPr>
              <w:pStyle w:val="Normal"/>
              <w:spacing w:before="0" w:after="60"/>
              <w:jc w:val="center"/>
              <w:rPr>
                <w:sz w:val="20"/>
                <w:lang w:val="en-GB"/>
              </w:rPr>
            </w:pPr>
            <w:r>
              <w:rPr>
                <w:sz w:val="20"/>
                <w:lang w:val="en-GB"/>
              </w:rPr>
              <w:t>.218</w:t>
            </w:r>
          </w:p>
        </w:tc>
      </w:tr>
      <w:tr>
        <w:trPr/>
        <w:tc>
          <w:tcPr>
            <w:tcW w:w="4111" w:type="dxa"/>
            <w:tcBorders>
              <w:top w:val="nil"/>
              <w:left w:val="nil"/>
              <w:bottom w:val="nil"/>
              <w:right w:val="nil"/>
            </w:tcBorders>
          </w:tcPr>
          <w:p>
            <w:pPr>
              <w:pStyle w:val="Normal"/>
              <w:spacing w:before="0" w:after="60"/>
              <w:ind w:left="171" w:hanging="0"/>
              <w:rPr>
                <w:sz w:val="20"/>
                <w:lang w:val="en-GB"/>
              </w:rPr>
            </w:pPr>
            <w:r>
              <w:rPr>
                <w:sz w:val="20"/>
                <w:lang w:val="en-GB"/>
              </w:rPr>
              <w:t xml:space="preserve">Body weight [kg] </w:t>
            </w:r>
          </w:p>
        </w:tc>
        <w:tc>
          <w:tcPr>
            <w:tcW w:w="1559" w:type="dxa"/>
            <w:tcBorders>
              <w:top w:val="nil"/>
              <w:left w:val="nil"/>
              <w:bottom w:val="nil"/>
              <w:right w:val="nil"/>
            </w:tcBorders>
          </w:tcPr>
          <w:p>
            <w:pPr>
              <w:pStyle w:val="Normal"/>
              <w:spacing w:before="0" w:after="60"/>
              <w:jc w:val="center"/>
              <w:rPr>
                <w:sz w:val="20"/>
                <w:lang w:val="en-GB"/>
              </w:rPr>
            </w:pPr>
            <w:r>
              <w:rPr>
                <w:sz w:val="20"/>
                <w:lang w:val="en-GB"/>
              </w:rPr>
              <w:t>5.0 (3.4–8.0)</w:t>
            </w:r>
          </w:p>
        </w:tc>
        <w:tc>
          <w:tcPr>
            <w:tcW w:w="1701" w:type="dxa"/>
            <w:tcBorders>
              <w:top w:val="nil"/>
              <w:left w:val="nil"/>
              <w:bottom w:val="nil"/>
              <w:right w:val="nil"/>
            </w:tcBorders>
          </w:tcPr>
          <w:p>
            <w:pPr>
              <w:pStyle w:val="Normal"/>
              <w:spacing w:before="0" w:after="60"/>
              <w:jc w:val="center"/>
              <w:rPr>
                <w:sz w:val="20"/>
                <w:lang w:val="en-GB"/>
              </w:rPr>
            </w:pPr>
            <w:r>
              <w:rPr>
                <w:sz w:val="20"/>
                <w:lang w:val="en-GB"/>
              </w:rPr>
              <w:t>4.6 (3.2–7.7)</w:t>
            </w:r>
          </w:p>
        </w:tc>
        <w:tc>
          <w:tcPr>
            <w:tcW w:w="1700" w:type="dxa"/>
            <w:tcBorders>
              <w:top w:val="nil"/>
              <w:left w:val="nil"/>
              <w:bottom w:val="nil"/>
              <w:right w:val="nil"/>
            </w:tcBorders>
          </w:tcPr>
          <w:p>
            <w:pPr>
              <w:pStyle w:val="Normal"/>
              <w:spacing w:before="0" w:after="60"/>
              <w:jc w:val="center"/>
              <w:rPr>
                <w:sz w:val="20"/>
                <w:lang w:val="en-GB"/>
              </w:rPr>
            </w:pPr>
            <w:r>
              <w:rPr>
                <w:sz w:val="20"/>
                <w:lang w:val="en-GB"/>
              </w:rPr>
              <w:t>6.3 (4.7–9.2)</w:t>
            </w:r>
          </w:p>
        </w:tc>
        <w:tc>
          <w:tcPr>
            <w:tcW w:w="847" w:type="dxa"/>
            <w:tcBorders>
              <w:top w:val="nil"/>
              <w:left w:val="nil"/>
              <w:bottom w:val="nil"/>
              <w:right w:val="nil"/>
            </w:tcBorders>
          </w:tcPr>
          <w:p>
            <w:pPr>
              <w:pStyle w:val="Normal"/>
              <w:spacing w:before="0" w:after="60"/>
              <w:jc w:val="center"/>
              <w:rPr>
                <w:sz w:val="20"/>
                <w:lang w:val="en-GB"/>
              </w:rPr>
            </w:pPr>
            <w:r>
              <w:rPr>
                <w:sz w:val="20"/>
                <w:lang w:val="en-GB"/>
              </w:rPr>
              <w:t>.033</w:t>
            </w:r>
          </w:p>
        </w:tc>
      </w:tr>
      <w:tr>
        <w:trPr/>
        <w:tc>
          <w:tcPr>
            <w:tcW w:w="4111" w:type="dxa"/>
            <w:tcBorders>
              <w:top w:val="nil"/>
              <w:left w:val="nil"/>
              <w:bottom w:val="nil"/>
              <w:right w:val="nil"/>
            </w:tcBorders>
          </w:tcPr>
          <w:p>
            <w:pPr>
              <w:pStyle w:val="Normal"/>
              <w:spacing w:before="0" w:after="60"/>
              <w:ind w:left="171" w:hanging="0"/>
              <w:rPr>
                <w:sz w:val="20"/>
                <w:lang w:val="en-GB"/>
              </w:rPr>
            </w:pPr>
            <w:r>
              <w:rPr>
                <w:sz w:val="20"/>
                <w:lang w:val="en-GB"/>
              </w:rPr>
              <w:t xml:space="preserve">Body length [cm] </w:t>
            </w:r>
          </w:p>
        </w:tc>
        <w:tc>
          <w:tcPr>
            <w:tcW w:w="1559" w:type="dxa"/>
            <w:tcBorders>
              <w:top w:val="nil"/>
              <w:left w:val="nil"/>
              <w:bottom w:val="nil"/>
              <w:right w:val="nil"/>
            </w:tcBorders>
          </w:tcPr>
          <w:p>
            <w:pPr>
              <w:pStyle w:val="Normal"/>
              <w:spacing w:before="0" w:after="60"/>
              <w:jc w:val="center"/>
              <w:rPr>
                <w:sz w:val="20"/>
                <w:lang w:val="en-GB"/>
              </w:rPr>
            </w:pPr>
            <w:r>
              <w:rPr>
                <w:sz w:val="20"/>
                <w:lang w:val="en-GB"/>
              </w:rPr>
              <w:t>58.0 (50.0–73.0)</w:t>
            </w:r>
          </w:p>
        </w:tc>
        <w:tc>
          <w:tcPr>
            <w:tcW w:w="1701" w:type="dxa"/>
            <w:tcBorders>
              <w:top w:val="nil"/>
              <w:left w:val="nil"/>
              <w:bottom w:val="nil"/>
              <w:right w:val="nil"/>
            </w:tcBorders>
          </w:tcPr>
          <w:p>
            <w:pPr>
              <w:pStyle w:val="Normal"/>
              <w:spacing w:before="0" w:after="60"/>
              <w:jc w:val="center"/>
              <w:rPr>
                <w:sz w:val="20"/>
                <w:lang w:val="en-GB"/>
              </w:rPr>
            </w:pPr>
            <w:r>
              <w:rPr>
                <w:sz w:val="20"/>
                <w:lang w:val="en-GB"/>
              </w:rPr>
              <w:t>55.5 (50.0–70.0)</w:t>
            </w:r>
          </w:p>
        </w:tc>
        <w:tc>
          <w:tcPr>
            <w:tcW w:w="1700" w:type="dxa"/>
            <w:tcBorders>
              <w:top w:val="nil"/>
              <w:left w:val="nil"/>
              <w:bottom w:val="nil"/>
              <w:right w:val="nil"/>
            </w:tcBorders>
          </w:tcPr>
          <w:p>
            <w:pPr>
              <w:pStyle w:val="Normal"/>
              <w:spacing w:before="0" w:after="60"/>
              <w:jc w:val="center"/>
              <w:rPr>
                <w:sz w:val="20"/>
                <w:lang w:val="en-GB"/>
              </w:rPr>
            </w:pPr>
            <w:r>
              <w:rPr>
                <w:sz w:val="20"/>
                <w:lang w:val="en-GB"/>
              </w:rPr>
              <w:t>61.0 (56.0–75.0)</w:t>
            </w:r>
          </w:p>
        </w:tc>
        <w:tc>
          <w:tcPr>
            <w:tcW w:w="847" w:type="dxa"/>
            <w:tcBorders>
              <w:top w:val="nil"/>
              <w:left w:val="nil"/>
              <w:bottom w:val="nil"/>
              <w:right w:val="nil"/>
            </w:tcBorders>
          </w:tcPr>
          <w:p>
            <w:pPr>
              <w:pStyle w:val="Normal"/>
              <w:spacing w:before="0" w:after="60"/>
              <w:jc w:val="center"/>
              <w:rPr>
                <w:sz w:val="20"/>
                <w:lang w:val="en-GB"/>
              </w:rPr>
            </w:pPr>
            <w:r>
              <w:rPr>
                <w:sz w:val="20"/>
                <w:lang w:val="en-GB"/>
              </w:rPr>
              <w:t>.580</w:t>
            </w:r>
          </w:p>
        </w:tc>
      </w:tr>
      <w:tr>
        <w:trPr/>
        <w:tc>
          <w:tcPr>
            <w:tcW w:w="4111" w:type="dxa"/>
            <w:tcBorders>
              <w:top w:val="nil"/>
              <w:left w:val="nil"/>
              <w:bottom w:val="nil"/>
              <w:right w:val="nil"/>
            </w:tcBorders>
          </w:tcPr>
          <w:p>
            <w:pPr>
              <w:pStyle w:val="Normal"/>
              <w:spacing w:before="0" w:after="60"/>
              <w:ind w:firstLine="201"/>
              <w:rPr>
                <w:sz w:val="20"/>
                <w:lang w:val="en-GB"/>
              </w:rPr>
            </w:pPr>
            <w:r>
              <w:rPr>
                <w:b/>
                <w:bCs/>
                <w:sz w:val="20"/>
                <w:lang w:val="en-GB"/>
              </w:rPr>
              <w:t>Catheterization</w:t>
            </w:r>
          </w:p>
        </w:tc>
        <w:tc>
          <w:tcPr>
            <w:tcW w:w="1559" w:type="dxa"/>
            <w:tcBorders>
              <w:top w:val="nil"/>
              <w:left w:val="nil"/>
              <w:bottom w:val="nil"/>
              <w:right w:val="nil"/>
            </w:tcBorders>
          </w:tcPr>
          <w:p>
            <w:pPr>
              <w:pStyle w:val="Normal"/>
              <w:spacing w:before="0" w:after="60"/>
              <w:jc w:val="center"/>
              <w:rPr>
                <w:sz w:val="20"/>
                <w:lang w:val="en-GB"/>
              </w:rPr>
            </w:pPr>
            <w:r>
              <w:rPr>
                <w:sz w:val="20"/>
                <w:lang w:val="en-GB"/>
              </w:rPr>
            </w:r>
          </w:p>
        </w:tc>
        <w:tc>
          <w:tcPr>
            <w:tcW w:w="1701" w:type="dxa"/>
            <w:tcBorders>
              <w:top w:val="nil"/>
              <w:left w:val="nil"/>
              <w:bottom w:val="nil"/>
              <w:right w:val="nil"/>
            </w:tcBorders>
          </w:tcPr>
          <w:p>
            <w:pPr>
              <w:pStyle w:val="Normal"/>
              <w:spacing w:before="0" w:after="60"/>
              <w:jc w:val="center"/>
              <w:rPr>
                <w:sz w:val="20"/>
                <w:lang w:val="en-GB"/>
              </w:rPr>
            </w:pPr>
            <w:r>
              <w:rPr>
                <w:sz w:val="20"/>
                <w:lang w:val="en-GB"/>
              </w:rPr>
            </w:r>
          </w:p>
        </w:tc>
        <w:tc>
          <w:tcPr>
            <w:tcW w:w="1700" w:type="dxa"/>
            <w:tcBorders>
              <w:top w:val="nil"/>
              <w:left w:val="nil"/>
              <w:bottom w:val="nil"/>
              <w:right w:val="nil"/>
            </w:tcBorders>
          </w:tcPr>
          <w:p>
            <w:pPr>
              <w:pStyle w:val="Normal"/>
              <w:spacing w:before="0" w:after="60"/>
              <w:jc w:val="center"/>
              <w:rPr>
                <w:sz w:val="20"/>
                <w:lang w:val="en-GB"/>
              </w:rPr>
            </w:pPr>
            <w:r>
              <w:rPr>
                <w:sz w:val="20"/>
                <w:lang w:val="en-GB"/>
              </w:rPr>
            </w:r>
          </w:p>
        </w:tc>
        <w:tc>
          <w:tcPr>
            <w:tcW w:w="847" w:type="dxa"/>
            <w:tcBorders>
              <w:top w:val="nil"/>
              <w:left w:val="nil"/>
              <w:bottom w:val="nil"/>
              <w:right w:val="nil"/>
            </w:tcBorders>
          </w:tcPr>
          <w:p>
            <w:pPr>
              <w:pStyle w:val="Normal"/>
              <w:spacing w:before="0" w:after="60"/>
              <w:jc w:val="center"/>
              <w:rPr>
                <w:sz w:val="20"/>
                <w:lang w:val="en-GB"/>
              </w:rPr>
            </w:pPr>
            <w:r>
              <w:rPr>
                <w:sz w:val="20"/>
                <w:lang w:val="en-GB"/>
              </w:rPr>
            </w:r>
          </w:p>
        </w:tc>
      </w:tr>
      <w:tr>
        <w:trPr/>
        <w:tc>
          <w:tcPr>
            <w:tcW w:w="4111" w:type="dxa"/>
            <w:tcBorders>
              <w:top w:val="nil"/>
              <w:left w:val="nil"/>
              <w:bottom w:val="nil"/>
              <w:right w:val="nil"/>
            </w:tcBorders>
          </w:tcPr>
          <w:p>
            <w:pPr>
              <w:pStyle w:val="Normal"/>
              <w:spacing w:before="0" w:after="60"/>
              <w:ind w:left="171" w:hanging="0"/>
              <w:rPr>
                <w:sz w:val="20"/>
                <w:lang w:val="en-GB"/>
              </w:rPr>
            </w:pPr>
            <w:r>
              <w:rPr>
                <w:sz w:val="20"/>
                <w:lang w:val="en-GB"/>
              </w:rPr>
              <w:t>Balloon-to-PV annulus ratio</w:t>
            </w:r>
          </w:p>
        </w:tc>
        <w:tc>
          <w:tcPr>
            <w:tcW w:w="1559" w:type="dxa"/>
            <w:tcBorders>
              <w:top w:val="nil"/>
              <w:left w:val="nil"/>
              <w:bottom w:val="nil"/>
              <w:right w:val="nil"/>
            </w:tcBorders>
          </w:tcPr>
          <w:p>
            <w:pPr>
              <w:pStyle w:val="Normal"/>
              <w:spacing w:before="0" w:after="60"/>
              <w:jc w:val="center"/>
              <w:rPr>
                <w:sz w:val="20"/>
                <w:lang w:val="en-GB"/>
              </w:rPr>
            </w:pPr>
            <w:r>
              <w:rPr>
                <w:sz w:val="20"/>
                <w:lang w:val="en-GB"/>
              </w:rPr>
              <w:t>1.28 (1.2–1.4)</w:t>
            </w:r>
          </w:p>
        </w:tc>
        <w:tc>
          <w:tcPr>
            <w:tcW w:w="1701" w:type="dxa"/>
            <w:tcBorders>
              <w:top w:val="nil"/>
              <w:left w:val="nil"/>
              <w:bottom w:val="nil"/>
              <w:right w:val="nil"/>
            </w:tcBorders>
          </w:tcPr>
          <w:p>
            <w:pPr>
              <w:pStyle w:val="Normal"/>
              <w:spacing w:before="0" w:after="60"/>
              <w:jc w:val="center"/>
              <w:rPr>
                <w:sz w:val="20"/>
                <w:lang w:val="en-GB"/>
              </w:rPr>
            </w:pPr>
            <w:r>
              <w:rPr>
                <w:sz w:val="20"/>
                <w:lang w:val="en-GB"/>
              </w:rPr>
              <w:t>1.25 (1.2–1.3)</w:t>
            </w:r>
          </w:p>
        </w:tc>
        <w:tc>
          <w:tcPr>
            <w:tcW w:w="1700" w:type="dxa"/>
            <w:tcBorders>
              <w:top w:val="nil"/>
              <w:left w:val="nil"/>
              <w:bottom w:val="nil"/>
              <w:right w:val="nil"/>
            </w:tcBorders>
          </w:tcPr>
          <w:p>
            <w:pPr>
              <w:pStyle w:val="Normal"/>
              <w:spacing w:before="0" w:after="60"/>
              <w:jc w:val="center"/>
              <w:rPr>
                <w:sz w:val="20"/>
                <w:lang w:val="en-GB"/>
              </w:rPr>
            </w:pPr>
            <w:r>
              <w:rPr>
                <w:sz w:val="20"/>
                <w:lang w:val="en-GB"/>
              </w:rPr>
              <w:t>1.4 (1.3–1.5)</w:t>
            </w:r>
          </w:p>
        </w:tc>
        <w:tc>
          <w:tcPr>
            <w:tcW w:w="847" w:type="dxa"/>
            <w:tcBorders>
              <w:top w:val="nil"/>
              <w:left w:val="nil"/>
              <w:bottom w:val="nil"/>
              <w:right w:val="nil"/>
            </w:tcBorders>
          </w:tcPr>
          <w:p>
            <w:pPr>
              <w:pStyle w:val="Normal"/>
              <w:spacing w:before="0" w:after="60"/>
              <w:jc w:val="center"/>
              <w:rPr>
                <w:sz w:val="20"/>
                <w:lang w:val="en-GB"/>
              </w:rPr>
            </w:pPr>
            <w:r>
              <w:rPr>
                <w:sz w:val="20"/>
                <w:lang w:val="en-GB"/>
              </w:rPr>
              <w:t>&lt;.001</w:t>
            </w:r>
          </w:p>
        </w:tc>
      </w:tr>
      <w:tr>
        <w:trPr/>
        <w:tc>
          <w:tcPr>
            <w:tcW w:w="4111" w:type="dxa"/>
            <w:tcBorders>
              <w:top w:val="nil"/>
              <w:left w:val="nil"/>
              <w:bottom w:val="nil"/>
              <w:right w:val="nil"/>
            </w:tcBorders>
          </w:tcPr>
          <w:p>
            <w:pPr>
              <w:pStyle w:val="Normal"/>
              <w:spacing w:before="0" w:after="60"/>
              <w:ind w:left="171" w:hanging="0"/>
              <w:rPr>
                <w:b/>
                <w:b/>
                <w:bCs/>
                <w:sz w:val="20"/>
                <w:lang w:val="en-GB"/>
              </w:rPr>
            </w:pPr>
            <w:r>
              <w:rPr>
                <w:sz w:val="20"/>
                <w:lang w:val="en-GB"/>
              </w:rPr>
              <w:t>Max balloon pressure [atm]</w:t>
            </w:r>
          </w:p>
        </w:tc>
        <w:tc>
          <w:tcPr>
            <w:tcW w:w="1559" w:type="dxa"/>
            <w:tcBorders>
              <w:top w:val="nil"/>
              <w:left w:val="nil"/>
              <w:bottom w:val="nil"/>
              <w:right w:val="nil"/>
            </w:tcBorders>
          </w:tcPr>
          <w:p>
            <w:pPr>
              <w:pStyle w:val="Normal"/>
              <w:spacing w:before="0" w:after="60"/>
              <w:jc w:val="center"/>
              <w:rPr>
                <w:sz w:val="20"/>
                <w:lang w:val="en-GB"/>
              </w:rPr>
            </w:pPr>
            <w:r>
              <w:rPr>
                <w:sz w:val="20"/>
                <w:lang w:val="en-GB"/>
              </w:rPr>
              <w:t>4.0 (3.5–10.0)</w:t>
            </w:r>
          </w:p>
        </w:tc>
        <w:tc>
          <w:tcPr>
            <w:tcW w:w="1701" w:type="dxa"/>
            <w:tcBorders>
              <w:top w:val="nil"/>
              <w:left w:val="nil"/>
              <w:bottom w:val="nil"/>
              <w:right w:val="nil"/>
            </w:tcBorders>
          </w:tcPr>
          <w:p>
            <w:pPr>
              <w:pStyle w:val="Normal"/>
              <w:spacing w:before="0" w:after="60"/>
              <w:jc w:val="center"/>
              <w:rPr>
                <w:sz w:val="20"/>
                <w:lang w:val="en-GB"/>
              </w:rPr>
            </w:pPr>
            <w:r>
              <w:rPr>
                <w:sz w:val="20"/>
                <w:lang w:val="en-GB"/>
              </w:rPr>
              <w:t>4.0 (3.5–6)</w:t>
            </w:r>
          </w:p>
        </w:tc>
        <w:tc>
          <w:tcPr>
            <w:tcW w:w="1700" w:type="dxa"/>
            <w:tcBorders>
              <w:top w:val="nil"/>
              <w:left w:val="nil"/>
              <w:bottom w:val="nil"/>
              <w:right w:val="nil"/>
            </w:tcBorders>
          </w:tcPr>
          <w:p>
            <w:pPr>
              <w:pStyle w:val="Normal"/>
              <w:spacing w:before="0" w:after="60"/>
              <w:jc w:val="center"/>
              <w:rPr>
                <w:sz w:val="20"/>
                <w:lang w:val="en-GB"/>
              </w:rPr>
            </w:pPr>
            <w:r>
              <w:rPr>
                <w:sz w:val="20"/>
                <w:lang w:val="en-GB"/>
              </w:rPr>
              <w:t>10.0 (7.0–14.0)</w:t>
            </w:r>
          </w:p>
        </w:tc>
        <w:tc>
          <w:tcPr>
            <w:tcW w:w="847" w:type="dxa"/>
            <w:tcBorders>
              <w:top w:val="nil"/>
              <w:left w:val="nil"/>
              <w:bottom w:val="nil"/>
              <w:right w:val="nil"/>
            </w:tcBorders>
          </w:tcPr>
          <w:p>
            <w:pPr>
              <w:pStyle w:val="Normal"/>
              <w:spacing w:before="0" w:after="60"/>
              <w:jc w:val="center"/>
              <w:rPr>
                <w:sz w:val="20"/>
                <w:lang w:val="en-GB"/>
              </w:rPr>
            </w:pPr>
            <w:r>
              <w:rPr>
                <w:sz w:val="20"/>
                <w:lang w:val="en-GB"/>
              </w:rPr>
              <w:t>&lt;.001</w:t>
            </w:r>
          </w:p>
        </w:tc>
      </w:tr>
      <w:tr>
        <w:trPr/>
        <w:tc>
          <w:tcPr>
            <w:tcW w:w="4111" w:type="dxa"/>
            <w:tcBorders>
              <w:top w:val="nil"/>
              <w:left w:val="nil"/>
              <w:bottom w:val="nil"/>
              <w:right w:val="nil"/>
            </w:tcBorders>
          </w:tcPr>
          <w:p>
            <w:pPr>
              <w:pStyle w:val="Normal"/>
              <w:spacing w:before="0" w:after="60"/>
              <w:ind w:left="171" w:hanging="0"/>
              <w:rPr>
                <w:sz w:val="20"/>
                <w:lang w:val="en-GB"/>
              </w:rPr>
            </w:pPr>
            <w:r>
              <w:rPr>
                <w:sz w:val="20"/>
                <w:lang w:val="en-GB"/>
              </w:rPr>
              <w:t>Max balloon diameter [mm]</w:t>
            </w:r>
          </w:p>
        </w:tc>
        <w:tc>
          <w:tcPr>
            <w:tcW w:w="1559" w:type="dxa"/>
            <w:tcBorders>
              <w:top w:val="nil"/>
              <w:left w:val="nil"/>
              <w:bottom w:val="nil"/>
              <w:right w:val="nil"/>
            </w:tcBorders>
          </w:tcPr>
          <w:p>
            <w:pPr>
              <w:pStyle w:val="Normal"/>
              <w:spacing w:before="0" w:after="60"/>
              <w:jc w:val="center"/>
              <w:rPr>
                <w:sz w:val="20"/>
                <w:lang w:val="en-GB"/>
              </w:rPr>
            </w:pPr>
            <w:r>
              <w:rPr>
                <w:sz w:val="20"/>
                <w:lang w:val="en-GB"/>
              </w:rPr>
              <w:t>10.0 (9.0–14.0)</w:t>
            </w:r>
          </w:p>
        </w:tc>
        <w:tc>
          <w:tcPr>
            <w:tcW w:w="1701" w:type="dxa"/>
            <w:tcBorders>
              <w:top w:val="nil"/>
              <w:left w:val="nil"/>
              <w:bottom w:val="nil"/>
              <w:right w:val="nil"/>
            </w:tcBorders>
          </w:tcPr>
          <w:p>
            <w:pPr>
              <w:pStyle w:val="Normal"/>
              <w:spacing w:before="0" w:after="60"/>
              <w:jc w:val="center"/>
              <w:rPr>
                <w:sz w:val="20"/>
                <w:lang w:val="en-GB"/>
              </w:rPr>
            </w:pPr>
            <w:r>
              <w:rPr>
                <w:sz w:val="20"/>
                <w:lang w:val="en-GB"/>
              </w:rPr>
              <w:t>10.0 (8.0–12.0)</w:t>
            </w:r>
          </w:p>
        </w:tc>
        <w:tc>
          <w:tcPr>
            <w:tcW w:w="1700" w:type="dxa"/>
            <w:tcBorders>
              <w:top w:val="nil"/>
              <w:left w:val="nil"/>
              <w:bottom w:val="nil"/>
              <w:right w:val="nil"/>
            </w:tcBorders>
          </w:tcPr>
          <w:p>
            <w:pPr>
              <w:pStyle w:val="Normal"/>
              <w:spacing w:before="0" w:after="60"/>
              <w:jc w:val="center"/>
              <w:rPr>
                <w:sz w:val="20"/>
                <w:lang w:val="en-GB"/>
              </w:rPr>
            </w:pPr>
            <w:r>
              <w:rPr>
                <w:sz w:val="20"/>
                <w:lang w:val="en-GB"/>
              </w:rPr>
              <w:t>12.0 (10.0–14.0)</w:t>
            </w:r>
          </w:p>
        </w:tc>
        <w:tc>
          <w:tcPr>
            <w:tcW w:w="847" w:type="dxa"/>
            <w:tcBorders>
              <w:top w:val="nil"/>
              <w:left w:val="nil"/>
              <w:bottom w:val="nil"/>
              <w:right w:val="nil"/>
            </w:tcBorders>
          </w:tcPr>
          <w:p>
            <w:pPr>
              <w:pStyle w:val="Normal"/>
              <w:spacing w:before="0" w:after="60"/>
              <w:jc w:val="center"/>
              <w:rPr>
                <w:sz w:val="20"/>
                <w:lang w:val="en-GB"/>
              </w:rPr>
            </w:pPr>
            <w:r>
              <w:rPr>
                <w:sz w:val="20"/>
                <w:lang w:val="en-GB"/>
              </w:rPr>
              <w:t>.005</w:t>
            </w:r>
          </w:p>
        </w:tc>
      </w:tr>
      <w:tr>
        <w:trPr/>
        <w:tc>
          <w:tcPr>
            <w:tcW w:w="4111" w:type="dxa"/>
            <w:tcBorders>
              <w:top w:val="nil"/>
              <w:left w:val="nil"/>
              <w:bottom w:val="nil"/>
              <w:right w:val="nil"/>
            </w:tcBorders>
          </w:tcPr>
          <w:p>
            <w:pPr>
              <w:pStyle w:val="Normal"/>
              <w:spacing w:before="0" w:after="60"/>
              <w:ind w:left="171" w:hanging="0"/>
              <w:rPr>
                <w:sz w:val="20"/>
                <w:lang w:val="en-GB"/>
              </w:rPr>
            </w:pPr>
            <w:r>
              <w:rPr>
                <w:sz w:val="20"/>
                <w:lang w:val="en-GB"/>
              </w:rPr>
              <w:t xml:space="preserve">Used balloons (per patient) [n=]  </w:t>
            </w:r>
          </w:p>
        </w:tc>
        <w:tc>
          <w:tcPr>
            <w:tcW w:w="1559" w:type="dxa"/>
            <w:tcBorders>
              <w:top w:val="nil"/>
              <w:left w:val="nil"/>
              <w:bottom w:val="nil"/>
              <w:right w:val="nil"/>
            </w:tcBorders>
          </w:tcPr>
          <w:p>
            <w:pPr>
              <w:pStyle w:val="Normal"/>
              <w:spacing w:before="0" w:after="60"/>
              <w:jc w:val="center"/>
              <w:rPr>
                <w:sz w:val="20"/>
                <w:lang w:val="en-GB"/>
              </w:rPr>
            </w:pPr>
            <w:r>
              <w:rPr>
                <w:sz w:val="20"/>
                <w:lang w:val="en-GB"/>
              </w:rPr>
              <w:t>209 (=1.5 / pat.)</w:t>
            </w:r>
          </w:p>
        </w:tc>
        <w:tc>
          <w:tcPr>
            <w:tcW w:w="1701" w:type="dxa"/>
            <w:tcBorders>
              <w:top w:val="nil"/>
              <w:left w:val="nil"/>
              <w:bottom w:val="nil"/>
              <w:right w:val="nil"/>
            </w:tcBorders>
          </w:tcPr>
          <w:p>
            <w:pPr>
              <w:pStyle w:val="Normal"/>
              <w:spacing w:before="0" w:after="60"/>
              <w:jc w:val="center"/>
              <w:rPr>
                <w:sz w:val="20"/>
                <w:lang w:val="en-GB"/>
              </w:rPr>
            </w:pPr>
            <w:r>
              <w:rPr>
                <w:sz w:val="20"/>
                <w:lang w:val="en-GB"/>
              </w:rPr>
              <w:t>147 (= 1.3 / pat.)</w:t>
            </w:r>
          </w:p>
        </w:tc>
        <w:tc>
          <w:tcPr>
            <w:tcW w:w="1700" w:type="dxa"/>
            <w:tcBorders>
              <w:top w:val="nil"/>
              <w:left w:val="nil"/>
              <w:bottom w:val="nil"/>
              <w:right w:val="nil"/>
            </w:tcBorders>
          </w:tcPr>
          <w:p>
            <w:pPr>
              <w:pStyle w:val="Normal"/>
              <w:spacing w:before="0" w:after="60"/>
              <w:jc w:val="center"/>
              <w:rPr>
                <w:sz w:val="20"/>
                <w:lang w:val="en-GB"/>
              </w:rPr>
            </w:pPr>
            <w:r>
              <w:rPr>
                <w:sz w:val="20"/>
                <w:lang w:val="en-GB"/>
              </w:rPr>
              <w:t>62 (= 2 / pat.)</w:t>
            </w:r>
          </w:p>
        </w:tc>
        <w:tc>
          <w:tcPr>
            <w:tcW w:w="847" w:type="dxa"/>
            <w:tcBorders>
              <w:top w:val="nil"/>
              <w:left w:val="nil"/>
              <w:bottom w:val="nil"/>
              <w:right w:val="nil"/>
            </w:tcBorders>
          </w:tcPr>
          <w:p>
            <w:pPr>
              <w:pStyle w:val="Normal"/>
              <w:spacing w:before="0" w:after="60"/>
              <w:jc w:val="center"/>
              <w:rPr>
                <w:sz w:val="20"/>
                <w:lang w:val="en-GB"/>
              </w:rPr>
            </w:pPr>
            <w:r>
              <w:rPr>
                <w:sz w:val="20"/>
                <w:lang w:val="en-GB"/>
              </w:rPr>
              <w:t>&lt;.001</w:t>
            </w:r>
          </w:p>
        </w:tc>
      </w:tr>
      <w:tr>
        <w:trPr/>
        <w:tc>
          <w:tcPr>
            <w:tcW w:w="4111" w:type="dxa"/>
            <w:tcBorders>
              <w:top w:val="nil"/>
              <w:left w:val="nil"/>
              <w:bottom w:val="nil"/>
              <w:right w:val="nil"/>
            </w:tcBorders>
          </w:tcPr>
          <w:p>
            <w:pPr>
              <w:pStyle w:val="Normal"/>
              <w:spacing w:before="0" w:after="60"/>
              <w:ind w:left="171" w:hanging="0"/>
              <w:rPr>
                <w:sz w:val="20"/>
                <w:lang w:val="en-GB"/>
              </w:rPr>
            </w:pPr>
            <w:r>
              <w:rPr>
                <w:sz w:val="20"/>
                <w:lang w:val="en-GB"/>
              </w:rPr>
              <w:t xml:space="preserve">Low pressure balloon (≤4 atm) [n=]  </w:t>
            </w:r>
          </w:p>
        </w:tc>
        <w:tc>
          <w:tcPr>
            <w:tcW w:w="1559" w:type="dxa"/>
            <w:tcBorders>
              <w:top w:val="nil"/>
              <w:left w:val="nil"/>
              <w:bottom w:val="nil"/>
              <w:right w:val="nil"/>
            </w:tcBorders>
          </w:tcPr>
          <w:p>
            <w:pPr>
              <w:pStyle w:val="Normal"/>
              <w:spacing w:before="0" w:after="60"/>
              <w:jc w:val="center"/>
              <w:rPr>
                <w:sz w:val="20"/>
                <w:lang w:val="en-GB"/>
              </w:rPr>
            </w:pPr>
            <w:r>
              <w:rPr>
                <w:sz w:val="20"/>
                <w:lang w:val="en-GB"/>
              </w:rPr>
              <w:t>95.0 (66.4%)</w:t>
            </w:r>
          </w:p>
        </w:tc>
        <w:tc>
          <w:tcPr>
            <w:tcW w:w="1701" w:type="dxa"/>
            <w:tcBorders>
              <w:top w:val="nil"/>
              <w:left w:val="nil"/>
              <w:bottom w:val="nil"/>
              <w:right w:val="nil"/>
            </w:tcBorders>
          </w:tcPr>
          <w:p>
            <w:pPr>
              <w:pStyle w:val="Normal"/>
              <w:spacing w:before="0" w:after="60"/>
              <w:jc w:val="center"/>
              <w:rPr>
                <w:sz w:val="20"/>
                <w:lang w:val="en-GB"/>
              </w:rPr>
            </w:pPr>
            <w:r>
              <w:rPr>
                <w:sz w:val="20"/>
                <w:lang w:val="en-GB"/>
              </w:rPr>
              <w:t>84.0 (75.0%)</w:t>
            </w:r>
          </w:p>
        </w:tc>
        <w:tc>
          <w:tcPr>
            <w:tcW w:w="1700" w:type="dxa"/>
            <w:tcBorders>
              <w:top w:val="nil"/>
              <w:left w:val="nil"/>
              <w:bottom w:val="nil"/>
              <w:right w:val="nil"/>
            </w:tcBorders>
          </w:tcPr>
          <w:p>
            <w:pPr>
              <w:pStyle w:val="Normal"/>
              <w:spacing w:before="0" w:after="60"/>
              <w:jc w:val="center"/>
              <w:rPr>
                <w:sz w:val="20"/>
                <w:lang w:val="en-GB"/>
              </w:rPr>
            </w:pPr>
            <w:r>
              <w:rPr>
                <w:sz w:val="20"/>
                <w:lang w:val="en-GB"/>
              </w:rPr>
              <w:t>11.0 (35.5%)</w:t>
            </w:r>
          </w:p>
        </w:tc>
        <w:tc>
          <w:tcPr>
            <w:tcW w:w="847" w:type="dxa"/>
            <w:tcBorders>
              <w:top w:val="nil"/>
              <w:left w:val="nil"/>
              <w:bottom w:val="nil"/>
              <w:right w:val="nil"/>
            </w:tcBorders>
          </w:tcPr>
          <w:p>
            <w:pPr>
              <w:pStyle w:val="Normal"/>
              <w:spacing w:before="0" w:after="60"/>
              <w:jc w:val="center"/>
              <w:rPr>
                <w:sz w:val="20"/>
                <w:lang w:val="en-GB"/>
              </w:rPr>
            </w:pPr>
            <w:r>
              <w:rPr>
                <w:sz w:val="20"/>
                <w:lang w:val="en-GB"/>
              </w:rPr>
              <w:t>&lt;.001</w:t>
            </w:r>
          </w:p>
        </w:tc>
      </w:tr>
      <w:tr>
        <w:trPr/>
        <w:tc>
          <w:tcPr>
            <w:tcW w:w="4111" w:type="dxa"/>
            <w:tcBorders>
              <w:top w:val="nil"/>
              <w:left w:val="nil"/>
              <w:right w:val="nil"/>
            </w:tcBorders>
          </w:tcPr>
          <w:p>
            <w:pPr>
              <w:pStyle w:val="Normal"/>
              <w:spacing w:before="0" w:after="60"/>
              <w:ind w:left="171" w:hanging="0"/>
              <w:rPr>
                <w:sz w:val="20"/>
                <w:lang w:val="en-GB"/>
              </w:rPr>
            </w:pPr>
            <w:r>
              <w:rPr>
                <w:sz w:val="20"/>
                <w:lang w:val="en-GB"/>
              </w:rPr>
              <w:t xml:space="preserve">High pressure balloon (&gt;4 atm) [n=]  </w:t>
            </w:r>
          </w:p>
        </w:tc>
        <w:tc>
          <w:tcPr>
            <w:tcW w:w="1559" w:type="dxa"/>
            <w:tcBorders>
              <w:top w:val="nil"/>
              <w:left w:val="nil"/>
              <w:right w:val="nil"/>
            </w:tcBorders>
          </w:tcPr>
          <w:p>
            <w:pPr>
              <w:pStyle w:val="Normal"/>
              <w:spacing w:before="0" w:after="60"/>
              <w:jc w:val="center"/>
              <w:rPr>
                <w:sz w:val="20"/>
                <w:lang w:val="en-GB"/>
              </w:rPr>
            </w:pPr>
            <w:r>
              <w:rPr>
                <w:sz w:val="20"/>
                <w:lang w:val="en-GB"/>
              </w:rPr>
              <w:t>48.0 (33.6%)</w:t>
            </w:r>
          </w:p>
        </w:tc>
        <w:tc>
          <w:tcPr>
            <w:tcW w:w="1701" w:type="dxa"/>
            <w:tcBorders>
              <w:top w:val="nil"/>
              <w:left w:val="nil"/>
              <w:right w:val="nil"/>
            </w:tcBorders>
          </w:tcPr>
          <w:p>
            <w:pPr>
              <w:pStyle w:val="Normal"/>
              <w:spacing w:before="0" w:after="60"/>
              <w:jc w:val="center"/>
              <w:rPr>
                <w:sz w:val="20"/>
                <w:lang w:val="en-GB"/>
              </w:rPr>
            </w:pPr>
            <w:r>
              <w:rPr>
                <w:sz w:val="20"/>
                <w:lang w:val="en-GB"/>
              </w:rPr>
              <w:t>28.0 (25.0%)</w:t>
            </w:r>
          </w:p>
        </w:tc>
        <w:tc>
          <w:tcPr>
            <w:tcW w:w="1700" w:type="dxa"/>
            <w:tcBorders>
              <w:top w:val="nil"/>
              <w:left w:val="nil"/>
              <w:right w:val="nil"/>
            </w:tcBorders>
          </w:tcPr>
          <w:p>
            <w:pPr>
              <w:pStyle w:val="Normal"/>
              <w:spacing w:before="0" w:after="60"/>
              <w:jc w:val="center"/>
              <w:rPr>
                <w:sz w:val="20"/>
                <w:lang w:val="en-GB"/>
              </w:rPr>
            </w:pPr>
            <w:r>
              <w:rPr>
                <w:sz w:val="20"/>
                <w:lang w:val="en-GB"/>
              </w:rPr>
              <w:t>20.0 (64.5%)</w:t>
            </w:r>
          </w:p>
        </w:tc>
        <w:tc>
          <w:tcPr>
            <w:tcW w:w="847" w:type="dxa"/>
            <w:tcBorders>
              <w:top w:val="nil"/>
              <w:left w:val="nil"/>
              <w:right w:val="nil"/>
            </w:tcBorders>
          </w:tcPr>
          <w:p>
            <w:pPr>
              <w:pStyle w:val="Normal"/>
              <w:spacing w:before="0" w:after="60"/>
              <w:jc w:val="center"/>
              <w:rPr>
                <w:sz w:val="20"/>
                <w:lang w:val="en-GB"/>
              </w:rPr>
            </w:pPr>
            <w:r>
              <w:rPr>
                <w:sz w:val="20"/>
                <w:lang w:val="en-GB"/>
              </w:rPr>
              <w:t>&lt;.001</w:t>
            </w:r>
          </w:p>
        </w:tc>
      </w:tr>
      <w:tr>
        <w:trPr/>
        <w:tc>
          <w:tcPr>
            <w:tcW w:w="4111" w:type="dxa"/>
            <w:tcBorders>
              <w:left w:val="nil"/>
              <w:bottom w:val="nil"/>
              <w:right w:val="nil"/>
            </w:tcBorders>
          </w:tcPr>
          <w:p>
            <w:pPr>
              <w:pStyle w:val="Normal"/>
              <w:spacing w:before="0" w:after="60"/>
              <w:ind w:left="171" w:hanging="0"/>
              <w:rPr>
                <w:sz w:val="20"/>
                <w:lang w:val="en-GB"/>
              </w:rPr>
            </w:pPr>
            <w:r>
              <w:rPr>
                <w:sz w:val="20"/>
                <w:lang w:val="en-GB"/>
              </w:rPr>
              <w:t>Procedure time [min]</w:t>
            </w:r>
          </w:p>
        </w:tc>
        <w:tc>
          <w:tcPr>
            <w:tcW w:w="1559" w:type="dxa"/>
            <w:tcBorders>
              <w:left w:val="nil"/>
              <w:bottom w:val="nil"/>
              <w:right w:val="nil"/>
            </w:tcBorders>
          </w:tcPr>
          <w:p>
            <w:pPr>
              <w:pStyle w:val="Normal"/>
              <w:spacing w:before="0" w:after="60"/>
              <w:jc w:val="center"/>
              <w:rPr>
                <w:sz w:val="20"/>
                <w:lang w:val="en-GB"/>
              </w:rPr>
            </w:pPr>
            <w:r>
              <w:rPr>
                <w:sz w:val="20"/>
                <w:lang w:val="en-GB"/>
              </w:rPr>
              <w:t>50.0 (39.3–63.8)</w:t>
            </w:r>
          </w:p>
        </w:tc>
        <w:tc>
          <w:tcPr>
            <w:tcW w:w="1701" w:type="dxa"/>
            <w:tcBorders>
              <w:left w:val="nil"/>
              <w:bottom w:val="nil"/>
              <w:right w:val="nil"/>
            </w:tcBorders>
          </w:tcPr>
          <w:p>
            <w:pPr>
              <w:pStyle w:val="Normal"/>
              <w:spacing w:before="0" w:after="60"/>
              <w:jc w:val="center"/>
              <w:rPr>
                <w:sz w:val="20"/>
                <w:lang w:val="en-GB"/>
              </w:rPr>
            </w:pPr>
            <w:r>
              <w:rPr>
                <w:sz w:val="20"/>
                <w:lang w:val="en-GB"/>
              </w:rPr>
              <w:t>46.5 (37.0–58.0)</w:t>
            </w:r>
          </w:p>
        </w:tc>
        <w:tc>
          <w:tcPr>
            <w:tcW w:w="1700" w:type="dxa"/>
            <w:tcBorders>
              <w:left w:val="nil"/>
              <w:bottom w:val="nil"/>
              <w:right w:val="nil"/>
            </w:tcBorders>
          </w:tcPr>
          <w:p>
            <w:pPr>
              <w:pStyle w:val="Normal"/>
              <w:spacing w:before="0" w:after="60"/>
              <w:jc w:val="center"/>
              <w:rPr>
                <w:sz w:val="20"/>
                <w:lang w:val="en-GB"/>
              </w:rPr>
            </w:pPr>
            <w:r>
              <w:rPr>
                <w:sz w:val="20"/>
                <w:lang w:val="en-GB"/>
              </w:rPr>
              <w:t>79.5 (56.0–94.8)</w:t>
            </w:r>
          </w:p>
        </w:tc>
        <w:tc>
          <w:tcPr>
            <w:tcW w:w="847" w:type="dxa"/>
            <w:tcBorders>
              <w:left w:val="nil"/>
              <w:bottom w:val="nil"/>
              <w:right w:val="nil"/>
            </w:tcBorders>
          </w:tcPr>
          <w:p>
            <w:pPr>
              <w:pStyle w:val="Normal"/>
              <w:spacing w:before="0" w:after="60"/>
              <w:jc w:val="center"/>
              <w:rPr>
                <w:sz w:val="20"/>
                <w:lang w:val="en-GB"/>
              </w:rPr>
            </w:pPr>
            <w:r>
              <w:rPr>
                <w:sz w:val="20"/>
                <w:lang w:val="en-GB"/>
              </w:rPr>
              <w:t>&lt;.001</w:t>
            </w:r>
          </w:p>
        </w:tc>
      </w:tr>
      <w:tr>
        <w:trPr/>
        <w:tc>
          <w:tcPr>
            <w:tcW w:w="4111" w:type="dxa"/>
            <w:tcBorders>
              <w:top w:val="nil"/>
              <w:left w:val="nil"/>
              <w:bottom w:val="nil"/>
              <w:right w:val="nil"/>
            </w:tcBorders>
          </w:tcPr>
          <w:p>
            <w:pPr>
              <w:pStyle w:val="Normal"/>
              <w:spacing w:before="0" w:after="60"/>
              <w:ind w:left="171" w:hanging="0"/>
              <w:rPr>
                <w:sz w:val="20"/>
                <w:lang w:val="en-GB"/>
              </w:rPr>
            </w:pPr>
            <w:r>
              <w:rPr>
                <w:sz w:val="20"/>
                <w:lang w:val="en-GB"/>
              </w:rPr>
              <w:t>x–ray time [min]</w:t>
            </w:r>
          </w:p>
        </w:tc>
        <w:tc>
          <w:tcPr>
            <w:tcW w:w="1559" w:type="dxa"/>
            <w:tcBorders>
              <w:top w:val="nil"/>
              <w:left w:val="nil"/>
              <w:bottom w:val="nil"/>
              <w:right w:val="nil"/>
            </w:tcBorders>
          </w:tcPr>
          <w:p>
            <w:pPr>
              <w:pStyle w:val="Normal"/>
              <w:spacing w:before="0" w:after="60"/>
              <w:jc w:val="center"/>
              <w:rPr>
                <w:sz w:val="20"/>
                <w:lang w:val="en-GB"/>
              </w:rPr>
            </w:pPr>
            <w:r>
              <w:rPr>
                <w:sz w:val="20"/>
                <w:lang w:val="en-GB"/>
              </w:rPr>
              <w:t>11.3 (7.0–15.2)</w:t>
            </w:r>
          </w:p>
        </w:tc>
        <w:tc>
          <w:tcPr>
            <w:tcW w:w="1701" w:type="dxa"/>
            <w:tcBorders>
              <w:top w:val="nil"/>
              <w:left w:val="nil"/>
              <w:bottom w:val="nil"/>
              <w:right w:val="nil"/>
            </w:tcBorders>
          </w:tcPr>
          <w:p>
            <w:pPr>
              <w:pStyle w:val="Normal"/>
              <w:spacing w:before="0" w:after="60"/>
              <w:jc w:val="center"/>
              <w:rPr>
                <w:sz w:val="20"/>
                <w:lang w:val="en-GB"/>
              </w:rPr>
            </w:pPr>
            <w:r>
              <w:rPr>
                <w:sz w:val="20"/>
                <w:lang w:val="en-GB"/>
              </w:rPr>
              <w:t>10.0 (6.6–14.0)</w:t>
            </w:r>
          </w:p>
        </w:tc>
        <w:tc>
          <w:tcPr>
            <w:tcW w:w="1700" w:type="dxa"/>
            <w:tcBorders>
              <w:top w:val="nil"/>
              <w:left w:val="nil"/>
              <w:bottom w:val="nil"/>
              <w:right w:val="nil"/>
            </w:tcBorders>
          </w:tcPr>
          <w:p>
            <w:pPr>
              <w:pStyle w:val="Normal"/>
              <w:spacing w:before="0" w:after="60"/>
              <w:jc w:val="center"/>
              <w:rPr>
                <w:sz w:val="20"/>
                <w:lang w:val="en-GB"/>
              </w:rPr>
            </w:pPr>
            <w:r>
              <w:rPr>
                <w:sz w:val="20"/>
                <w:lang w:val="en-GB"/>
              </w:rPr>
              <w:t>15.15 (11.1–24.3)</w:t>
            </w:r>
          </w:p>
        </w:tc>
        <w:tc>
          <w:tcPr>
            <w:tcW w:w="847" w:type="dxa"/>
            <w:tcBorders>
              <w:top w:val="nil"/>
              <w:left w:val="nil"/>
              <w:bottom w:val="nil"/>
              <w:right w:val="nil"/>
            </w:tcBorders>
          </w:tcPr>
          <w:p>
            <w:pPr>
              <w:pStyle w:val="Normal"/>
              <w:spacing w:before="0" w:after="60"/>
              <w:jc w:val="center"/>
              <w:rPr>
                <w:sz w:val="20"/>
                <w:lang w:val="en-GB"/>
              </w:rPr>
            </w:pPr>
            <w:r>
              <w:rPr>
                <w:sz w:val="20"/>
                <w:lang w:val="en-GB"/>
              </w:rPr>
              <w:t>.001</w:t>
            </w:r>
          </w:p>
        </w:tc>
      </w:tr>
      <w:tr>
        <w:trPr/>
        <w:tc>
          <w:tcPr>
            <w:tcW w:w="4111" w:type="dxa"/>
            <w:tcBorders>
              <w:top w:val="nil"/>
              <w:left w:val="nil"/>
              <w:bottom w:val="nil"/>
              <w:right w:val="nil"/>
            </w:tcBorders>
          </w:tcPr>
          <w:p>
            <w:pPr>
              <w:pStyle w:val="Normal"/>
              <w:spacing w:before="0" w:after="60"/>
              <w:ind w:left="171" w:hanging="0"/>
              <w:rPr>
                <w:sz w:val="20"/>
                <w:lang w:val="en-GB"/>
              </w:rPr>
            </w:pPr>
            <w:r>
              <w:rPr>
                <w:sz w:val="20"/>
                <w:lang w:val="en-GB"/>
              </w:rPr>
              <w:t>x–ray dose [cGy/m2]</w:t>
            </w:r>
          </w:p>
        </w:tc>
        <w:tc>
          <w:tcPr>
            <w:tcW w:w="1559" w:type="dxa"/>
            <w:tcBorders>
              <w:top w:val="nil"/>
              <w:left w:val="nil"/>
              <w:bottom w:val="nil"/>
              <w:right w:val="nil"/>
            </w:tcBorders>
          </w:tcPr>
          <w:p>
            <w:pPr>
              <w:pStyle w:val="Normal"/>
              <w:spacing w:before="0" w:after="60"/>
              <w:jc w:val="center"/>
              <w:rPr>
                <w:sz w:val="20"/>
                <w:lang w:val="en-GB"/>
              </w:rPr>
            </w:pPr>
            <w:r>
              <w:rPr>
                <w:sz w:val="20"/>
                <w:lang w:val="en-GB"/>
              </w:rPr>
              <w:t>0.9 (0.44–2.3)</w:t>
            </w:r>
          </w:p>
        </w:tc>
        <w:tc>
          <w:tcPr>
            <w:tcW w:w="1701" w:type="dxa"/>
            <w:tcBorders>
              <w:top w:val="nil"/>
              <w:left w:val="nil"/>
              <w:bottom w:val="nil"/>
              <w:right w:val="nil"/>
            </w:tcBorders>
          </w:tcPr>
          <w:p>
            <w:pPr>
              <w:pStyle w:val="Normal"/>
              <w:spacing w:before="0" w:after="60"/>
              <w:jc w:val="center"/>
              <w:rPr>
                <w:sz w:val="20"/>
                <w:lang w:val="en-GB"/>
              </w:rPr>
            </w:pPr>
            <w:r>
              <w:rPr>
                <w:sz w:val="20"/>
                <w:lang w:val="en-GB"/>
              </w:rPr>
              <w:t>0.8 (0.3–1.95)</w:t>
            </w:r>
          </w:p>
        </w:tc>
        <w:tc>
          <w:tcPr>
            <w:tcW w:w="1700" w:type="dxa"/>
            <w:tcBorders>
              <w:top w:val="nil"/>
              <w:left w:val="nil"/>
              <w:bottom w:val="nil"/>
              <w:right w:val="nil"/>
            </w:tcBorders>
          </w:tcPr>
          <w:p>
            <w:pPr>
              <w:pStyle w:val="Normal"/>
              <w:spacing w:before="0" w:after="60"/>
              <w:jc w:val="center"/>
              <w:rPr>
                <w:sz w:val="20"/>
                <w:lang w:val="en-GB"/>
              </w:rPr>
            </w:pPr>
            <w:r>
              <w:rPr>
                <w:sz w:val="20"/>
                <w:lang w:val="en-GB"/>
              </w:rPr>
              <w:t>1.1 (0.6–4.5)</w:t>
            </w:r>
          </w:p>
        </w:tc>
        <w:tc>
          <w:tcPr>
            <w:tcW w:w="847" w:type="dxa"/>
            <w:tcBorders>
              <w:top w:val="nil"/>
              <w:left w:val="nil"/>
              <w:bottom w:val="nil"/>
              <w:right w:val="nil"/>
            </w:tcBorders>
          </w:tcPr>
          <w:p>
            <w:pPr>
              <w:pStyle w:val="Normal"/>
              <w:spacing w:before="0" w:after="60"/>
              <w:jc w:val="center"/>
              <w:rPr>
                <w:color w:val="A6A6A6" w:themeColor="background1" w:themeShade="a6"/>
                <w:sz w:val="20"/>
                <w:lang w:val="en-GB"/>
              </w:rPr>
            </w:pPr>
            <w:r>
              <w:rPr>
                <w:sz w:val="20"/>
                <w:lang w:val="en-GB"/>
              </w:rPr>
              <w:t>.107</w:t>
            </w:r>
          </w:p>
        </w:tc>
      </w:tr>
      <w:tr>
        <w:trPr/>
        <w:tc>
          <w:tcPr>
            <w:tcW w:w="4111" w:type="dxa"/>
            <w:tcBorders>
              <w:top w:val="nil"/>
              <w:left w:val="nil"/>
              <w:bottom w:val="nil"/>
              <w:right w:val="nil"/>
            </w:tcBorders>
          </w:tcPr>
          <w:p>
            <w:pPr>
              <w:pStyle w:val="Normal"/>
              <w:spacing w:before="0" w:after="60"/>
              <w:ind w:left="171" w:hanging="0"/>
              <w:rPr>
                <w:sz w:val="20"/>
                <w:lang w:val="en-GB"/>
              </w:rPr>
            </w:pPr>
            <w:r>
              <w:rPr>
                <w:sz w:val="20"/>
                <w:lang w:val="en-GB"/>
              </w:rPr>
              <w:t>Contrast medium [ml]</w:t>
            </w:r>
          </w:p>
        </w:tc>
        <w:tc>
          <w:tcPr>
            <w:tcW w:w="1559" w:type="dxa"/>
            <w:tcBorders>
              <w:top w:val="nil"/>
              <w:left w:val="nil"/>
              <w:bottom w:val="nil"/>
              <w:right w:val="nil"/>
            </w:tcBorders>
          </w:tcPr>
          <w:p>
            <w:pPr>
              <w:pStyle w:val="Normal"/>
              <w:spacing w:before="0" w:after="60"/>
              <w:jc w:val="center"/>
              <w:rPr>
                <w:sz w:val="20"/>
                <w:lang w:val="en-GB"/>
              </w:rPr>
            </w:pPr>
            <w:r>
              <w:rPr>
                <w:sz w:val="20"/>
                <w:lang w:val="en-GB"/>
              </w:rPr>
              <w:t>18.0 (12–30)</w:t>
            </w:r>
          </w:p>
        </w:tc>
        <w:tc>
          <w:tcPr>
            <w:tcW w:w="1701" w:type="dxa"/>
            <w:tcBorders>
              <w:top w:val="nil"/>
              <w:left w:val="nil"/>
              <w:bottom w:val="nil"/>
              <w:right w:val="nil"/>
            </w:tcBorders>
          </w:tcPr>
          <w:p>
            <w:pPr>
              <w:pStyle w:val="Normal"/>
              <w:spacing w:before="0" w:after="60"/>
              <w:jc w:val="center"/>
              <w:rPr>
                <w:sz w:val="20"/>
                <w:lang w:val="en-GB"/>
              </w:rPr>
            </w:pPr>
            <w:r>
              <w:rPr>
                <w:sz w:val="20"/>
                <w:lang w:val="en-GB"/>
              </w:rPr>
              <w:t>16.0 (12–24)</w:t>
            </w:r>
          </w:p>
        </w:tc>
        <w:tc>
          <w:tcPr>
            <w:tcW w:w="1700" w:type="dxa"/>
            <w:tcBorders>
              <w:top w:val="nil"/>
              <w:left w:val="nil"/>
              <w:bottom w:val="nil"/>
              <w:right w:val="nil"/>
            </w:tcBorders>
          </w:tcPr>
          <w:p>
            <w:pPr>
              <w:pStyle w:val="Normal"/>
              <w:spacing w:before="0" w:after="60"/>
              <w:jc w:val="center"/>
              <w:rPr>
                <w:sz w:val="20"/>
                <w:lang w:val="en-GB"/>
              </w:rPr>
            </w:pPr>
            <w:r>
              <w:rPr>
                <w:sz w:val="20"/>
                <w:lang w:val="en-GB"/>
              </w:rPr>
              <w:t>30.0 (18.0–42.0)</w:t>
            </w:r>
          </w:p>
        </w:tc>
        <w:tc>
          <w:tcPr>
            <w:tcW w:w="847" w:type="dxa"/>
            <w:tcBorders>
              <w:top w:val="nil"/>
              <w:left w:val="nil"/>
              <w:bottom w:val="nil"/>
              <w:right w:val="nil"/>
            </w:tcBorders>
          </w:tcPr>
          <w:p>
            <w:pPr>
              <w:pStyle w:val="Normal"/>
              <w:spacing w:before="0" w:after="60"/>
              <w:jc w:val="center"/>
              <w:rPr>
                <w:color w:val="A6A6A6" w:themeColor="background1" w:themeShade="a6"/>
                <w:sz w:val="20"/>
                <w:lang w:val="en-GB"/>
              </w:rPr>
            </w:pPr>
            <w:r>
              <w:rPr>
                <w:sz w:val="20"/>
                <w:lang w:val="en-GB"/>
              </w:rPr>
              <w:t>&lt;.001</w:t>
            </w:r>
          </w:p>
        </w:tc>
      </w:tr>
      <w:tr>
        <w:trPr/>
        <w:tc>
          <w:tcPr>
            <w:tcW w:w="4111" w:type="dxa"/>
            <w:tcBorders>
              <w:top w:val="nil"/>
              <w:left w:val="nil"/>
              <w:bottom w:val="nil"/>
              <w:right w:val="nil"/>
            </w:tcBorders>
          </w:tcPr>
          <w:p>
            <w:pPr>
              <w:pStyle w:val="Normal"/>
              <w:spacing w:before="0" w:after="60"/>
              <w:ind w:left="171" w:hanging="0"/>
              <w:rPr>
                <w:sz w:val="20"/>
                <w:lang w:val="en-GB"/>
              </w:rPr>
            </w:pPr>
            <w:r>
              <w:rPr>
                <w:sz w:val="20"/>
                <w:lang w:val="en-GB"/>
              </w:rPr>
              <w:t>Systolic dp RV–PA, before [mmHg]</w:t>
            </w:r>
          </w:p>
        </w:tc>
        <w:tc>
          <w:tcPr>
            <w:tcW w:w="1559" w:type="dxa"/>
            <w:tcBorders>
              <w:top w:val="nil"/>
              <w:left w:val="nil"/>
              <w:bottom w:val="nil"/>
              <w:right w:val="nil"/>
            </w:tcBorders>
          </w:tcPr>
          <w:p>
            <w:pPr>
              <w:pStyle w:val="Normal"/>
              <w:spacing w:before="0" w:after="60"/>
              <w:jc w:val="center"/>
              <w:rPr>
                <w:sz w:val="20"/>
                <w:lang w:val="en-GB"/>
              </w:rPr>
            </w:pPr>
            <w:r>
              <w:rPr>
                <w:sz w:val="20"/>
                <w:lang w:val="en-GB"/>
              </w:rPr>
              <w:t>43.5 (31.3–59.0)</w:t>
            </w:r>
          </w:p>
        </w:tc>
        <w:tc>
          <w:tcPr>
            <w:tcW w:w="1701" w:type="dxa"/>
            <w:tcBorders>
              <w:top w:val="nil"/>
              <w:left w:val="nil"/>
              <w:bottom w:val="nil"/>
              <w:right w:val="nil"/>
            </w:tcBorders>
          </w:tcPr>
          <w:p>
            <w:pPr>
              <w:pStyle w:val="Normal"/>
              <w:spacing w:before="0" w:after="60"/>
              <w:jc w:val="center"/>
              <w:rPr>
                <w:sz w:val="20"/>
                <w:lang w:val="en-GB"/>
              </w:rPr>
            </w:pPr>
            <w:r>
              <w:rPr>
                <w:sz w:val="20"/>
                <w:lang w:val="en-GB"/>
              </w:rPr>
              <w:t>42.0 (30.3–59.0)</w:t>
            </w:r>
          </w:p>
        </w:tc>
        <w:tc>
          <w:tcPr>
            <w:tcW w:w="1700" w:type="dxa"/>
            <w:tcBorders>
              <w:top w:val="nil"/>
              <w:left w:val="nil"/>
              <w:bottom w:val="nil"/>
              <w:right w:val="nil"/>
            </w:tcBorders>
          </w:tcPr>
          <w:p>
            <w:pPr>
              <w:pStyle w:val="Normal"/>
              <w:spacing w:before="0" w:after="60"/>
              <w:jc w:val="center"/>
              <w:rPr>
                <w:sz w:val="20"/>
                <w:lang w:val="en-GB"/>
              </w:rPr>
            </w:pPr>
            <w:r>
              <w:rPr>
                <w:sz w:val="20"/>
                <w:lang w:val="en-GB"/>
              </w:rPr>
              <w:t>45.0 (32.0–58.3)</w:t>
            </w:r>
          </w:p>
        </w:tc>
        <w:tc>
          <w:tcPr>
            <w:tcW w:w="847" w:type="dxa"/>
            <w:tcBorders>
              <w:top w:val="nil"/>
              <w:left w:val="nil"/>
              <w:bottom w:val="nil"/>
              <w:right w:val="nil"/>
            </w:tcBorders>
          </w:tcPr>
          <w:p>
            <w:pPr>
              <w:pStyle w:val="Normal"/>
              <w:spacing w:before="0" w:after="60"/>
              <w:jc w:val="center"/>
              <w:rPr>
                <w:color w:val="A6A6A6" w:themeColor="background1" w:themeShade="a6"/>
                <w:sz w:val="20"/>
                <w:lang w:val="en-GB"/>
              </w:rPr>
            </w:pPr>
            <w:r>
              <w:rPr>
                <w:sz w:val="20"/>
                <w:lang w:val="en-GB"/>
              </w:rPr>
              <w:t>.756</w:t>
            </w:r>
          </w:p>
        </w:tc>
      </w:tr>
      <w:tr>
        <w:trPr/>
        <w:tc>
          <w:tcPr>
            <w:tcW w:w="4111" w:type="dxa"/>
            <w:tcBorders>
              <w:top w:val="nil"/>
              <w:left w:val="nil"/>
              <w:bottom w:val="nil"/>
              <w:right w:val="nil"/>
            </w:tcBorders>
          </w:tcPr>
          <w:p>
            <w:pPr>
              <w:pStyle w:val="Normal"/>
              <w:spacing w:before="0" w:after="60"/>
              <w:ind w:left="171" w:hanging="0"/>
              <w:rPr>
                <w:sz w:val="20"/>
                <w:lang w:val="en-GB"/>
              </w:rPr>
            </w:pPr>
            <w:r>
              <w:rPr>
                <w:sz w:val="20"/>
                <w:lang w:val="en-GB"/>
              </w:rPr>
              <w:t>Systolic dp RV–PA, after [mmHg]</w:t>
            </w:r>
          </w:p>
        </w:tc>
        <w:tc>
          <w:tcPr>
            <w:tcW w:w="1559" w:type="dxa"/>
            <w:tcBorders>
              <w:top w:val="nil"/>
              <w:left w:val="nil"/>
              <w:bottom w:val="nil"/>
              <w:right w:val="nil"/>
            </w:tcBorders>
          </w:tcPr>
          <w:p>
            <w:pPr>
              <w:pStyle w:val="Normal"/>
              <w:spacing w:before="0" w:after="60"/>
              <w:jc w:val="center"/>
              <w:rPr>
                <w:sz w:val="20"/>
                <w:lang w:val="en-GB"/>
              </w:rPr>
            </w:pPr>
            <w:r>
              <w:rPr>
                <w:sz w:val="20"/>
                <w:lang w:val="en-GB"/>
              </w:rPr>
              <w:t>14.0 (9.0–20.0)</w:t>
            </w:r>
          </w:p>
        </w:tc>
        <w:tc>
          <w:tcPr>
            <w:tcW w:w="1701" w:type="dxa"/>
            <w:tcBorders>
              <w:top w:val="nil"/>
              <w:left w:val="nil"/>
              <w:bottom w:val="nil"/>
              <w:right w:val="nil"/>
            </w:tcBorders>
          </w:tcPr>
          <w:p>
            <w:pPr>
              <w:pStyle w:val="Normal"/>
              <w:spacing w:before="0" w:after="60"/>
              <w:jc w:val="center"/>
              <w:rPr>
                <w:sz w:val="20"/>
                <w:lang w:val="en-GB"/>
              </w:rPr>
            </w:pPr>
            <w:r>
              <w:rPr>
                <w:sz w:val="20"/>
                <w:lang w:val="en-GB"/>
              </w:rPr>
              <w:t>12.0 (8.0–17.0)</w:t>
            </w:r>
          </w:p>
        </w:tc>
        <w:tc>
          <w:tcPr>
            <w:tcW w:w="1700" w:type="dxa"/>
            <w:tcBorders>
              <w:top w:val="nil"/>
              <w:left w:val="nil"/>
              <w:bottom w:val="nil"/>
              <w:right w:val="nil"/>
            </w:tcBorders>
          </w:tcPr>
          <w:p>
            <w:pPr>
              <w:pStyle w:val="Normal"/>
              <w:spacing w:before="0" w:after="60"/>
              <w:jc w:val="center"/>
              <w:rPr>
                <w:sz w:val="20"/>
                <w:lang w:val="en-GB"/>
              </w:rPr>
            </w:pPr>
            <w:r>
              <w:rPr>
                <w:sz w:val="20"/>
                <w:lang w:val="en-GB"/>
              </w:rPr>
              <w:t>28.5 (15.8–40)</w:t>
            </w:r>
          </w:p>
        </w:tc>
        <w:tc>
          <w:tcPr>
            <w:tcW w:w="847" w:type="dxa"/>
            <w:tcBorders>
              <w:top w:val="nil"/>
              <w:left w:val="nil"/>
              <w:bottom w:val="nil"/>
              <w:right w:val="nil"/>
            </w:tcBorders>
          </w:tcPr>
          <w:p>
            <w:pPr>
              <w:pStyle w:val="Normal"/>
              <w:spacing w:before="0" w:after="60"/>
              <w:jc w:val="center"/>
              <w:rPr>
                <w:color w:val="A6A6A6" w:themeColor="background1" w:themeShade="a6"/>
                <w:sz w:val="20"/>
                <w:lang w:val="en-GB"/>
              </w:rPr>
            </w:pPr>
            <w:r>
              <w:rPr>
                <w:sz w:val="20"/>
                <w:lang w:val="en-GB"/>
              </w:rPr>
              <w:t>&lt;.001</w:t>
            </w:r>
          </w:p>
        </w:tc>
      </w:tr>
      <w:tr>
        <w:trPr/>
        <w:tc>
          <w:tcPr>
            <w:tcW w:w="4111" w:type="dxa"/>
            <w:tcBorders>
              <w:top w:val="nil"/>
              <w:left w:val="nil"/>
              <w:bottom w:val="nil"/>
              <w:right w:val="nil"/>
            </w:tcBorders>
          </w:tcPr>
          <w:p>
            <w:pPr>
              <w:pStyle w:val="Normal"/>
              <w:spacing w:before="0" w:after="60"/>
              <w:ind w:left="171" w:hanging="0"/>
              <w:rPr>
                <w:sz w:val="20"/>
                <w:lang w:val="en-GB"/>
              </w:rPr>
            </w:pPr>
            <w:r>
              <w:rPr>
                <w:sz w:val="20"/>
                <w:lang w:val="en-GB"/>
              </w:rPr>
              <w:t xml:space="preserve">Systolic RV pressure, before [mmHg] </w:t>
            </w:r>
          </w:p>
        </w:tc>
        <w:tc>
          <w:tcPr>
            <w:tcW w:w="1559" w:type="dxa"/>
            <w:tcBorders>
              <w:top w:val="nil"/>
              <w:left w:val="nil"/>
              <w:bottom w:val="nil"/>
              <w:right w:val="nil"/>
            </w:tcBorders>
          </w:tcPr>
          <w:p>
            <w:pPr>
              <w:pStyle w:val="Normal"/>
              <w:spacing w:before="0" w:after="60"/>
              <w:jc w:val="center"/>
              <w:rPr>
                <w:sz w:val="20"/>
                <w:lang w:val="en-GB"/>
              </w:rPr>
            </w:pPr>
            <w:r>
              <w:rPr>
                <w:sz w:val="20"/>
                <w:lang w:val="en-GB"/>
              </w:rPr>
              <w:t>64.0 (52.0–84.0)</w:t>
            </w:r>
          </w:p>
        </w:tc>
        <w:tc>
          <w:tcPr>
            <w:tcW w:w="1701" w:type="dxa"/>
            <w:tcBorders>
              <w:top w:val="nil"/>
              <w:left w:val="nil"/>
              <w:bottom w:val="nil"/>
              <w:right w:val="nil"/>
            </w:tcBorders>
          </w:tcPr>
          <w:p>
            <w:pPr>
              <w:pStyle w:val="Normal"/>
              <w:spacing w:before="0" w:after="60"/>
              <w:jc w:val="center"/>
              <w:rPr>
                <w:sz w:val="20"/>
                <w:lang w:val="en-GB"/>
              </w:rPr>
            </w:pPr>
            <w:r>
              <w:rPr>
                <w:sz w:val="20"/>
                <w:lang w:val="en-GB"/>
              </w:rPr>
              <w:t>66.0 (52.0–86.0)</w:t>
            </w:r>
          </w:p>
        </w:tc>
        <w:tc>
          <w:tcPr>
            <w:tcW w:w="1700" w:type="dxa"/>
            <w:tcBorders>
              <w:top w:val="nil"/>
              <w:left w:val="nil"/>
              <w:bottom w:val="nil"/>
              <w:right w:val="nil"/>
            </w:tcBorders>
          </w:tcPr>
          <w:p>
            <w:pPr>
              <w:pStyle w:val="Normal"/>
              <w:spacing w:before="0" w:after="60"/>
              <w:jc w:val="center"/>
              <w:rPr>
                <w:sz w:val="20"/>
                <w:lang w:val="en-GB"/>
              </w:rPr>
            </w:pPr>
            <w:r>
              <w:rPr>
                <w:sz w:val="20"/>
                <w:lang w:val="en-GB"/>
              </w:rPr>
              <w:t>63.0 (52.0–78.0)</w:t>
            </w:r>
          </w:p>
        </w:tc>
        <w:tc>
          <w:tcPr>
            <w:tcW w:w="847" w:type="dxa"/>
            <w:tcBorders>
              <w:top w:val="nil"/>
              <w:left w:val="nil"/>
              <w:bottom w:val="nil"/>
              <w:right w:val="nil"/>
            </w:tcBorders>
          </w:tcPr>
          <w:p>
            <w:pPr>
              <w:pStyle w:val="Normal"/>
              <w:spacing w:before="0" w:after="60"/>
              <w:jc w:val="center"/>
              <w:rPr>
                <w:sz w:val="20"/>
                <w:lang w:val="en-GB"/>
              </w:rPr>
            </w:pPr>
            <w:r>
              <w:rPr>
                <w:sz w:val="20"/>
                <w:lang w:val="en-GB"/>
              </w:rPr>
              <w:t>.357</w:t>
            </w:r>
          </w:p>
        </w:tc>
      </w:tr>
      <w:tr>
        <w:trPr/>
        <w:tc>
          <w:tcPr>
            <w:tcW w:w="4111" w:type="dxa"/>
            <w:tcBorders>
              <w:top w:val="nil"/>
              <w:left w:val="nil"/>
              <w:bottom w:val="nil"/>
              <w:right w:val="nil"/>
            </w:tcBorders>
          </w:tcPr>
          <w:p>
            <w:pPr>
              <w:pStyle w:val="Normal"/>
              <w:spacing w:before="0" w:after="60"/>
              <w:ind w:left="171" w:hanging="0"/>
              <w:rPr>
                <w:sz w:val="20"/>
                <w:lang w:val="en-GB"/>
              </w:rPr>
            </w:pPr>
            <w:r>
              <w:rPr>
                <w:sz w:val="20"/>
                <w:lang w:val="en-GB"/>
              </w:rPr>
              <w:t>Systolic PA pressure, before [mmHg]</w:t>
            </w:r>
          </w:p>
        </w:tc>
        <w:tc>
          <w:tcPr>
            <w:tcW w:w="1559" w:type="dxa"/>
            <w:tcBorders>
              <w:top w:val="nil"/>
              <w:left w:val="nil"/>
              <w:bottom w:val="nil"/>
              <w:right w:val="nil"/>
            </w:tcBorders>
          </w:tcPr>
          <w:p>
            <w:pPr>
              <w:pStyle w:val="Normal"/>
              <w:spacing w:before="0" w:after="60"/>
              <w:jc w:val="center"/>
              <w:rPr>
                <w:sz w:val="20"/>
                <w:lang w:val="en-GB"/>
              </w:rPr>
            </w:pPr>
            <w:r>
              <w:rPr>
                <w:sz w:val="20"/>
                <w:lang w:val="en-GB"/>
              </w:rPr>
              <w:t>20.0 (17.0–27.5)</w:t>
            </w:r>
          </w:p>
        </w:tc>
        <w:tc>
          <w:tcPr>
            <w:tcW w:w="1701" w:type="dxa"/>
            <w:tcBorders>
              <w:top w:val="nil"/>
              <w:left w:val="nil"/>
              <w:bottom w:val="nil"/>
              <w:right w:val="nil"/>
            </w:tcBorders>
          </w:tcPr>
          <w:p>
            <w:pPr>
              <w:pStyle w:val="Normal"/>
              <w:spacing w:before="0" w:after="60"/>
              <w:jc w:val="center"/>
              <w:rPr>
                <w:sz w:val="20"/>
                <w:lang w:val="en-GB"/>
              </w:rPr>
            </w:pPr>
            <w:r>
              <w:rPr>
                <w:sz w:val="20"/>
                <w:lang w:val="en-GB"/>
              </w:rPr>
              <w:t>20.5 (17.0–28.0)</w:t>
            </w:r>
          </w:p>
        </w:tc>
        <w:tc>
          <w:tcPr>
            <w:tcW w:w="1700" w:type="dxa"/>
            <w:tcBorders>
              <w:top w:val="nil"/>
              <w:left w:val="nil"/>
              <w:bottom w:val="nil"/>
              <w:right w:val="nil"/>
            </w:tcBorders>
          </w:tcPr>
          <w:p>
            <w:pPr>
              <w:pStyle w:val="Normal"/>
              <w:spacing w:before="0" w:after="60"/>
              <w:jc w:val="center"/>
              <w:rPr>
                <w:sz w:val="20"/>
                <w:lang w:val="en-GB"/>
              </w:rPr>
            </w:pPr>
            <w:r>
              <w:rPr>
                <w:sz w:val="20"/>
                <w:lang w:val="en-GB"/>
              </w:rPr>
              <w:t>20.0 (16.0–25.0)</w:t>
            </w:r>
          </w:p>
        </w:tc>
        <w:tc>
          <w:tcPr>
            <w:tcW w:w="847" w:type="dxa"/>
            <w:tcBorders>
              <w:top w:val="nil"/>
              <w:left w:val="nil"/>
              <w:bottom w:val="nil"/>
              <w:right w:val="nil"/>
            </w:tcBorders>
          </w:tcPr>
          <w:p>
            <w:pPr>
              <w:pStyle w:val="Normal"/>
              <w:spacing w:before="0" w:after="60"/>
              <w:jc w:val="center"/>
              <w:rPr>
                <w:sz w:val="20"/>
                <w:lang w:val="en-GB"/>
              </w:rPr>
            </w:pPr>
            <w:r>
              <w:rPr>
                <w:sz w:val="20"/>
                <w:lang w:val="en-GB"/>
              </w:rPr>
              <w:t>.420</w:t>
            </w:r>
          </w:p>
        </w:tc>
      </w:tr>
      <w:tr>
        <w:trPr/>
        <w:tc>
          <w:tcPr>
            <w:tcW w:w="4111" w:type="dxa"/>
            <w:tcBorders>
              <w:top w:val="nil"/>
              <w:left w:val="nil"/>
              <w:bottom w:val="nil"/>
              <w:right w:val="nil"/>
            </w:tcBorders>
          </w:tcPr>
          <w:p>
            <w:pPr>
              <w:pStyle w:val="Normal"/>
              <w:spacing w:before="0" w:after="60"/>
              <w:ind w:left="171" w:hanging="0"/>
              <w:rPr>
                <w:sz w:val="20"/>
                <w:lang w:val="en-GB"/>
              </w:rPr>
            </w:pPr>
            <w:r>
              <w:rPr>
                <w:sz w:val="20"/>
                <w:lang w:val="en-GB"/>
              </w:rPr>
              <w:t xml:space="preserve">Systolic RV pressure, after [mmHg] </w:t>
            </w:r>
          </w:p>
        </w:tc>
        <w:tc>
          <w:tcPr>
            <w:tcW w:w="1559" w:type="dxa"/>
            <w:tcBorders>
              <w:top w:val="nil"/>
              <w:left w:val="nil"/>
              <w:bottom w:val="nil"/>
              <w:right w:val="nil"/>
            </w:tcBorders>
          </w:tcPr>
          <w:p>
            <w:pPr>
              <w:pStyle w:val="Normal"/>
              <w:spacing w:before="0" w:after="60"/>
              <w:jc w:val="center"/>
              <w:rPr>
                <w:sz w:val="20"/>
                <w:lang w:val="en-GB"/>
              </w:rPr>
            </w:pPr>
            <w:r>
              <w:rPr>
                <w:sz w:val="20"/>
                <w:lang w:val="en-GB"/>
              </w:rPr>
              <w:t>41.0 (35.0–51.0)</w:t>
            </w:r>
          </w:p>
        </w:tc>
        <w:tc>
          <w:tcPr>
            <w:tcW w:w="1701" w:type="dxa"/>
            <w:tcBorders>
              <w:top w:val="nil"/>
              <w:left w:val="nil"/>
              <w:bottom w:val="nil"/>
              <w:right w:val="nil"/>
            </w:tcBorders>
          </w:tcPr>
          <w:p>
            <w:pPr>
              <w:pStyle w:val="Normal"/>
              <w:spacing w:before="0" w:after="60"/>
              <w:jc w:val="center"/>
              <w:rPr>
                <w:sz w:val="20"/>
                <w:lang w:val="en-GB"/>
              </w:rPr>
            </w:pPr>
            <w:r>
              <w:rPr>
                <w:sz w:val="20"/>
                <w:lang w:val="en-GB"/>
              </w:rPr>
              <w:t>39.0 (33.0–47.0)</w:t>
            </w:r>
          </w:p>
        </w:tc>
        <w:tc>
          <w:tcPr>
            <w:tcW w:w="1700" w:type="dxa"/>
            <w:tcBorders>
              <w:top w:val="nil"/>
              <w:left w:val="nil"/>
              <w:bottom w:val="nil"/>
              <w:right w:val="nil"/>
            </w:tcBorders>
          </w:tcPr>
          <w:p>
            <w:pPr>
              <w:pStyle w:val="Normal"/>
              <w:spacing w:before="0" w:after="60"/>
              <w:jc w:val="center"/>
              <w:rPr>
                <w:sz w:val="20"/>
                <w:lang w:val="en-GB"/>
              </w:rPr>
            </w:pPr>
            <w:r>
              <w:rPr>
                <w:sz w:val="20"/>
                <w:lang w:val="en-GB"/>
              </w:rPr>
              <w:t>52.5 (42.5–60.8)</w:t>
            </w:r>
          </w:p>
        </w:tc>
        <w:tc>
          <w:tcPr>
            <w:tcW w:w="847" w:type="dxa"/>
            <w:tcBorders>
              <w:top w:val="nil"/>
              <w:left w:val="nil"/>
              <w:bottom w:val="nil"/>
              <w:right w:val="nil"/>
            </w:tcBorders>
          </w:tcPr>
          <w:p>
            <w:pPr>
              <w:pStyle w:val="Normal"/>
              <w:spacing w:before="0" w:after="60"/>
              <w:jc w:val="center"/>
              <w:rPr>
                <w:sz w:val="20"/>
                <w:lang w:val="en-GB"/>
              </w:rPr>
            </w:pPr>
            <w:r>
              <w:rPr>
                <w:sz w:val="20"/>
                <w:lang w:val="en-GB"/>
              </w:rPr>
              <w:t>&lt;.001</w:t>
            </w:r>
          </w:p>
        </w:tc>
      </w:tr>
      <w:tr>
        <w:trPr/>
        <w:tc>
          <w:tcPr>
            <w:tcW w:w="4111" w:type="dxa"/>
            <w:tcBorders>
              <w:top w:val="nil"/>
              <w:left w:val="nil"/>
              <w:bottom w:val="nil"/>
              <w:right w:val="nil"/>
            </w:tcBorders>
          </w:tcPr>
          <w:p>
            <w:pPr>
              <w:pStyle w:val="Normal"/>
              <w:spacing w:before="0" w:after="60"/>
              <w:ind w:left="171" w:hanging="0"/>
              <w:rPr>
                <w:sz w:val="20"/>
                <w:lang w:val="en-GB"/>
              </w:rPr>
            </w:pPr>
            <w:r>
              <w:rPr>
                <w:sz w:val="20"/>
                <w:lang w:val="en-GB"/>
              </w:rPr>
              <w:t>Systolic PA pressure, after [mmHg]</w:t>
            </w:r>
          </w:p>
        </w:tc>
        <w:tc>
          <w:tcPr>
            <w:tcW w:w="1559" w:type="dxa"/>
            <w:tcBorders>
              <w:top w:val="nil"/>
              <w:left w:val="nil"/>
              <w:bottom w:val="nil"/>
              <w:right w:val="nil"/>
            </w:tcBorders>
          </w:tcPr>
          <w:p>
            <w:pPr>
              <w:pStyle w:val="Normal"/>
              <w:spacing w:before="0" w:after="60"/>
              <w:jc w:val="center"/>
              <w:rPr>
                <w:sz w:val="20"/>
                <w:lang w:val="en-GB"/>
              </w:rPr>
            </w:pPr>
            <w:r>
              <w:rPr>
                <w:sz w:val="20"/>
                <w:lang w:val="en-GB"/>
              </w:rPr>
              <w:t>25.0 (21.0–32.0)</w:t>
            </w:r>
          </w:p>
        </w:tc>
        <w:tc>
          <w:tcPr>
            <w:tcW w:w="1701" w:type="dxa"/>
            <w:tcBorders>
              <w:top w:val="nil"/>
              <w:left w:val="nil"/>
              <w:bottom w:val="nil"/>
              <w:right w:val="nil"/>
            </w:tcBorders>
          </w:tcPr>
          <w:p>
            <w:pPr>
              <w:pStyle w:val="Normal"/>
              <w:spacing w:before="0" w:after="60"/>
              <w:jc w:val="center"/>
              <w:rPr>
                <w:sz w:val="20"/>
                <w:lang w:val="en-GB"/>
              </w:rPr>
            </w:pPr>
            <w:r>
              <w:rPr>
                <w:sz w:val="20"/>
                <w:lang w:val="en-GB"/>
              </w:rPr>
              <w:t>26.0 (21.0–33.0)</w:t>
            </w:r>
          </w:p>
        </w:tc>
        <w:tc>
          <w:tcPr>
            <w:tcW w:w="1700" w:type="dxa"/>
            <w:tcBorders>
              <w:top w:val="nil"/>
              <w:left w:val="nil"/>
              <w:bottom w:val="nil"/>
              <w:right w:val="nil"/>
            </w:tcBorders>
          </w:tcPr>
          <w:p>
            <w:pPr>
              <w:pStyle w:val="Normal"/>
              <w:spacing w:before="0" w:after="60"/>
              <w:jc w:val="center"/>
              <w:rPr>
                <w:sz w:val="20"/>
                <w:lang w:val="en-GB"/>
              </w:rPr>
            </w:pPr>
            <w:r>
              <w:rPr>
                <w:sz w:val="20"/>
                <w:lang w:val="en-GB"/>
              </w:rPr>
              <w:t>23.0 (18.5–29.0)</w:t>
            </w:r>
          </w:p>
        </w:tc>
        <w:tc>
          <w:tcPr>
            <w:tcW w:w="847" w:type="dxa"/>
            <w:tcBorders>
              <w:top w:val="nil"/>
              <w:left w:val="nil"/>
              <w:bottom w:val="nil"/>
              <w:right w:val="nil"/>
            </w:tcBorders>
          </w:tcPr>
          <w:p>
            <w:pPr>
              <w:pStyle w:val="Normal"/>
              <w:spacing w:before="0" w:after="60"/>
              <w:jc w:val="center"/>
              <w:rPr>
                <w:sz w:val="20"/>
                <w:lang w:val="en-GB"/>
              </w:rPr>
            </w:pPr>
            <w:r>
              <w:rPr>
                <w:sz w:val="20"/>
                <w:lang w:val="en-GB"/>
              </w:rPr>
              <w:t>.094</w:t>
            </w:r>
          </w:p>
        </w:tc>
      </w:tr>
      <w:tr>
        <w:trPr/>
        <w:tc>
          <w:tcPr>
            <w:tcW w:w="4111" w:type="dxa"/>
            <w:tcBorders>
              <w:top w:val="nil"/>
              <w:left w:val="nil"/>
              <w:bottom w:val="nil"/>
              <w:right w:val="nil"/>
            </w:tcBorders>
          </w:tcPr>
          <w:p>
            <w:pPr>
              <w:pStyle w:val="Normal"/>
              <w:spacing w:before="0" w:after="60"/>
              <w:ind w:left="171" w:hanging="0"/>
              <w:rPr>
                <w:sz w:val="20"/>
                <w:lang w:val="en-GB"/>
              </w:rPr>
            </w:pPr>
            <w:r>
              <w:rPr>
                <w:sz w:val="20"/>
                <w:lang w:val="en-GB"/>
              </w:rPr>
              <w:t>Systolic SA pressure, before [mmHg]</w:t>
            </w:r>
          </w:p>
        </w:tc>
        <w:tc>
          <w:tcPr>
            <w:tcW w:w="1559" w:type="dxa"/>
            <w:tcBorders>
              <w:top w:val="nil"/>
              <w:left w:val="nil"/>
              <w:bottom w:val="nil"/>
              <w:right w:val="nil"/>
            </w:tcBorders>
          </w:tcPr>
          <w:p>
            <w:pPr>
              <w:pStyle w:val="Normal"/>
              <w:spacing w:before="0" w:after="60"/>
              <w:jc w:val="center"/>
              <w:rPr>
                <w:sz w:val="20"/>
                <w:lang w:val="en-GB"/>
              </w:rPr>
            </w:pPr>
            <w:r>
              <w:rPr>
                <w:sz w:val="20"/>
                <w:lang w:val="en-GB"/>
              </w:rPr>
              <w:t>74.0 (62.0–85.0)</w:t>
            </w:r>
          </w:p>
        </w:tc>
        <w:tc>
          <w:tcPr>
            <w:tcW w:w="1701" w:type="dxa"/>
            <w:tcBorders>
              <w:top w:val="nil"/>
              <w:left w:val="nil"/>
              <w:bottom w:val="nil"/>
              <w:right w:val="nil"/>
            </w:tcBorders>
          </w:tcPr>
          <w:p>
            <w:pPr>
              <w:pStyle w:val="Normal"/>
              <w:spacing w:before="0" w:after="60"/>
              <w:jc w:val="center"/>
              <w:rPr>
                <w:sz w:val="20"/>
                <w:lang w:val="en-GB"/>
              </w:rPr>
            </w:pPr>
            <w:r>
              <w:rPr>
                <w:sz w:val="20"/>
                <w:lang w:val="en-GB"/>
              </w:rPr>
              <w:t>73.0 (60.0–85.0)</w:t>
            </w:r>
          </w:p>
        </w:tc>
        <w:tc>
          <w:tcPr>
            <w:tcW w:w="1700" w:type="dxa"/>
            <w:tcBorders>
              <w:top w:val="nil"/>
              <w:left w:val="nil"/>
              <w:bottom w:val="nil"/>
              <w:right w:val="nil"/>
            </w:tcBorders>
          </w:tcPr>
          <w:p>
            <w:pPr>
              <w:pStyle w:val="Normal"/>
              <w:spacing w:before="0" w:after="60"/>
              <w:jc w:val="center"/>
              <w:rPr>
                <w:sz w:val="20"/>
                <w:lang w:val="en-GB"/>
              </w:rPr>
            </w:pPr>
            <w:r>
              <w:rPr>
                <w:sz w:val="20"/>
                <w:lang w:val="en-GB"/>
              </w:rPr>
              <w:t>78.5 (66.3–87.5)</w:t>
            </w:r>
          </w:p>
        </w:tc>
        <w:tc>
          <w:tcPr>
            <w:tcW w:w="847" w:type="dxa"/>
            <w:tcBorders>
              <w:top w:val="nil"/>
              <w:left w:val="nil"/>
              <w:bottom w:val="nil"/>
              <w:right w:val="nil"/>
            </w:tcBorders>
          </w:tcPr>
          <w:p>
            <w:pPr>
              <w:pStyle w:val="Normal"/>
              <w:spacing w:before="0" w:after="60"/>
              <w:jc w:val="center"/>
              <w:rPr>
                <w:sz w:val="20"/>
                <w:lang w:val="en-GB"/>
              </w:rPr>
            </w:pPr>
            <w:r>
              <w:rPr>
                <w:sz w:val="20"/>
                <w:lang w:val="en-GB"/>
              </w:rPr>
              <w:t>.178</w:t>
            </w:r>
          </w:p>
        </w:tc>
      </w:tr>
      <w:tr>
        <w:trPr/>
        <w:tc>
          <w:tcPr>
            <w:tcW w:w="4111" w:type="dxa"/>
            <w:tcBorders>
              <w:top w:val="nil"/>
              <w:left w:val="nil"/>
              <w:bottom w:val="nil"/>
              <w:right w:val="nil"/>
            </w:tcBorders>
          </w:tcPr>
          <w:p>
            <w:pPr>
              <w:pStyle w:val="Normal"/>
              <w:spacing w:before="0" w:after="60"/>
              <w:ind w:left="171" w:hanging="0"/>
              <w:rPr>
                <w:sz w:val="20"/>
                <w:lang w:val="en-GB"/>
              </w:rPr>
            </w:pPr>
            <w:r>
              <w:rPr>
                <w:sz w:val="20"/>
                <w:lang w:val="en-GB"/>
              </w:rPr>
              <w:t>RV–to–SA pressure, before</w:t>
            </w:r>
          </w:p>
        </w:tc>
        <w:tc>
          <w:tcPr>
            <w:tcW w:w="1559" w:type="dxa"/>
            <w:tcBorders>
              <w:top w:val="nil"/>
              <w:left w:val="nil"/>
              <w:bottom w:val="nil"/>
              <w:right w:val="nil"/>
            </w:tcBorders>
          </w:tcPr>
          <w:p>
            <w:pPr>
              <w:pStyle w:val="Normal"/>
              <w:spacing w:before="0" w:after="60"/>
              <w:jc w:val="center"/>
              <w:rPr>
                <w:sz w:val="20"/>
                <w:lang w:val="en-GB"/>
              </w:rPr>
            </w:pPr>
            <w:r>
              <w:rPr>
                <w:sz w:val="20"/>
                <w:lang w:val="en-GB"/>
              </w:rPr>
              <w:t>0.9 (0.7–1.2)</w:t>
            </w:r>
          </w:p>
        </w:tc>
        <w:tc>
          <w:tcPr>
            <w:tcW w:w="1701" w:type="dxa"/>
            <w:tcBorders>
              <w:top w:val="nil"/>
              <w:left w:val="nil"/>
              <w:bottom w:val="nil"/>
              <w:right w:val="nil"/>
            </w:tcBorders>
          </w:tcPr>
          <w:p>
            <w:pPr>
              <w:pStyle w:val="Normal"/>
              <w:spacing w:before="0" w:after="60"/>
              <w:jc w:val="center"/>
              <w:rPr>
                <w:sz w:val="20"/>
                <w:lang w:val="en-GB"/>
              </w:rPr>
            </w:pPr>
            <w:r>
              <w:rPr>
                <w:sz w:val="20"/>
                <w:lang w:val="en-GB"/>
              </w:rPr>
              <w:t>0.95 (0.7–1.4)</w:t>
            </w:r>
          </w:p>
        </w:tc>
        <w:tc>
          <w:tcPr>
            <w:tcW w:w="1700" w:type="dxa"/>
            <w:tcBorders>
              <w:top w:val="nil"/>
              <w:left w:val="nil"/>
              <w:bottom w:val="nil"/>
              <w:right w:val="nil"/>
            </w:tcBorders>
          </w:tcPr>
          <w:p>
            <w:pPr>
              <w:pStyle w:val="Normal"/>
              <w:spacing w:before="0" w:after="60"/>
              <w:jc w:val="center"/>
              <w:rPr>
                <w:sz w:val="20"/>
                <w:lang w:val="en-GB"/>
              </w:rPr>
            </w:pPr>
            <w:r>
              <w:rPr>
                <w:sz w:val="20"/>
                <w:lang w:val="en-GB"/>
              </w:rPr>
              <w:t>0.86 (0.6–1.04)</w:t>
            </w:r>
          </w:p>
        </w:tc>
        <w:tc>
          <w:tcPr>
            <w:tcW w:w="847" w:type="dxa"/>
            <w:tcBorders>
              <w:top w:val="nil"/>
              <w:left w:val="nil"/>
              <w:bottom w:val="nil"/>
              <w:right w:val="nil"/>
            </w:tcBorders>
          </w:tcPr>
          <w:p>
            <w:pPr>
              <w:pStyle w:val="Normal"/>
              <w:spacing w:before="0" w:after="60"/>
              <w:jc w:val="center"/>
              <w:rPr>
                <w:sz w:val="20"/>
                <w:lang w:val="en-GB"/>
              </w:rPr>
            </w:pPr>
            <w:r>
              <w:rPr>
                <w:sz w:val="20"/>
                <w:lang w:val="en-GB"/>
              </w:rPr>
              <w:t>.179</w:t>
            </w:r>
          </w:p>
        </w:tc>
      </w:tr>
      <w:tr>
        <w:trPr/>
        <w:tc>
          <w:tcPr>
            <w:tcW w:w="4111" w:type="dxa"/>
            <w:tcBorders>
              <w:top w:val="nil"/>
              <w:left w:val="nil"/>
              <w:bottom w:val="nil"/>
              <w:right w:val="nil"/>
            </w:tcBorders>
          </w:tcPr>
          <w:p>
            <w:pPr>
              <w:pStyle w:val="Normal"/>
              <w:spacing w:before="0" w:after="60"/>
              <w:rPr>
                <w:sz w:val="20"/>
                <w:lang w:val="en-GB"/>
              </w:rPr>
            </w:pPr>
            <w:r>
              <w:rPr>
                <w:b/>
                <w:bCs/>
                <w:sz w:val="20"/>
                <w:lang w:val="en-GB"/>
              </w:rPr>
              <w:t>Echocardiography</w:t>
            </w:r>
          </w:p>
        </w:tc>
        <w:tc>
          <w:tcPr>
            <w:tcW w:w="1559" w:type="dxa"/>
            <w:tcBorders>
              <w:top w:val="nil"/>
              <w:left w:val="nil"/>
              <w:bottom w:val="nil"/>
              <w:right w:val="nil"/>
            </w:tcBorders>
          </w:tcPr>
          <w:p>
            <w:pPr>
              <w:pStyle w:val="Normal"/>
              <w:spacing w:before="0" w:after="60"/>
              <w:jc w:val="center"/>
              <w:rPr>
                <w:sz w:val="20"/>
                <w:lang w:val="en-GB"/>
              </w:rPr>
            </w:pPr>
            <w:r>
              <w:rPr>
                <w:sz w:val="20"/>
                <w:lang w:val="en-GB"/>
              </w:rPr>
            </w:r>
          </w:p>
        </w:tc>
        <w:tc>
          <w:tcPr>
            <w:tcW w:w="1701" w:type="dxa"/>
            <w:tcBorders>
              <w:top w:val="nil"/>
              <w:left w:val="nil"/>
              <w:bottom w:val="nil"/>
              <w:right w:val="nil"/>
            </w:tcBorders>
          </w:tcPr>
          <w:p>
            <w:pPr>
              <w:pStyle w:val="Normal"/>
              <w:spacing w:before="0" w:after="60"/>
              <w:jc w:val="center"/>
              <w:rPr>
                <w:sz w:val="20"/>
                <w:lang w:val="en-GB"/>
              </w:rPr>
            </w:pPr>
            <w:r>
              <w:rPr>
                <w:sz w:val="20"/>
                <w:lang w:val="en-GB"/>
              </w:rPr>
            </w:r>
          </w:p>
        </w:tc>
        <w:tc>
          <w:tcPr>
            <w:tcW w:w="1700" w:type="dxa"/>
            <w:tcBorders>
              <w:top w:val="nil"/>
              <w:left w:val="nil"/>
              <w:bottom w:val="nil"/>
              <w:right w:val="nil"/>
            </w:tcBorders>
          </w:tcPr>
          <w:p>
            <w:pPr>
              <w:pStyle w:val="Normal"/>
              <w:spacing w:before="0" w:after="60"/>
              <w:jc w:val="center"/>
              <w:rPr>
                <w:sz w:val="20"/>
                <w:lang w:val="en-GB"/>
              </w:rPr>
            </w:pPr>
            <w:r>
              <w:rPr>
                <w:sz w:val="20"/>
                <w:lang w:val="en-GB"/>
              </w:rPr>
            </w:r>
          </w:p>
        </w:tc>
        <w:tc>
          <w:tcPr>
            <w:tcW w:w="847" w:type="dxa"/>
            <w:tcBorders>
              <w:top w:val="nil"/>
              <w:left w:val="nil"/>
              <w:bottom w:val="nil"/>
              <w:right w:val="nil"/>
            </w:tcBorders>
          </w:tcPr>
          <w:p>
            <w:pPr>
              <w:pStyle w:val="Normal"/>
              <w:spacing w:before="0" w:after="60"/>
              <w:jc w:val="center"/>
              <w:rPr>
                <w:sz w:val="20"/>
                <w:lang w:val="en-GB"/>
              </w:rPr>
            </w:pPr>
            <w:r>
              <w:rPr>
                <w:sz w:val="20"/>
                <w:lang w:val="en-GB"/>
              </w:rPr>
            </w:r>
          </w:p>
        </w:tc>
      </w:tr>
      <w:tr>
        <w:trPr/>
        <w:tc>
          <w:tcPr>
            <w:tcW w:w="4111" w:type="dxa"/>
            <w:tcBorders>
              <w:top w:val="nil"/>
              <w:left w:val="nil"/>
              <w:bottom w:val="nil"/>
              <w:right w:val="nil"/>
            </w:tcBorders>
          </w:tcPr>
          <w:p>
            <w:pPr>
              <w:pStyle w:val="Normal"/>
              <w:spacing w:before="0" w:after="60"/>
              <w:ind w:left="171" w:hanging="0"/>
              <w:rPr>
                <w:sz w:val="20"/>
                <w:lang w:val="en-GB"/>
              </w:rPr>
            </w:pPr>
            <w:r>
              <w:rPr>
                <w:sz w:val="20"/>
                <w:lang w:val="en-GB"/>
              </w:rPr>
              <w:t>Peak Doppler dP RV–PA, before [mmHg]</w:t>
            </w:r>
          </w:p>
        </w:tc>
        <w:tc>
          <w:tcPr>
            <w:tcW w:w="1559" w:type="dxa"/>
            <w:tcBorders>
              <w:top w:val="nil"/>
              <w:left w:val="nil"/>
              <w:bottom w:val="nil"/>
              <w:right w:val="nil"/>
            </w:tcBorders>
          </w:tcPr>
          <w:p>
            <w:pPr>
              <w:pStyle w:val="Normal"/>
              <w:spacing w:before="0" w:after="60"/>
              <w:jc w:val="center"/>
              <w:rPr>
                <w:sz w:val="20"/>
                <w:lang w:val="en-GB"/>
              </w:rPr>
            </w:pPr>
            <w:r>
              <w:rPr>
                <w:sz w:val="20"/>
                <w:lang w:val="en-GB"/>
              </w:rPr>
              <w:t>68.0 (57.0–81.0)</w:t>
            </w:r>
          </w:p>
        </w:tc>
        <w:tc>
          <w:tcPr>
            <w:tcW w:w="1701" w:type="dxa"/>
            <w:tcBorders>
              <w:top w:val="nil"/>
              <w:left w:val="nil"/>
              <w:bottom w:val="nil"/>
              <w:right w:val="nil"/>
            </w:tcBorders>
          </w:tcPr>
          <w:p>
            <w:pPr>
              <w:pStyle w:val="Normal"/>
              <w:spacing w:before="0" w:after="60"/>
              <w:jc w:val="center"/>
              <w:rPr>
                <w:sz w:val="20"/>
                <w:lang w:val="en-GB"/>
              </w:rPr>
            </w:pPr>
            <w:r>
              <w:rPr>
                <w:sz w:val="20"/>
                <w:lang w:val="en-GB"/>
              </w:rPr>
              <w:t>68.5 (57.3–81.8)</w:t>
            </w:r>
          </w:p>
        </w:tc>
        <w:tc>
          <w:tcPr>
            <w:tcW w:w="1700" w:type="dxa"/>
            <w:tcBorders>
              <w:top w:val="nil"/>
              <w:left w:val="nil"/>
              <w:bottom w:val="nil"/>
              <w:right w:val="nil"/>
            </w:tcBorders>
          </w:tcPr>
          <w:p>
            <w:pPr>
              <w:pStyle w:val="Normal"/>
              <w:spacing w:before="0" w:after="60"/>
              <w:jc w:val="center"/>
              <w:rPr>
                <w:sz w:val="20"/>
                <w:lang w:val="en-GB"/>
              </w:rPr>
            </w:pPr>
            <w:r>
              <w:rPr>
                <w:sz w:val="20"/>
                <w:lang w:val="en-GB"/>
              </w:rPr>
              <w:t>65.0 (53.0–80.0)</w:t>
            </w:r>
          </w:p>
        </w:tc>
        <w:tc>
          <w:tcPr>
            <w:tcW w:w="847" w:type="dxa"/>
            <w:tcBorders>
              <w:top w:val="nil"/>
              <w:left w:val="nil"/>
              <w:bottom w:val="nil"/>
              <w:right w:val="nil"/>
            </w:tcBorders>
          </w:tcPr>
          <w:p>
            <w:pPr>
              <w:pStyle w:val="Normal"/>
              <w:spacing w:before="0" w:after="60"/>
              <w:jc w:val="center"/>
              <w:rPr>
                <w:sz w:val="20"/>
                <w:lang w:val="en-GB"/>
              </w:rPr>
            </w:pPr>
            <w:r>
              <w:rPr>
                <w:sz w:val="20"/>
                <w:lang w:val="en-GB"/>
              </w:rPr>
              <w:t>.559</w:t>
            </w:r>
          </w:p>
        </w:tc>
      </w:tr>
      <w:tr>
        <w:trPr/>
        <w:tc>
          <w:tcPr>
            <w:tcW w:w="4111" w:type="dxa"/>
            <w:tcBorders>
              <w:top w:val="nil"/>
              <w:left w:val="nil"/>
              <w:bottom w:val="nil"/>
              <w:right w:val="nil"/>
            </w:tcBorders>
          </w:tcPr>
          <w:p>
            <w:pPr>
              <w:pStyle w:val="Normal"/>
              <w:spacing w:before="0" w:after="60"/>
              <w:ind w:left="171" w:hanging="0"/>
              <w:rPr>
                <w:sz w:val="20"/>
                <w:lang w:val="en-GB"/>
              </w:rPr>
            </w:pPr>
            <w:r>
              <w:rPr>
                <w:sz w:val="20"/>
                <w:lang w:val="en-GB"/>
              </w:rPr>
              <w:t xml:space="preserve">Peak Doppler dP RV–PA, 1 day after [mmHg] </w:t>
            </w:r>
          </w:p>
        </w:tc>
        <w:tc>
          <w:tcPr>
            <w:tcW w:w="1559" w:type="dxa"/>
            <w:tcBorders>
              <w:top w:val="nil"/>
              <w:left w:val="nil"/>
              <w:bottom w:val="nil"/>
              <w:right w:val="nil"/>
            </w:tcBorders>
          </w:tcPr>
          <w:p>
            <w:pPr>
              <w:pStyle w:val="Normal"/>
              <w:spacing w:before="0" w:after="60"/>
              <w:jc w:val="center"/>
              <w:rPr>
                <w:sz w:val="20"/>
                <w:lang w:val="en-GB"/>
              </w:rPr>
            </w:pPr>
            <w:r>
              <w:rPr>
                <w:sz w:val="20"/>
                <w:lang w:val="en-GB"/>
              </w:rPr>
              <w:t>25.0 (19.0–45.0)</w:t>
            </w:r>
          </w:p>
        </w:tc>
        <w:tc>
          <w:tcPr>
            <w:tcW w:w="1701" w:type="dxa"/>
            <w:tcBorders>
              <w:top w:val="nil"/>
              <w:left w:val="nil"/>
              <w:bottom w:val="nil"/>
              <w:right w:val="nil"/>
            </w:tcBorders>
          </w:tcPr>
          <w:p>
            <w:pPr>
              <w:pStyle w:val="Normal"/>
              <w:spacing w:before="0" w:after="60"/>
              <w:jc w:val="center"/>
              <w:rPr>
                <w:sz w:val="20"/>
                <w:lang w:val="en-GB"/>
              </w:rPr>
            </w:pPr>
            <w:r>
              <w:rPr>
                <w:sz w:val="20"/>
                <w:lang w:val="en-GB"/>
              </w:rPr>
              <w:t>23.0 (18.0–29.0)</w:t>
            </w:r>
          </w:p>
        </w:tc>
        <w:tc>
          <w:tcPr>
            <w:tcW w:w="1700" w:type="dxa"/>
            <w:tcBorders>
              <w:top w:val="nil"/>
              <w:left w:val="nil"/>
              <w:bottom w:val="nil"/>
              <w:right w:val="nil"/>
            </w:tcBorders>
          </w:tcPr>
          <w:p>
            <w:pPr>
              <w:pStyle w:val="Normal"/>
              <w:spacing w:before="0" w:after="60"/>
              <w:jc w:val="center"/>
              <w:rPr>
                <w:sz w:val="20"/>
                <w:lang w:val="en-GB"/>
              </w:rPr>
            </w:pPr>
            <w:r>
              <w:rPr>
                <w:sz w:val="20"/>
                <w:lang w:val="en-GB"/>
              </w:rPr>
              <w:t>54.0 (45.0–62.0)</w:t>
            </w:r>
          </w:p>
        </w:tc>
        <w:tc>
          <w:tcPr>
            <w:tcW w:w="847" w:type="dxa"/>
            <w:tcBorders>
              <w:top w:val="nil"/>
              <w:left w:val="nil"/>
              <w:bottom w:val="nil"/>
              <w:right w:val="nil"/>
            </w:tcBorders>
          </w:tcPr>
          <w:p>
            <w:pPr>
              <w:pStyle w:val="Normal"/>
              <w:spacing w:before="0" w:after="60"/>
              <w:jc w:val="center"/>
              <w:rPr>
                <w:sz w:val="20"/>
                <w:lang w:val="en-GB"/>
              </w:rPr>
            </w:pPr>
            <w:r>
              <w:rPr>
                <w:sz w:val="20"/>
                <w:lang w:val="en-GB"/>
              </w:rPr>
              <w:t>&lt;.001</w:t>
            </w:r>
          </w:p>
        </w:tc>
      </w:tr>
      <w:tr>
        <w:trPr/>
        <w:tc>
          <w:tcPr>
            <w:tcW w:w="4111" w:type="dxa"/>
            <w:tcBorders>
              <w:top w:val="nil"/>
              <w:left w:val="nil"/>
              <w:bottom w:val="nil"/>
              <w:right w:val="nil"/>
            </w:tcBorders>
          </w:tcPr>
          <w:p>
            <w:pPr>
              <w:pStyle w:val="Normal"/>
              <w:spacing w:before="0" w:after="60"/>
              <w:ind w:left="171" w:hanging="0"/>
              <w:rPr>
                <w:sz w:val="20"/>
                <w:lang w:val="en-GB"/>
              </w:rPr>
            </w:pPr>
            <w:r>
              <w:rPr>
                <w:sz w:val="20"/>
                <w:lang w:val="en-GB"/>
              </w:rPr>
              <w:t>Peak Doppler dP RV–PA, last FU [mmHg]</w:t>
            </w:r>
          </w:p>
        </w:tc>
        <w:tc>
          <w:tcPr>
            <w:tcW w:w="1559" w:type="dxa"/>
            <w:tcBorders>
              <w:top w:val="nil"/>
              <w:left w:val="nil"/>
              <w:bottom w:val="nil"/>
              <w:right w:val="nil"/>
            </w:tcBorders>
          </w:tcPr>
          <w:p>
            <w:pPr>
              <w:pStyle w:val="Normal"/>
              <w:spacing w:before="0" w:after="60"/>
              <w:jc w:val="center"/>
              <w:rPr>
                <w:sz w:val="20"/>
                <w:lang w:val="en-GB"/>
              </w:rPr>
            </w:pPr>
            <w:r>
              <w:rPr>
                <w:sz w:val="20"/>
                <w:lang w:val="en-GB"/>
              </w:rPr>
              <w:t>14.0 (5.8–22.0)</w:t>
            </w:r>
          </w:p>
        </w:tc>
        <w:tc>
          <w:tcPr>
            <w:tcW w:w="1701" w:type="dxa"/>
            <w:tcBorders>
              <w:top w:val="nil"/>
              <w:left w:val="nil"/>
              <w:bottom w:val="nil"/>
              <w:right w:val="nil"/>
            </w:tcBorders>
          </w:tcPr>
          <w:p>
            <w:pPr>
              <w:pStyle w:val="Normal"/>
              <w:spacing w:before="0" w:after="60"/>
              <w:jc w:val="center"/>
              <w:rPr>
                <w:sz w:val="20"/>
                <w:lang w:val="en-GB"/>
              </w:rPr>
            </w:pPr>
            <w:r>
              <w:rPr>
                <w:sz w:val="20"/>
                <w:lang w:val="en-GB"/>
              </w:rPr>
              <w:t>13.0 (5.0–21.0)</w:t>
            </w:r>
          </w:p>
        </w:tc>
        <w:tc>
          <w:tcPr>
            <w:tcW w:w="1700" w:type="dxa"/>
            <w:tcBorders>
              <w:top w:val="nil"/>
              <w:left w:val="nil"/>
              <w:bottom w:val="nil"/>
              <w:right w:val="nil"/>
            </w:tcBorders>
          </w:tcPr>
          <w:p>
            <w:pPr>
              <w:pStyle w:val="Normal"/>
              <w:spacing w:before="0" w:after="60"/>
              <w:jc w:val="center"/>
              <w:rPr>
                <w:sz w:val="20"/>
                <w:lang w:val="en-GB"/>
              </w:rPr>
            </w:pPr>
            <w:r>
              <w:rPr>
                <w:sz w:val="20"/>
                <w:lang w:val="en-GB"/>
              </w:rPr>
              <w:t>25.0 (10.5–65.5)</w:t>
            </w:r>
          </w:p>
        </w:tc>
        <w:tc>
          <w:tcPr>
            <w:tcW w:w="847" w:type="dxa"/>
            <w:tcBorders>
              <w:top w:val="nil"/>
              <w:left w:val="nil"/>
              <w:bottom w:val="nil"/>
              <w:right w:val="nil"/>
            </w:tcBorders>
          </w:tcPr>
          <w:p>
            <w:pPr>
              <w:pStyle w:val="Normal"/>
              <w:spacing w:before="0" w:after="60"/>
              <w:jc w:val="center"/>
              <w:rPr>
                <w:sz w:val="20"/>
                <w:lang w:val="en-GB"/>
              </w:rPr>
            </w:pPr>
            <w:r>
              <w:rPr>
                <w:sz w:val="20"/>
                <w:lang w:val="en-GB"/>
              </w:rPr>
              <w:t>.007</w:t>
            </w:r>
          </w:p>
        </w:tc>
      </w:tr>
      <w:tr>
        <w:trPr/>
        <w:tc>
          <w:tcPr>
            <w:tcW w:w="4111" w:type="dxa"/>
            <w:tcBorders>
              <w:top w:val="nil"/>
              <w:left w:val="nil"/>
              <w:bottom w:val="nil"/>
              <w:right w:val="nil"/>
            </w:tcBorders>
          </w:tcPr>
          <w:p>
            <w:pPr>
              <w:pStyle w:val="Normal"/>
              <w:spacing w:before="0" w:after="60"/>
              <w:ind w:left="171" w:hanging="0"/>
              <w:rPr>
                <w:sz w:val="20"/>
                <w:lang w:val="en-GB"/>
              </w:rPr>
            </w:pPr>
            <w:r>
              <w:rPr>
                <w:sz w:val="20"/>
                <w:lang w:val="en-GB"/>
              </w:rPr>
              <w:t>PV annulus [mm]</w:t>
            </w:r>
          </w:p>
        </w:tc>
        <w:tc>
          <w:tcPr>
            <w:tcW w:w="1559" w:type="dxa"/>
            <w:tcBorders>
              <w:top w:val="nil"/>
              <w:left w:val="nil"/>
              <w:bottom w:val="nil"/>
              <w:right w:val="nil"/>
            </w:tcBorders>
          </w:tcPr>
          <w:p>
            <w:pPr>
              <w:pStyle w:val="Normal"/>
              <w:spacing w:before="0" w:after="60"/>
              <w:jc w:val="center"/>
              <w:rPr>
                <w:sz w:val="20"/>
                <w:lang w:val="en-GB"/>
              </w:rPr>
            </w:pPr>
            <w:r>
              <w:rPr>
                <w:sz w:val="20"/>
                <w:lang w:val="en-GB"/>
              </w:rPr>
              <w:t>8.3 (7.0–10.0)</w:t>
            </w:r>
          </w:p>
        </w:tc>
        <w:tc>
          <w:tcPr>
            <w:tcW w:w="1701" w:type="dxa"/>
            <w:tcBorders>
              <w:top w:val="nil"/>
              <w:left w:val="nil"/>
              <w:bottom w:val="nil"/>
              <w:right w:val="nil"/>
            </w:tcBorders>
          </w:tcPr>
          <w:p>
            <w:pPr>
              <w:pStyle w:val="Normal"/>
              <w:spacing w:before="0" w:after="60"/>
              <w:jc w:val="center"/>
              <w:rPr>
                <w:sz w:val="20"/>
                <w:lang w:val="en-GB"/>
              </w:rPr>
            </w:pPr>
            <w:r>
              <w:rPr>
                <w:sz w:val="20"/>
                <w:lang w:val="en-GB"/>
              </w:rPr>
              <w:t>8.0 (7.0–10.1)</w:t>
            </w:r>
          </w:p>
        </w:tc>
        <w:tc>
          <w:tcPr>
            <w:tcW w:w="1700" w:type="dxa"/>
            <w:tcBorders>
              <w:top w:val="nil"/>
              <w:left w:val="nil"/>
              <w:bottom w:val="nil"/>
              <w:right w:val="nil"/>
            </w:tcBorders>
          </w:tcPr>
          <w:p>
            <w:pPr>
              <w:pStyle w:val="Normal"/>
              <w:spacing w:before="0" w:after="60"/>
              <w:jc w:val="center"/>
              <w:rPr>
                <w:sz w:val="20"/>
                <w:lang w:val="en-GB"/>
              </w:rPr>
            </w:pPr>
            <w:r>
              <w:rPr>
                <w:sz w:val="20"/>
                <w:lang w:val="en-GB"/>
              </w:rPr>
              <w:t>9.0 (8.0–10.3)</w:t>
            </w:r>
          </w:p>
        </w:tc>
        <w:tc>
          <w:tcPr>
            <w:tcW w:w="847" w:type="dxa"/>
            <w:tcBorders>
              <w:top w:val="nil"/>
              <w:left w:val="nil"/>
              <w:bottom w:val="nil"/>
              <w:right w:val="nil"/>
            </w:tcBorders>
          </w:tcPr>
          <w:p>
            <w:pPr>
              <w:pStyle w:val="Normal"/>
              <w:spacing w:before="0" w:after="60"/>
              <w:jc w:val="center"/>
              <w:rPr>
                <w:sz w:val="20"/>
                <w:lang w:val="en-GB"/>
              </w:rPr>
            </w:pPr>
            <w:r>
              <w:rPr>
                <w:sz w:val="20"/>
                <w:lang w:val="en-GB"/>
              </w:rPr>
              <w:t>0.046</w:t>
            </w:r>
          </w:p>
        </w:tc>
      </w:tr>
      <w:tr>
        <w:trPr/>
        <w:tc>
          <w:tcPr>
            <w:tcW w:w="4111" w:type="dxa"/>
            <w:tcBorders>
              <w:top w:val="nil"/>
              <w:left w:val="nil"/>
              <w:bottom w:val="nil"/>
              <w:right w:val="nil"/>
            </w:tcBorders>
          </w:tcPr>
          <w:p>
            <w:pPr>
              <w:pStyle w:val="Normal"/>
              <w:spacing w:before="0" w:after="60"/>
              <w:ind w:left="171" w:hanging="0"/>
              <w:rPr>
                <w:sz w:val="20"/>
                <w:lang w:val="en-GB"/>
              </w:rPr>
            </w:pPr>
            <w:r>
              <w:rPr>
                <w:sz w:val="20"/>
                <w:lang w:val="en-GB"/>
              </w:rPr>
              <w:t>PV regurgitation, 1 d after [n=, %]</w:t>
            </w:r>
          </w:p>
        </w:tc>
        <w:tc>
          <w:tcPr>
            <w:tcW w:w="1559" w:type="dxa"/>
            <w:tcBorders>
              <w:top w:val="nil"/>
              <w:left w:val="nil"/>
              <w:bottom w:val="nil"/>
              <w:right w:val="nil"/>
            </w:tcBorders>
          </w:tcPr>
          <w:p>
            <w:pPr>
              <w:pStyle w:val="Normal"/>
              <w:spacing w:before="0" w:after="60"/>
              <w:jc w:val="center"/>
              <w:rPr>
                <w:sz w:val="20"/>
                <w:lang w:val="en-GB"/>
              </w:rPr>
            </w:pPr>
            <w:r>
              <w:rPr>
                <w:sz w:val="20"/>
                <w:lang w:val="en-GB"/>
              </w:rPr>
              <w:t>115 (80.4%)</w:t>
            </w:r>
          </w:p>
        </w:tc>
        <w:tc>
          <w:tcPr>
            <w:tcW w:w="1701" w:type="dxa"/>
            <w:tcBorders>
              <w:top w:val="nil"/>
              <w:left w:val="nil"/>
              <w:bottom w:val="nil"/>
              <w:right w:val="nil"/>
            </w:tcBorders>
          </w:tcPr>
          <w:p>
            <w:pPr>
              <w:pStyle w:val="Normal"/>
              <w:spacing w:before="0" w:after="60"/>
              <w:jc w:val="center"/>
              <w:rPr>
                <w:sz w:val="20"/>
                <w:lang w:val="en-GB"/>
              </w:rPr>
            </w:pPr>
            <w:r>
              <w:rPr>
                <w:sz w:val="20"/>
                <w:lang w:val="en-GB"/>
              </w:rPr>
              <w:t>100 (89.3%)</w:t>
            </w:r>
          </w:p>
        </w:tc>
        <w:tc>
          <w:tcPr>
            <w:tcW w:w="1700" w:type="dxa"/>
            <w:tcBorders>
              <w:top w:val="nil"/>
              <w:left w:val="nil"/>
              <w:bottom w:val="nil"/>
              <w:right w:val="nil"/>
            </w:tcBorders>
          </w:tcPr>
          <w:p>
            <w:pPr>
              <w:pStyle w:val="Normal"/>
              <w:spacing w:before="0" w:after="60"/>
              <w:jc w:val="center"/>
              <w:rPr>
                <w:sz w:val="20"/>
                <w:lang w:val="en-GB"/>
              </w:rPr>
            </w:pPr>
            <w:r>
              <w:rPr>
                <w:sz w:val="20"/>
                <w:lang w:val="en-GB"/>
              </w:rPr>
              <w:t>15 (48.4%)</w:t>
            </w:r>
          </w:p>
        </w:tc>
        <w:tc>
          <w:tcPr>
            <w:tcW w:w="847" w:type="dxa"/>
            <w:tcBorders>
              <w:top w:val="nil"/>
              <w:left w:val="nil"/>
              <w:bottom w:val="nil"/>
              <w:right w:val="nil"/>
            </w:tcBorders>
          </w:tcPr>
          <w:p>
            <w:pPr>
              <w:pStyle w:val="Normal"/>
              <w:spacing w:before="0" w:after="60"/>
              <w:jc w:val="center"/>
              <w:rPr>
                <w:sz w:val="20"/>
                <w:lang w:val="en-GB"/>
              </w:rPr>
            </w:pPr>
            <w:r>
              <w:rPr>
                <w:color w:val="000000" w:themeColor="text1"/>
                <w:sz w:val="20"/>
                <w:lang w:val="en-GB"/>
              </w:rPr>
              <w:t>&lt;.001</w:t>
            </w:r>
          </w:p>
        </w:tc>
      </w:tr>
      <w:tr>
        <w:trPr/>
        <w:tc>
          <w:tcPr>
            <w:tcW w:w="4111" w:type="dxa"/>
            <w:tcBorders>
              <w:top w:val="nil"/>
              <w:left w:val="nil"/>
              <w:bottom w:val="nil"/>
              <w:right w:val="nil"/>
            </w:tcBorders>
          </w:tcPr>
          <w:p>
            <w:pPr>
              <w:pStyle w:val="Normal"/>
              <w:spacing w:before="0" w:after="60"/>
              <w:ind w:left="171" w:hanging="0"/>
              <w:rPr>
                <w:sz w:val="20"/>
                <w:lang w:val="en-GB"/>
              </w:rPr>
            </w:pPr>
            <w:r>
              <w:rPr>
                <w:sz w:val="20"/>
                <w:lang w:val="en-GB"/>
              </w:rPr>
              <w:t>No [n=, %]</w:t>
            </w:r>
          </w:p>
        </w:tc>
        <w:tc>
          <w:tcPr>
            <w:tcW w:w="1559" w:type="dxa"/>
            <w:tcBorders>
              <w:top w:val="nil"/>
              <w:left w:val="nil"/>
              <w:bottom w:val="nil"/>
              <w:right w:val="nil"/>
            </w:tcBorders>
          </w:tcPr>
          <w:p>
            <w:pPr>
              <w:pStyle w:val="Normal"/>
              <w:spacing w:before="0" w:after="60"/>
              <w:jc w:val="center"/>
              <w:rPr>
                <w:sz w:val="20"/>
                <w:lang w:val="en-GB"/>
              </w:rPr>
            </w:pPr>
            <w:r>
              <w:rPr>
                <w:sz w:val="20"/>
                <w:lang w:val="en-GB"/>
              </w:rPr>
              <w:t>28 (19.6%)</w:t>
            </w:r>
          </w:p>
        </w:tc>
        <w:tc>
          <w:tcPr>
            <w:tcW w:w="1701" w:type="dxa"/>
            <w:tcBorders>
              <w:top w:val="nil"/>
              <w:left w:val="nil"/>
              <w:bottom w:val="nil"/>
              <w:right w:val="nil"/>
            </w:tcBorders>
          </w:tcPr>
          <w:p>
            <w:pPr>
              <w:pStyle w:val="Normal"/>
              <w:spacing w:before="0" w:after="60"/>
              <w:jc w:val="center"/>
              <w:rPr>
                <w:sz w:val="20"/>
                <w:lang w:val="en-GB"/>
              </w:rPr>
            </w:pPr>
            <w:r>
              <w:rPr>
                <w:sz w:val="20"/>
                <w:lang w:val="en-GB"/>
              </w:rPr>
              <w:t>12 (10.7%)</w:t>
            </w:r>
          </w:p>
        </w:tc>
        <w:tc>
          <w:tcPr>
            <w:tcW w:w="1700" w:type="dxa"/>
            <w:tcBorders>
              <w:top w:val="nil"/>
              <w:left w:val="nil"/>
              <w:bottom w:val="nil"/>
              <w:right w:val="nil"/>
            </w:tcBorders>
          </w:tcPr>
          <w:p>
            <w:pPr>
              <w:pStyle w:val="Normal"/>
              <w:spacing w:before="0" w:after="60"/>
              <w:jc w:val="center"/>
              <w:rPr>
                <w:sz w:val="20"/>
                <w:lang w:val="en-GB"/>
              </w:rPr>
            </w:pPr>
            <w:r>
              <w:rPr>
                <w:sz w:val="20"/>
                <w:lang w:val="en-GB"/>
              </w:rPr>
              <w:t>16 (51.6%)</w:t>
            </w:r>
          </w:p>
        </w:tc>
        <w:tc>
          <w:tcPr>
            <w:tcW w:w="847" w:type="dxa"/>
            <w:tcBorders>
              <w:top w:val="nil"/>
              <w:left w:val="nil"/>
              <w:bottom w:val="nil"/>
              <w:right w:val="nil"/>
            </w:tcBorders>
          </w:tcPr>
          <w:p>
            <w:pPr>
              <w:pStyle w:val="Normal"/>
              <w:spacing w:before="0" w:after="60"/>
              <w:jc w:val="center"/>
              <w:rPr>
                <w:sz w:val="20"/>
                <w:lang w:val="en-GB"/>
              </w:rPr>
            </w:pPr>
            <w:r>
              <w:rPr>
                <w:color w:val="000000" w:themeColor="text1"/>
                <w:sz w:val="20"/>
                <w:lang w:val="en-GB"/>
              </w:rPr>
              <w:t>&lt;.001</w:t>
            </w:r>
          </w:p>
        </w:tc>
      </w:tr>
      <w:tr>
        <w:trPr/>
        <w:tc>
          <w:tcPr>
            <w:tcW w:w="4111" w:type="dxa"/>
            <w:tcBorders>
              <w:top w:val="nil"/>
              <w:left w:val="nil"/>
              <w:bottom w:val="nil"/>
              <w:right w:val="nil"/>
            </w:tcBorders>
          </w:tcPr>
          <w:p>
            <w:pPr>
              <w:pStyle w:val="Normal"/>
              <w:spacing w:before="0" w:after="60"/>
              <w:ind w:left="171" w:hanging="0"/>
              <w:rPr>
                <w:b/>
                <w:b/>
                <w:bCs/>
                <w:sz w:val="20"/>
                <w:lang w:val="en-GB"/>
              </w:rPr>
            </w:pPr>
            <w:r>
              <w:rPr>
                <w:sz w:val="20"/>
                <w:lang w:val="en-GB"/>
              </w:rPr>
              <w:t>Mild [n=, %])</w:t>
            </w:r>
          </w:p>
        </w:tc>
        <w:tc>
          <w:tcPr>
            <w:tcW w:w="1559" w:type="dxa"/>
            <w:tcBorders>
              <w:top w:val="nil"/>
              <w:left w:val="nil"/>
              <w:bottom w:val="nil"/>
              <w:right w:val="nil"/>
            </w:tcBorders>
          </w:tcPr>
          <w:p>
            <w:pPr>
              <w:pStyle w:val="Normal"/>
              <w:spacing w:before="0" w:after="60"/>
              <w:jc w:val="center"/>
              <w:rPr>
                <w:sz w:val="20"/>
                <w:lang w:val="en-GB"/>
              </w:rPr>
            </w:pPr>
            <w:r>
              <w:rPr>
                <w:sz w:val="20"/>
                <w:lang w:val="en-GB"/>
              </w:rPr>
              <w:t>98 (68.5%)</w:t>
            </w:r>
          </w:p>
        </w:tc>
        <w:tc>
          <w:tcPr>
            <w:tcW w:w="1701" w:type="dxa"/>
            <w:tcBorders>
              <w:top w:val="nil"/>
              <w:left w:val="nil"/>
              <w:bottom w:val="nil"/>
              <w:right w:val="nil"/>
            </w:tcBorders>
          </w:tcPr>
          <w:p>
            <w:pPr>
              <w:pStyle w:val="Normal"/>
              <w:spacing w:before="0" w:after="60"/>
              <w:jc w:val="center"/>
              <w:rPr>
                <w:sz w:val="20"/>
                <w:lang w:val="en-GB"/>
              </w:rPr>
            </w:pPr>
            <w:r>
              <w:rPr>
                <w:sz w:val="20"/>
                <w:lang w:val="en-GB"/>
              </w:rPr>
              <w:t>86 (76.9%)</w:t>
            </w:r>
          </w:p>
        </w:tc>
        <w:tc>
          <w:tcPr>
            <w:tcW w:w="1700" w:type="dxa"/>
            <w:tcBorders>
              <w:top w:val="nil"/>
              <w:left w:val="nil"/>
              <w:bottom w:val="nil"/>
              <w:right w:val="nil"/>
            </w:tcBorders>
          </w:tcPr>
          <w:p>
            <w:pPr>
              <w:pStyle w:val="Normal"/>
              <w:spacing w:before="0" w:after="60"/>
              <w:jc w:val="center"/>
              <w:rPr>
                <w:sz w:val="20"/>
                <w:lang w:val="en-GB"/>
              </w:rPr>
            </w:pPr>
            <w:r>
              <w:rPr>
                <w:sz w:val="20"/>
                <w:lang w:val="en-GB"/>
              </w:rPr>
              <w:t>12 (38.7%)</w:t>
            </w:r>
          </w:p>
        </w:tc>
        <w:tc>
          <w:tcPr>
            <w:tcW w:w="847" w:type="dxa"/>
            <w:tcBorders>
              <w:top w:val="nil"/>
              <w:left w:val="nil"/>
              <w:bottom w:val="nil"/>
              <w:right w:val="nil"/>
            </w:tcBorders>
          </w:tcPr>
          <w:p>
            <w:pPr>
              <w:pStyle w:val="Normal"/>
              <w:spacing w:before="0" w:after="60"/>
              <w:jc w:val="center"/>
              <w:rPr>
                <w:sz w:val="20"/>
                <w:lang w:val="en-GB"/>
              </w:rPr>
            </w:pPr>
            <w:r>
              <w:rPr>
                <w:color w:val="000000" w:themeColor="text1"/>
                <w:sz w:val="20"/>
                <w:lang w:val="en-GB"/>
              </w:rPr>
              <w:t>&lt;.001</w:t>
            </w:r>
          </w:p>
        </w:tc>
      </w:tr>
      <w:tr>
        <w:trPr/>
        <w:tc>
          <w:tcPr>
            <w:tcW w:w="4111" w:type="dxa"/>
            <w:tcBorders>
              <w:top w:val="nil"/>
              <w:left w:val="nil"/>
              <w:bottom w:val="nil"/>
              <w:right w:val="nil"/>
            </w:tcBorders>
          </w:tcPr>
          <w:p>
            <w:pPr>
              <w:pStyle w:val="Normal"/>
              <w:spacing w:before="0" w:after="60"/>
              <w:ind w:left="171" w:hanging="0"/>
              <w:rPr>
                <w:sz w:val="20"/>
                <w:lang w:val="en-GB"/>
              </w:rPr>
            </w:pPr>
            <w:r>
              <w:rPr>
                <w:sz w:val="20"/>
                <w:lang w:val="en-GB"/>
              </w:rPr>
              <w:t>Moderate [n=, %]</w:t>
            </w:r>
          </w:p>
        </w:tc>
        <w:tc>
          <w:tcPr>
            <w:tcW w:w="1559" w:type="dxa"/>
            <w:tcBorders>
              <w:top w:val="nil"/>
              <w:left w:val="nil"/>
              <w:bottom w:val="nil"/>
              <w:right w:val="nil"/>
            </w:tcBorders>
          </w:tcPr>
          <w:p>
            <w:pPr>
              <w:pStyle w:val="Normal"/>
              <w:spacing w:before="0" w:after="60"/>
              <w:jc w:val="center"/>
              <w:rPr>
                <w:sz w:val="20"/>
                <w:lang w:val="en-GB"/>
              </w:rPr>
            </w:pPr>
            <w:r>
              <w:rPr>
                <w:sz w:val="20"/>
                <w:lang w:val="en-GB"/>
              </w:rPr>
              <w:t>16 (11.2%)</w:t>
            </w:r>
          </w:p>
        </w:tc>
        <w:tc>
          <w:tcPr>
            <w:tcW w:w="1701" w:type="dxa"/>
            <w:tcBorders>
              <w:top w:val="nil"/>
              <w:left w:val="nil"/>
              <w:bottom w:val="nil"/>
              <w:right w:val="nil"/>
            </w:tcBorders>
          </w:tcPr>
          <w:p>
            <w:pPr>
              <w:pStyle w:val="Normal"/>
              <w:spacing w:before="0" w:after="60"/>
              <w:jc w:val="center"/>
              <w:rPr>
                <w:sz w:val="20"/>
                <w:lang w:val="en-GB"/>
              </w:rPr>
            </w:pPr>
            <w:r>
              <w:rPr>
                <w:sz w:val="20"/>
                <w:lang w:val="en-GB"/>
              </w:rPr>
              <w:t>13 (11.6%)</w:t>
            </w:r>
          </w:p>
        </w:tc>
        <w:tc>
          <w:tcPr>
            <w:tcW w:w="1700" w:type="dxa"/>
            <w:tcBorders>
              <w:top w:val="nil"/>
              <w:left w:val="nil"/>
              <w:bottom w:val="nil"/>
              <w:right w:val="nil"/>
            </w:tcBorders>
          </w:tcPr>
          <w:p>
            <w:pPr>
              <w:pStyle w:val="Normal"/>
              <w:spacing w:before="0" w:after="60"/>
              <w:jc w:val="center"/>
              <w:rPr>
                <w:sz w:val="20"/>
                <w:lang w:val="en-GB"/>
              </w:rPr>
            </w:pPr>
            <w:r>
              <w:rPr>
                <w:sz w:val="20"/>
                <w:lang w:val="en-GB"/>
              </w:rPr>
              <w:t>3 (9.7%)</w:t>
            </w:r>
          </w:p>
        </w:tc>
        <w:tc>
          <w:tcPr>
            <w:tcW w:w="847" w:type="dxa"/>
            <w:tcBorders>
              <w:top w:val="nil"/>
              <w:left w:val="nil"/>
              <w:bottom w:val="nil"/>
              <w:right w:val="nil"/>
            </w:tcBorders>
          </w:tcPr>
          <w:p>
            <w:pPr>
              <w:pStyle w:val="Normal"/>
              <w:spacing w:before="0" w:after="60"/>
              <w:jc w:val="center"/>
              <w:rPr>
                <w:color w:val="000000" w:themeColor="text1"/>
                <w:sz w:val="20"/>
                <w:lang w:val="en-GB"/>
              </w:rPr>
            </w:pPr>
            <w:r>
              <w:rPr>
                <w:color w:val="000000" w:themeColor="text1"/>
                <w:sz w:val="20"/>
                <w:lang w:val="en-GB"/>
              </w:rPr>
              <w:t>1.000</w:t>
            </w:r>
          </w:p>
        </w:tc>
      </w:tr>
      <w:tr>
        <w:trPr/>
        <w:tc>
          <w:tcPr>
            <w:tcW w:w="4111" w:type="dxa"/>
            <w:tcBorders>
              <w:top w:val="nil"/>
              <w:left w:val="nil"/>
              <w:bottom w:val="nil"/>
              <w:right w:val="nil"/>
            </w:tcBorders>
          </w:tcPr>
          <w:p>
            <w:pPr>
              <w:pStyle w:val="Normal"/>
              <w:spacing w:before="0" w:after="60"/>
              <w:ind w:left="171" w:hanging="0"/>
              <w:rPr>
                <w:sz w:val="20"/>
                <w:lang w:val="en-GB"/>
              </w:rPr>
            </w:pPr>
            <w:r>
              <w:rPr>
                <w:sz w:val="20"/>
                <w:lang w:val="en-GB"/>
              </w:rPr>
              <w:t>Severe [n=, %]</w:t>
            </w:r>
          </w:p>
        </w:tc>
        <w:tc>
          <w:tcPr>
            <w:tcW w:w="1559" w:type="dxa"/>
            <w:tcBorders>
              <w:top w:val="nil"/>
              <w:left w:val="nil"/>
              <w:bottom w:val="nil"/>
              <w:right w:val="nil"/>
            </w:tcBorders>
          </w:tcPr>
          <w:p>
            <w:pPr>
              <w:pStyle w:val="Normal"/>
              <w:spacing w:before="0" w:after="60"/>
              <w:jc w:val="center"/>
              <w:rPr>
                <w:sz w:val="20"/>
                <w:lang w:val="en-GB"/>
              </w:rPr>
            </w:pPr>
            <w:r>
              <w:rPr>
                <w:sz w:val="20"/>
                <w:lang w:val="en-GB"/>
              </w:rPr>
              <w:t>1 (0.7%)</w:t>
            </w:r>
          </w:p>
        </w:tc>
        <w:tc>
          <w:tcPr>
            <w:tcW w:w="1701" w:type="dxa"/>
            <w:tcBorders>
              <w:top w:val="nil"/>
              <w:left w:val="nil"/>
              <w:bottom w:val="nil"/>
              <w:right w:val="nil"/>
            </w:tcBorders>
          </w:tcPr>
          <w:p>
            <w:pPr>
              <w:pStyle w:val="Normal"/>
              <w:spacing w:before="0" w:after="60"/>
              <w:jc w:val="center"/>
              <w:rPr>
                <w:sz w:val="20"/>
                <w:lang w:val="en-GB"/>
              </w:rPr>
            </w:pPr>
            <w:r>
              <w:rPr>
                <w:sz w:val="20"/>
                <w:lang w:val="en-GB"/>
              </w:rPr>
              <w:t>1 (0.9%)</w:t>
            </w:r>
          </w:p>
        </w:tc>
        <w:tc>
          <w:tcPr>
            <w:tcW w:w="1700" w:type="dxa"/>
            <w:tcBorders>
              <w:top w:val="nil"/>
              <w:left w:val="nil"/>
              <w:bottom w:val="nil"/>
              <w:right w:val="nil"/>
            </w:tcBorders>
          </w:tcPr>
          <w:p>
            <w:pPr>
              <w:pStyle w:val="Normal"/>
              <w:spacing w:before="0" w:after="60"/>
              <w:jc w:val="center"/>
              <w:rPr>
                <w:sz w:val="20"/>
                <w:lang w:val="en-GB"/>
              </w:rPr>
            </w:pPr>
            <w:r>
              <w:rPr>
                <w:sz w:val="20"/>
                <w:lang w:val="en-GB"/>
              </w:rPr>
              <w:t>0 (0%)</w:t>
            </w:r>
          </w:p>
        </w:tc>
        <w:tc>
          <w:tcPr>
            <w:tcW w:w="847" w:type="dxa"/>
            <w:tcBorders>
              <w:top w:val="nil"/>
              <w:left w:val="nil"/>
              <w:bottom w:val="nil"/>
              <w:right w:val="nil"/>
            </w:tcBorders>
          </w:tcPr>
          <w:p>
            <w:pPr>
              <w:pStyle w:val="Normal"/>
              <w:spacing w:before="0" w:after="60"/>
              <w:jc w:val="center"/>
              <w:rPr>
                <w:color w:val="000000" w:themeColor="text1"/>
                <w:sz w:val="20"/>
                <w:lang w:val="en-GB"/>
              </w:rPr>
            </w:pPr>
            <w:r>
              <w:rPr>
                <w:color w:val="000000" w:themeColor="text1"/>
                <w:sz w:val="20"/>
                <w:lang w:val="en-GB"/>
              </w:rPr>
              <w:t>1.000</w:t>
            </w:r>
          </w:p>
        </w:tc>
      </w:tr>
      <w:tr>
        <w:trPr/>
        <w:tc>
          <w:tcPr>
            <w:tcW w:w="4111" w:type="dxa"/>
            <w:tcBorders>
              <w:top w:val="nil"/>
              <w:left w:val="nil"/>
              <w:bottom w:val="nil"/>
              <w:right w:val="nil"/>
            </w:tcBorders>
          </w:tcPr>
          <w:p>
            <w:pPr>
              <w:pStyle w:val="Normal"/>
              <w:spacing w:before="0" w:after="60"/>
              <w:ind w:left="171" w:hanging="0"/>
              <w:rPr>
                <w:sz w:val="20"/>
                <w:lang w:val="en-GB"/>
              </w:rPr>
            </w:pPr>
            <w:r>
              <w:rPr>
                <w:sz w:val="20"/>
                <w:lang w:val="en-GB"/>
              </w:rPr>
              <w:t>PV regurgitation, last FU [n=, %]</w:t>
            </w:r>
          </w:p>
        </w:tc>
        <w:tc>
          <w:tcPr>
            <w:tcW w:w="1559" w:type="dxa"/>
            <w:tcBorders>
              <w:top w:val="nil"/>
              <w:left w:val="nil"/>
              <w:bottom w:val="nil"/>
              <w:right w:val="nil"/>
            </w:tcBorders>
          </w:tcPr>
          <w:p>
            <w:pPr>
              <w:pStyle w:val="Normal"/>
              <w:spacing w:before="0" w:after="60"/>
              <w:jc w:val="center"/>
              <w:rPr>
                <w:sz w:val="20"/>
                <w:lang w:val="en-GB"/>
              </w:rPr>
            </w:pPr>
            <w:r>
              <w:rPr>
                <w:sz w:val="20"/>
                <w:lang w:val="en-GB"/>
              </w:rPr>
              <w:t>111 (90.9%)</w:t>
            </w:r>
          </w:p>
        </w:tc>
        <w:tc>
          <w:tcPr>
            <w:tcW w:w="1701" w:type="dxa"/>
            <w:tcBorders>
              <w:top w:val="nil"/>
              <w:left w:val="nil"/>
              <w:bottom w:val="nil"/>
              <w:right w:val="nil"/>
            </w:tcBorders>
          </w:tcPr>
          <w:p>
            <w:pPr>
              <w:pStyle w:val="Normal"/>
              <w:spacing w:before="0" w:after="60"/>
              <w:jc w:val="center"/>
              <w:rPr>
                <w:sz w:val="20"/>
                <w:lang w:val="en-GB"/>
              </w:rPr>
            </w:pPr>
            <w:r>
              <w:rPr>
                <w:sz w:val="20"/>
                <w:lang w:val="en-GB"/>
              </w:rPr>
              <w:t>94 (95.9%)</w:t>
            </w:r>
          </w:p>
        </w:tc>
        <w:tc>
          <w:tcPr>
            <w:tcW w:w="1700" w:type="dxa"/>
            <w:tcBorders>
              <w:top w:val="nil"/>
              <w:left w:val="nil"/>
              <w:bottom w:val="nil"/>
              <w:right w:val="nil"/>
            </w:tcBorders>
          </w:tcPr>
          <w:p>
            <w:pPr>
              <w:pStyle w:val="Normal"/>
              <w:spacing w:before="0" w:after="60"/>
              <w:jc w:val="center"/>
              <w:rPr>
                <w:sz w:val="20"/>
                <w:lang w:val="en-GB"/>
              </w:rPr>
            </w:pPr>
            <w:r>
              <w:rPr>
                <w:sz w:val="20"/>
                <w:lang w:val="en-GB"/>
              </w:rPr>
              <w:t>17 (70.8%)</w:t>
            </w:r>
          </w:p>
        </w:tc>
        <w:tc>
          <w:tcPr>
            <w:tcW w:w="847" w:type="dxa"/>
            <w:tcBorders>
              <w:top w:val="nil"/>
              <w:left w:val="nil"/>
              <w:bottom w:val="nil"/>
              <w:right w:val="nil"/>
            </w:tcBorders>
          </w:tcPr>
          <w:p>
            <w:pPr>
              <w:pStyle w:val="Normal"/>
              <w:spacing w:before="0" w:after="60"/>
              <w:jc w:val="center"/>
              <w:rPr>
                <w:color w:val="000000" w:themeColor="text1"/>
                <w:sz w:val="20"/>
                <w:lang w:val="en-GB"/>
              </w:rPr>
            </w:pPr>
            <w:r>
              <w:rPr>
                <w:color w:val="000000" w:themeColor="text1"/>
                <w:sz w:val="20"/>
                <w:lang w:val="en-GB"/>
              </w:rPr>
              <w:t>.001</w:t>
            </w:r>
          </w:p>
        </w:tc>
      </w:tr>
      <w:tr>
        <w:trPr/>
        <w:tc>
          <w:tcPr>
            <w:tcW w:w="4111" w:type="dxa"/>
            <w:tcBorders>
              <w:top w:val="nil"/>
              <w:left w:val="nil"/>
              <w:bottom w:val="nil"/>
              <w:right w:val="nil"/>
            </w:tcBorders>
          </w:tcPr>
          <w:p>
            <w:pPr>
              <w:pStyle w:val="Normal"/>
              <w:spacing w:before="0" w:after="60"/>
              <w:ind w:left="171" w:hanging="0"/>
              <w:rPr>
                <w:sz w:val="20"/>
                <w:lang w:val="en-GB"/>
              </w:rPr>
            </w:pPr>
            <w:r>
              <w:rPr>
                <w:sz w:val="20"/>
                <w:lang w:val="en-GB"/>
              </w:rPr>
              <w:t>No [n=, %]</w:t>
            </w:r>
          </w:p>
        </w:tc>
        <w:tc>
          <w:tcPr>
            <w:tcW w:w="1559" w:type="dxa"/>
            <w:tcBorders>
              <w:top w:val="nil"/>
              <w:left w:val="nil"/>
              <w:bottom w:val="nil"/>
              <w:right w:val="nil"/>
            </w:tcBorders>
          </w:tcPr>
          <w:p>
            <w:pPr>
              <w:pStyle w:val="Normal"/>
              <w:spacing w:before="0" w:after="60"/>
              <w:jc w:val="center"/>
              <w:rPr>
                <w:sz w:val="20"/>
                <w:lang w:val="en-GB"/>
              </w:rPr>
            </w:pPr>
            <w:r>
              <w:rPr>
                <w:sz w:val="20"/>
                <w:lang w:val="en-GB"/>
              </w:rPr>
              <w:t>11 (9.0%)</w:t>
            </w:r>
          </w:p>
        </w:tc>
        <w:tc>
          <w:tcPr>
            <w:tcW w:w="1701" w:type="dxa"/>
            <w:tcBorders>
              <w:top w:val="nil"/>
              <w:left w:val="nil"/>
              <w:bottom w:val="nil"/>
              <w:right w:val="nil"/>
            </w:tcBorders>
          </w:tcPr>
          <w:p>
            <w:pPr>
              <w:pStyle w:val="Normal"/>
              <w:spacing w:before="0" w:after="60"/>
              <w:jc w:val="center"/>
              <w:rPr>
                <w:sz w:val="20"/>
                <w:lang w:val="en-GB"/>
              </w:rPr>
            </w:pPr>
            <w:r>
              <w:rPr>
                <w:sz w:val="20"/>
                <w:lang w:val="en-GB"/>
              </w:rPr>
              <w:t>4 (4.1%)</w:t>
            </w:r>
          </w:p>
        </w:tc>
        <w:tc>
          <w:tcPr>
            <w:tcW w:w="1700" w:type="dxa"/>
            <w:tcBorders>
              <w:top w:val="nil"/>
              <w:left w:val="nil"/>
              <w:bottom w:val="nil"/>
              <w:right w:val="nil"/>
            </w:tcBorders>
          </w:tcPr>
          <w:p>
            <w:pPr>
              <w:pStyle w:val="Normal"/>
              <w:spacing w:before="0" w:after="60"/>
              <w:jc w:val="center"/>
              <w:rPr>
                <w:sz w:val="20"/>
                <w:lang w:val="en-GB"/>
              </w:rPr>
            </w:pPr>
            <w:r>
              <w:rPr>
                <w:sz w:val="20"/>
                <w:lang w:val="en-GB"/>
              </w:rPr>
              <w:t>7 (29.2%)</w:t>
            </w:r>
          </w:p>
        </w:tc>
        <w:tc>
          <w:tcPr>
            <w:tcW w:w="847" w:type="dxa"/>
            <w:tcBorders>
              <w:top w:val="nil"/>
              <w:left w:val="nil"/>
              <w:bottom w:val="nil"/>
              <w:right w:val="nil"/>
            </w:tcBorders>
          </w:tcPr>
          <w:p>
            <w:pPr>
              <w:pStyle w:val="Normal"/>
              <w:spacing w:before="0" w:after="60"/>
              <w:jc w:val="center"/>
              <w:rPr>
                <w:color w:val="000000" w:themeColor="text1"/>
                <w:sz w:val="20"/>
                <w:lang w:val="en-GB"/>
              </w:rPr>
            </w:pPr>
            <w:r>
              <w:rPr>
                <w:color w:val="000000" w:themeColor="text1"/>
                <w:sz w:val="20"/>
                <w:lang w:val="en-GB"/>
              </w:rPr>
              <w:t>.001</w:t>
            </w:r>
          </w:p>
        </w:tc>
      </w:tr>
      <w:tr>
        <w:trPr/>
        <w:tc>
          <w:tcPr>
            <w:tcW w:w="4111" w:type="dxa"/>
            <w:tcBorders>
              <w:top w:val="nil"/>
              <w:left w:val="nil"/>
              <w:bottom w:val="nil"/>
              <w:right w:val="nil"/>
            </w:tcBorders>
          </w:tcPr>
          <w:p>
            <w:pPr>
              <w:pStyle w:val="Normal"/>
              <w:spacing w:before="0" w:after="60"/>
              <w:ind w:left="171" w:hanging="0"/>
              <w:rPr>
                <w:sz w:val="20"/>
                <w:lang w:val="en-GB"/>
              </w:rPr>
            </w:pPr>
            <w:r>
              <w:rPr>
                <w:sz w:val="20"/>
                <w:lang w:val="en-GB"/>
              </w:rPr>
              <w:t>Mild PR [n=, %]</w:t>
            </w:r>
          </w:p>
        </w:tc>
        <w:tc>
          <w:tcPr>
            <w:tcW w:w="1559" w:type="dxa"/>
            <w:tcBorders>
              <w:top w:val="nil"/>
              <w:left w:val="nil"/>
              <w:bottom w:val="nil"/>
              <w:right w:val="nil"/>
            </w:tcBorders>
          </w:tcPr>
          <w:p>
            <w:pPr>
              <w:pStyle w:val="Normal"/>
              <w:spacing w:before="0" w:after="60"/>
              <w:jc w:val="center"/>
              <w:rPr>
                <w:sz w:val="20"/>
                <w:lang w:val="en-GB"/>
              </w:rPr>
            </w:pPr>
            <w:r>
              <w:rPr>
                <w:sz w:val="20"/>
                <w:lang w:val="en-GB"/>
              </w:rPr>
              <w:t>78 (63.9%)</w:t>
            </w:r>
          </w:p>
        </w:tc>
        <w:tc>
          <w:tcPr>
            <w:tcW w:w="1701" w:type="dxa"/>
            <w:tcBorders>
              <w:top w:val="nil"/>
              <w:left w:val="nil"/>
              <w:bottom w:val="nil"/>
              <w:right w:val="nil"/>
            </w:tcBorders>
          </w:tcPr>
          <w:p>
            <w:pPr>
              <w:pStyle w:val="Normal"/>
              <w:spacing w:before="0" w:after="60"/>
              <w:jc w:val="center"/>
              <w:rPr>
                <w:sz w:val="20"/>
                <w:lang w:val="en-GB"/>
              </w:rPr>
            </w:pPr>
            <w:r>
              <w:rPr>
                <w:sz w:val="20"/>
                <w:lang w:val="en-GB"/>
              </w:rPr>
              <w:t>62 (63.3%)</w:t>
            </w:r>
          </w:p>
        </w:tc>
        <w:tc>
          <w:tcPr>
            <w:tcW w:w="1700" w:type="dxa"/>
            <w:tcBorders>
              <w:top w:val="nil"/>
              <w:left w:val="nil"/>
              <w:bottom w:val="nil"/>
              <w:right w:val="nil"/>
            </w:tcBorders>
          </w:tcPr>
          <w:p>
            <w:pPr>
              <w:pStyle w:val="Normal"/>
              <w:spacing w:before="0" w:after="60"/>
              <w:jc w:val="center"/>
              <w:rPr>
                <w:sz w:val="20"/>
                <w:lang w:val="en-GB"/>
              </w:rPr>
            </w:pPr>
            <w:r>
              <w:rPr>
                <w:sz w:val="20"/>
                <w:lang w:val="en-GB"/>
              </w:rPr>
              <w:t>16 (66.7%)</w:t>
            </w:r>
          </w:p>
        </w:tc>
        <w:tc>
          <w:tcPr>
            <w:tcW w:w="847" w:type="dxa"/>
            <w:tcBorders>
              <w:top w:val="nil"/>
              <w:left w:val="nil"/>
              <w:bottom w:val="nil"/>
              <w:right w:val="nil"/>
            </w:tcBorders>
          </w:tcPr>
          <w:p>
            <w:pPr>
              <w:pStyle w:val="Normal"/>
              <w:spacing w:before="0" w:after="60"/>
              <w:jc w:val="center"/>
              <w:rPr>
                <w:color w:val="000000" w:themeColor="text1"/>
                <w:sz w:val="20"/>
                <w:lang w:val="en-GB"/>
              </w:rPr>
            </w:pPr>
            <w:r>
              <w:rPr>
                <w:color w:val="000000" w:themeColor="text1"/>
                <w:sz w:val="20"/>
                <w:lang w:val="en-GB"/>
              </w:rPr>
              <w:t>.941</w:t>
            </w:r>
          </w:p>
        </w:tc>
      </w:tr>
      <w:tr>
        <w:trPr/>
        <w:tc>
          <w:tcPr>
            <w:tcW w:w="4111" w:type="dxa"/>
            <w:tcBorders>
              <w:top w:val="nil"/>
              <w:left w:val="nil"/>
              <w:bottom w:val="nil"/>
              <w:right w:val="nil"/>
            </w:tcBorders>
          </w:tcPr>
          <w:p>
            <w:pPr>
              <w:pStyle w:val="Normal"/>
              <w:spacing w:before="0" w:after="60"/>
              <w:ind w:left="171" w:hanging="0"/>
              <w:rPr>
                <w:sz w:val="20"/>
                <w:lang w:val="en-GB"/>
              </w:rPr>
            </w:pPr>
            <w:r>
              <w:rPr>
                <w:sz w:val="20"/>
                <w:lang w:val="en-GB"/>
              </w:rPr>
              <w:t>Moderate PR [n=, %]</w:t>
            </w:r>
          </w:p>
        </w:tc>
        <w:tc>
          <w:tcPr>
            <w:tcW w:w="1559" w:type="dxa"/>
            <w:tcBorders>
              <w:top w:val="nil"/>
              <w:left w:val="nil"/>
              <w:bottom w:val="nil"/>
              <w:right w:val="nil"/>
            </w:tcBorders>
          </w:tcPr>
          <w:p>
            <w:pPr>
              <w:pStyle w:val="Normal"/>
              <w:spacing w:before="0" w:after="60"/>
              <w:jc w:val="center"/>
              <w:rPr>
                <w:sz w:val="20"/>
                <w:lang w:val="en-GB"/>
              </w:rPr>
            </w:pPr>
            <w:r>
              <w:rPr>
                <w:sz w:val="20"/>
                <w:lang w:val="en-GB"/>
              </w:rPr>
              <w:t>27 (22.1%)</w:t>
            </w:r>
          </w:p>
        </w:tc>
        <w:tc>
          <w:tcPr>
            <w:tcW w:w="1701" w:type="dxa"/>
            <w:tcBorders>
              <w:top w:val="nil"/>
              <w:left w:val="nil"/>
              <w:bottom w:val="nil"/>
              <w:right w:val="nil"/>
            </w:tcBorders>
          </w:tcPr>
          <w:p>
            <w:pPr>
              <w:pStyle w:val="Normal"/>
              <w:spacing w:before="0" w:after="60"/>
              <w:jc w:val="center"/>
              <w:rPr>
                <w:sz w:val="20"/>
                <w:lang w:val="en-GB"/>
              </w:rPr>
            </w:pPr>
            <w:r>
              <w:rPr>
                <w:sz w:val="20"/>
                <w:lang w:val="en-GB"/>
              </w:rPr>
              <w:t>26 (26.5%)</w:t>
            </w:r>
          </w:p>
        </w:tc>
        <w:tc>
          <w:tcPr>
            <w:tcW w:w="1700" w:type="dxa"/>
            <w:tcBorders>
              <w:top w:val="nil"/>
              <w:left w:val="nil"/>
              <w:bottom w:val="nil"/>
              <w:right w:val="nil"/>
            </w:tcBorders>
          </w:tcPr>
          <w:p>
            <w:pPr>
              <w:pStyle w:val="Normal"/>
              <w:spacing w:before="0" w:after="60"/>
              <w:jc w:val="center"/>
              <w:rPr>
                <w:sz w:val="20"/>
                <w:lang w:val="en-GB"/>
              </w:rPr>
            </w:pPr>
            <w:r>
              <w:rPr>
                <w:sz w:val="20"/>
                <w:lang w:val="en-GB"/>
              </w:rPr>
              <w:t>1 (4.2%)</w:t>
            </w:r>
          </w:p>
        </w:tc>
        <w:tc>
          <w:tcPr>
            <w:tcW w:w="847" w:type="dxa"/>
            <w:tcBorders>
              <w:top w:val="nil"/>
              <w:left w:val="nil"/>
              <w:bottom w:val="nil"/>
              <w:right w:val="nil"/>
            </w:tcBorders>
          </w:tcPr>
          <w:p>
            <w:pPr>
              <w:pStyle w:val="Normal"/>
              <w:spacing w:before="0" w:after="60"/>
              <w:jc w:val="center"/>
              <w:rPr>
                <w:color w:val="000000" w:themeColor="text1"/>
                <w:sz w:val="20"/>
                <w:lang w:val="en-GB"/>
              </w:rPr>
            </w:pPr>
            <w:r>
              <w:rPr>
                <w:color w:val="000000" w:themeColor="text1"/>
                <w:sz w:val="20"/>
                <w:lang w:val="en-GB"/>
              </w:rPr>
              <w:t>.037</w:t>
            </w:r>
          </w:p>
        </w:tc>
      </w:tr>
      <w:tr>
        <w:trPr/>
        <w:tc>
          <w:tcPr>
            <w:tcW w:w="4111" w:type="dxa"/>
            <w:tcBorders>
              <w:top w:val="nil"/>
              <w:left w:val="nil"/>
              <w:bottom w:val="nil"/>
              <w:right w:val="nil"/>
            </w:tcBorders>
          </w:tcPr>
          <w:p>
            <w:pPr>
              <w:pStyle w:val="Normal"/>
              <w:spacing w:before="0" w:after="60"/>
              <w:ind w:left="171" w:hanging="0"/>
              <w:rPr>
                <w:sz w:val="20"/>
                <w:lang w:val="en-GB"/>
              </w:rPr>
            </w:pPr>
            <w:r>
              <w:rPr>
                <w:sz w:val="20"/>
                <w:lang w:val="en-GB"/>
              </w:rPr>
              <w:t>Severe PR [n=, %]</w:t>
            </w:r>
          </w:p>
        </w:tc>
        <w:tc>
          <w:tcPr>
            <w:tcW w:w="1559" w:type="dxa"/>
            <w:tcBorders>
              <w:top w:val="nil"/>
              <w:left w:val="nil"/>
              <w:bottom w:val="nil"/>
              <w:right w:val="nil"/>
            </w:tcBorders>
          </w:tcPr>
          <w:p>
            <w:pPr>
              <w:pStyle w:val="Normal"/>
              <w:spacing w:before="0" w:after="60"/>
              <w:jc w:val="center"/>
              <w:rPr>
                <w:sz w:val="20"/>
                <w:lang w:val="en-GB"/>
              </w:rPr>
            </w:pPr>
            <w:r>
              <w:rPr>
                <w:sz w:val="20"/>
                <w:lang w:val="en-GB"/>
              </w:rPr>
              <w:t>6 (4.9%)</w:t>
            </w:r>
          </w:p>
        </w:tc>
        <w:tc>
          <w:tcPr>
            <w:tcW w:w="1701" w:type="dxa"/>
            <w:tcBorders>
              <w:top w:val="nil"/>
              <w:left w:val="nil"/>
              <w:bottom w:val="nil"/>
              <w:right w:val="nil"/>
            </w:tcBorders>
          </w:tcPr>
          <w:p>
            <w:pPr>
              <w:pStyle w:val="Normal"/>
              <w:spacing w:before="0" w:after="60"/>
              <w:jc w:val="center"/>
              <w:rPr>
                <w:sz w:val="20"/>
                <w:lang w:val="en-GB"/>
              </w:rPr>
            </w:pPr>
            <w:r>
              <w:rPr>
                <w:sz w:val="20"/>
                <w:lang w:val="en-GB"/>
              </w:rPr>
              <w:t>6 (6.1%)</w:t>
            </w:r>
          </w:p>
        </w:tc>
        <w:tc>
          <w:tcPr>
            <w:tcW w:w="1700" w:type="dxa"/>
            <w:tcBorders>
              <w:top w:val="nil"/>
              <w:left w:val="nil"/>
              <w:bottom w:val="nil"/>
              <w:right w:val="nil"/>
            </w:tcBorders>
          </w:tcPr>
          <w:p>
            <w:pPr>
              <w:pStyle w:val="Normal"/>
              <w:spacing w:before="0" w:after="60"/>
              <w:jc w:val="center"/>
              <w:rPr>
                <w:sz w:val="20"/>
                <w:lang w:val="en-GB"/>
              </w:rPr>
            </w:pPr>
            <w:r>
              <w:rPr>
                <w:sz w:val="20"/>
                <w:lang w:val="en-GB"/>
              </w:rPr>
              <w:t>0 (0.0%)</w:t>
            </w:r>
          </w:p>
        </w:tc>
        <w:tc>
          <w:tcPr>
            <w:tcW w:w="847" w:type="dxa"/>
            <w:tcBorders>
              <w:top w:val="nil"/>
              <w:left w:val="nil"/>
              <w:bottom w:val="nil"/>
              <w:right w:val="nil"/>
            </w:tcBorders>
          </w:tcPr>
          <w:p>
            <w:pPr>
              <w:pStyle w:val="Normal"/>
              <w:spacing w:before="0" w:after="60"/>
              <w:jc w:val="center"/>
              <w:rPr>
                <w:color w:val="000000" w:themeColor="text1"/>
                <w:sz w:val="20"/>
                <w:lang w:val="en-GB"/>
              </w:rPr>
            </w:pPr>
            <w:r>
              <w:rPr>
                <w:color w:val="000000" w:themeColor="text1"/>
                <w:sz w:val="20"/>
                <w:lang w:val="en-GB"/>
              </w:rPr>
              <w:t>.597</w:t>
            </w:r>
          </w:p>
        </w:tc>
      </w:tr>
      <w:tr>
        <w:trPr/>
        <w:tc>
          <w:tcPr>
            <w:tcW w:w="4111" w:type="dxa"/>
            <w:tcBorders>
              <w:top w:val="nil"/>
              <w:left w:val="nil"/>
              <w:bottom w:val="nil"/>
              <w:right w:val="nil"/>
            </w:tcBorders>
          </w:tcPr>
          <w:p>
            <w:pPr>
              <w:pStyle w:val="Normal"/>
              <w:spacing w:before="0" w:after="60"/>
              <w:rPr>
                <w:b/>
                <w:b/>
                <w:bCs/>
                <w:sz w:val="20"/>
                <w:lang w:val="en-GB"/>
              </w:rPr>
            </w:pPr>
            <w:r>
              <w:rPr>
                <w:b/>
                <w:bCs/>
                <w:sz w:val="20"/>
                <w:lang w:val="en-GB"/>
              </w:rPr>
              <w:t>Follow–up</w:t>
            </w:r>
          </w:p>
        </w:tc>
        <w:tc>
          <w:tcPr>
            <w:tcW w:w="1559" w:type="dxa"/>
            <w:tcBorders>
              <w:top w:val="nil"/>
              <w:left w:val="nil"/>
              <w:bottom w:val="nil"/>
              <w:right w:val="nil"/>
            </w:tcBorders>
          </w:tcPr>
          <w:p>
            <w:pPr>
              <w:pStyle w:val="Normal"/>
              <w:spacing w:before="0" w:after="60"/>
              <w:jc w:val="center"/>
              <w:rPr>
                <w:sz w:val="20"/>
                <w:lang w:val="en-GB"/>
              </w:rPr>
            </w:pPr>
            <w:r>
              <w:rPr>
                <w:sz w:val="20"/>
                <w:lang w:val="en-GB"/>
              </w:rPr>
            </w:r>
          </w:p>
        </w:tc>
        <w:tc>
          <w:tcPr>
            <w:tcW w:w="1701" w:type="dxa"/>
            <w:tcBorders>
              <w:top w:val="nil"/>
              <w:left w:val="nil"/>
              <w:bottom w:val="nil"/>
              <w:right w:val="nil"/>
            </w:tcBorders>
          </w:tcPr>
          <w:p>
            <w:pPr>
              <w:pStyle w:val="Normal"/>
              <w:spacing w:before="0" w:after="60"/>
              <w:jc w:val="center"/>
              <w:rPr>
                <w:sz w:val="20"/>
                <w:lang w:val="en-GB"/>
              </w:rPr>
            </w:pPr>
            <w:r>
              <w:rPr>
                <w:sz w:val="20"/>
                <w:lang w:val="en-GB"/>
              </w:rPr>
            </w:r>
          </w:p>
        </w:tc>
        <w:tc>
          <w:tcPr>
            <w:tcW w:w="1700" w:type="dxa"/>
            <w:tcBorders>
              <w:top w:val="nil"/>
              <w:left w:val="nil"/>
              <w:bottom w:val="nil"/>
              <w:right w:val="nil"/>
            </w:tcBorders>
          </w:tcPr>
          <w:p>
            <w:pPr>
              <w:pStyle w:val="Normal"/>
              <w:spacing w:before="0" w:after="60"/>
              <w:jc w:val="center"/>
              <w:rPr>
                <w:sz w:val="20"/>
                <w:lang w:val="en-GB"/>
              </w:rPr>
            </w:pPr>
            <w:r>
              <w:rPr>
                <w:sz w:val="20"/>
                <w:lang w:val="en-GB"/>
              </w:rPr>
            </w:r>
          </w:p>
        </w:tc>
        <w:tc>
          <w:tcPr>
            <w:tcW w:w="847" w:type="dxa"/>
            <w:tcBorders>
              <w:top w:val="nil"/>
              <w:left w:val="nil"/>
              <w:bottom w:val="nil"/>
              <w:right w:val="nil"/>
            </w:tcBorders>
          </w:tcPr>
          <w:p>
            <w:pPr>
              <w:pStyle w:val="Normal"/>
              <w:spacing w:before="0" w:after="60"/>
              <w:jc w:val="center"/>
              <w:rPr>
                <w:sz w:val="20"/>
                <w:lang w:val="en-GB"/>
              </w:rPr>
            </w:pPr>
            <w:r>
              <w:rPr>
                <w:sz w:val="20"/>
                <w:lang w:val="en-GB"/>
              </w:rPr>
            </w:r>
          </w:p>
        </w:tc>
      </w:tr>
      <w:tr>
        <w:trPr/>
        <w:tc>
          <w:tcPr>
            <w:tcW w:w="4111" w:type="dxa"/>
            <w:tcBorders>
              <w:top w:val="nil"/>
              <w:left w:val="nil"/>
              <w:bottom w:val="nil"/>
              <w:right w:val="nil"/>
            </w:tcBorders>
          </w:tcPr>
          <w:p>
            <w:pPr>
              <w:pStyle w:val="Normal"/>
              <w:spacing w:before="0" w:after="60"/>
              <w:ind w:left="171" w:hanging="0"/>
              <w:rPr>
                <w:b/>
                <w:b/>
                <w:bCs/>
                <w:sz w:val="20"/>
                <w:lang w:val="en-GB"/>
              </w:rPr>
            </w:pPr>
            <w:r>
              <w:rPr>
                <w:sz w:val="20"/>
                <w:lang w:val="en-GB"/>
              </w:rPr>
              <w:t>Reintervention [n=, %]</w:t>
            </w:r>
          </w:p>
        </w:tc>
        <w:tc>
          <w:tcPr>
            <w:tcW w:w="1559" w:type="dxa"/>
            <w:tcBorders>
              <w:top w:val="nil"/>
              <w:left w:val="nil"/>
              <w:bottom w:val="nil"/>
              <w:right w:val="nil"/>
            </w:tcBorders>
          </w:tcPr>
          <w:p>
            <w:pPr>
              <w:pStyle w:val="Normal"/>
              <w:spacing w:before="0" w:after="60"/>
              <w:jc w:val="center"/>
              <w:rPr>
                <w:sz w:val="20"/>
                <w:lang w:val="en-GB"/>
              </w:rPr>
            </w:pPr>
            <w:r>
              <w:rPr>
                <w:sz w:val="20"/>
                <w:lang w:val="en-GB"/>
              </w:rPr>
              <w:t>14 (9.8%)</w:t>
            </w:r>
          </w:p>
        </w:tc>
        <w:tc>
          <w:tcPr>
            <w:tcW w:w="1701" w:type="dxa"/>
            <w:tcBorders>
              <w:top w:val="nil"/>
              <w:left w:val="nil"/>
              <w:bottom w:val="nil"/>
              <w:right w:val="nil"/>
            </w:tcBorders>
          </w:tcPr>
          <w:p>
            <w:pPr>
              <w:pStyle w:val="Normal"/>
              <w:spacing w:before="0" w:after="60"/>
              <w:jc w:val="center"/>
              <w:rPr>
                <w:sz w:val="20"/>
                <w:lang w:val="en-GB"/>
              </w:rPr>
            </w:pPr>
            <w:r>
              <w:rPr>
                <w:sz w:val="20"/>
                <w:lang w:val="en-GB"/>
              </w:rPr>
              <w:t>6 (5.4%)</w:t>
            </w:r>
          </w:p>
        </w:tc>
        <w:tc>
          <w:tcPr>
            <w:tcW w:w="1700" w:type="dxa"/>
            <w:tcBorders>
              <w:top w:val="nil"/>
              <w:left w:val="nil"/>
              <w:bottom w:val="nil"/>
              <w:right w:val="nil"/>
            </w:tcBorders>
          </w:tcPr>
          <w:p>
            <w:pPr>
              <w:pStyle w:val="Normal"/>
              <w:spacing w:before="0" w:after="60"/>
              <w:jc w:val="center"/>
              <w:rPr>
                <w:sz w:val="20"/>
                <w:lang w:val="en-GB"/>
              </w:rPr>
            </w:pPr>
            <w:r>
              <w:rPr>
                <w:sz w:val="20"/>
                <w:lang w:val="en-GB"/>
              </w:rPr>
              <w:t>8 (25.8%)</w:t>
            </w:r>
          </w:p>
        </w:tc>
        <w:tc>
          <w:tcPr>
            <w:tcW w:w="847" w:type="dxa"/>
            <w:tcBorders>
              <w:top w:val="nil"/>
              <w:left w:val="nil"/>
              <w:bottom w:val="nil"/>
              <w:right w:val="nil"/>
            </w:tcBorders>
          </w:tcPr>
          <w:p>
            <w:pPr>
              <w:pStyle w:val="Normal"/>
              <w:spacing w:before="0" w:after="60"/>
              <w:jc w:val="center"/>
              <w:rPr>
                <w:sz w:val="20"/>
                <w:lang w:val="en-GB"/>
              </w:rPr>
            </w:pPr>
            <w:r>
              <w:rPr>
                <w:color w:val="000000" w:themeColor="text1"/>
                <w:sz w:val="20"/>
                <w:lang w:val="en-GB"/>
              </w:rPr>
              <w:t>.002</w:t>
            </w:r>
          </w:p>
        </w:tc>
      </w:tr>
      <w:tr>
        <w:trPr/>
        <w:tc>
          <w:tcPr>
            <w:tcW w:w="4111" w:type="dxa"/>
            <w:tcBorders>
              <w:top w:val="nil"/>
              <w:left w:val="nil"/>
              <w:right w:val="nil"/>
            </w:tcBorders>
          </w:tcPr>
          <w:p>
            <w:pPr>
              <w:pStyle w:val="Normal"/>
              <w:spacing w:before="0" w:after="60"/>
              <w:ind w:left="171" w:hanging="0"/>
              <w:rPr>
                <w:sz w:val="20"/>
                <w:lang w:val="en-GB"/>
              </w:rPr>
            </w:pPr>
            <w:r>
              <w:rPr>
                <w:sz w:val="20"/>
                <w:lang w:val="en-GB"/>
              </w:rPr>
              <w:t>Complications [n=, %]</w:t>
            </w:r>
          </w:p>
        </w:tc>
        <w:tc>
          <w:tcPr>
            <w:tcW w:w="1559" w:type="dxa"/>
            <w:tcBorders>
              <w:top w:val="nil"/>
              <w:left w:val="nil"/>
              <w:right w:val="nil"/>
            </w:tcBorders>
          </w:tcPr>
          <w:p>
            <w:pPr>
              <w:pStyle w:val="Normal"/>
              <w:spacing w:before="0" w:after="60"/>
              <w:jc w:val="center"/>
              <w:rPr>
                <w:sz w:val="20"/>
                <w:lang w:val="en-GB"/>
              </w:rPr>
            </w:pPr>
            <w:r>
              <w:rPr>
                <w:sz w:val="20"/>
                <w:lang w:val="en-GB"/>
              </w:rPr>
              <w:t>8 (5.6%)</w:t>
            </w:r>
          </w:p>
        </w:tc>
        <w:tc>
          <w:tcPr>
            <w:tcW w:w="1701" w:type="dxa"/>
            <w:tcBorders>
              <w:top w:val="nil"/>
              <w:left w:val="nil"/>
              <w:right w:val="nil"/>
            </w:tcBorders>
          </w:tcPr>
          <w:p>
            <w:pPr>
              <w:pStyle w:val="Normal"/>
              <w:spacing w:before="0" w:after="60"/>
              <w:jc w:val="center"/>
              <w:rPr>
                <w:sz w:val="20"/>
                <w:lang w:val="en-GB"/>
              </w:rPr>
            </w:pPr>
            <w:r>
              <w:rPr>
                <w:sz w:val="20"/>
                <w:lang w:val="en-GB"/>
              </w:rPr>
              <w:t>7 (6.3%)</w:t>
            </w:r>
          </w:p>
        </w:tc>
        <w:tc>
          <w:tcPr>
            <w:tcW w:w="1700" w:type="dxa"/>
            <w:tcBorders>
              <w:top w:val="nil"/>
              <w:left w:val="nil"/>
              <w:right w:val="nil"/>
            </w:tcBorders>
          </w:tcPr>
          <w:p>
            <w:pPr>
              <w:pStyle w:val="Normal"/>
              <w:spacing w:before="0" w:after="60"/>
              <w:jc w:val="center"/>
              <w:rPr>
                <w:sz w:val="20"/>
                <w:lang w:val="en-GB"/>
              </w:rPr>
            </w:pPr>
            <w:r>
              <w:rPr>
                <w:sz w:val="20"/>
                <w:lang w:val="en-GB"/>
              </w:rPr>
              <w:t>1 (3.2%)</w:t>
            </w:r>
          </w:p>
        </w:tc>
        <w:tc>
          <w:tcPr>
            <w:tcW w:w="847" w:type="dxa"/>
            <w:tcBorders>
              <w:top w:val="nil"/>
              <w:left w:val="nil"/>
              <w:right w:val="nil"/>
            </w:tcBorders>
          </w:tcPr>
          <w:p>
            <w:pPr>
              <w:pStyle w:val="Normal"/>
              <w:spacing w:before="0" w:after="60"/>
              <w:jc w:val="center"/>
              <w:rPr>
                <w:sz w:val="20"/>
                <w:lang w:val="en-GB"/>
              </w:rPr>
            </w:pPr>
            <w:r>
              <w:rPr>
                <w:sz w:val="20"/>
                <w:lang w:val="en-GB"/>
              </w:rPr>
              <w:t>1.000</w:t>
            </w:r>
          </w:p>
        </w:tc>
      </w:tr>
    </w:tbl>
    <w:p>
      <w:pPr>
        <w:pStyle w:val="Normal"/>
        <w:rPr>
          <w:i/>
          <w:i/>
          <w:iCs/>
          <w:sz w:val="18"/>
          <w:szCs w:val="18"/>
          <w:lang w:val="en-GB"/>
        </w:rPr>
      </w:pPr>
      <w:r>
        <w:rPr>
          <w:i/>
          <w:iCs/>
          <w:sz w:val="18"/>
          <w:szCs w:val="18"/>
          <w:lang w:val="en-GB"/>
        </w:rPr>
        <w:t>Data are given as numbers (%), and median (IQR). dP, systolic pressure gradient; PS, pulmonary valve stenosis; PV, pulmonary valve; RV, right ventricle; SA, systemic artery (Aorta).</w:t>
      </w:r>
    </w:p>
    <w:p>
      <w:pPr>
        <w:pStyle w:val="Normal"/>
        <w:rPr>
          <w:sz w:val="24"/>
          <w:szCs w:val="24"/>
          <w:lang w:val="en-GB"/>
        </w:rPr>
      </w:pPr>
      <w:r>
        <w:rPr>
          <w:sz w:val="24"/>
          <w:szCs w:val="24"/>
          <w:lang w:val="en-GB"/>
        </w:rPr>
      </w:r>
    </w:p>
    <w:p>
      <w:pPr>
        <w:pStyle w:val="Caption1"/>
        <w:rPr>
          <w:b w:val="false"/>
          <w:b w:val="false"/>
          <w:bCs/>
          <w:i/>
          <w:i/>
          <w:iCs/>
          <w:lang w:val="en-GB"/>
        </w:rPr>
      </w:pPr>
      <w:r>
        <w:rPr>
          <w:lang w:val="en-GB"/>
        </w:rPr>
        <w:t>Table 2</w:t>
      </w:r>
      <w:r>
        <w:rPr>
          <w:bCs/>
          <w:lang w:val="en-GB"/>
        </w:rPr>
        <w:t>:</w:t>
      </w:r>
      <w:r>
        <w:rPr>
          <w:lang w:val="en-GB"/>
        </w:rPr>
        <w:t xml:space="preserve"> </w:t>
      </w:r>
      <w:r>
        <w:rPr>
          <w:b w:val="false"/>
          <w:bCs/>
          <w:lang w:val="en-GB"/>
        </w:rPr>
        <w:t>Procedural details of BVP of native PS in pediatric patients.</w:t>
      </w:r>
    </w:p>
    <w:tbl>
      <w:tblPr>
        <w:tblStyle w:val="afa"/>
        <w:tblW w:w="6941" w:type="dxa"/>
        <w:jc w:val="center"/>
        <w:tblInd w:w="0" w:type="dxa"/>
        <w:tblCellMar>
          <w:top w:w="0" w:type="dxa"/>
          <w:left w:w="108" w:type="dxa"/>
          <w:bottom w:w="0" w:type="dxa"/>
          <w:right w:w="108" w:type="dxa"/>
        </w:tblCellMar>
        <w:tblLook w:val="04a0" w:noHBand="0" w:noVBand="1" w:firstColumn="1" w:lastRow="0" w:lastColumn="0" w:firstRow="1"/>
      </w:tblPr>
      <w:tblGrid>
        <w:gridCol w:w="3823"/>
        <w:gridCol w:w="3117"/>
      </w:tblGrid>
      <w:tr>
        <w:trPr/>
        <w:tc>
          <w:tcPr>
            <w:tcW w:w="3823" w:type="dxa"/>
            <w:tcBorders>
              <w:left w:val="nil"/>
              <w:right w:val="nil"/>
            </w:tcBorders>
            <w:shd w:color="auto" w:fill="auto" w:val="clear"/>
          </w:tcPr>
          <w:p>
            <w:pPr>
              <w:pStyle w:val="Normal"/>
              <w:spacing w:before="0" w:after="60"/>
              <w:rPr>
                <w:lang w:val="en-GB"/>
              </w:rPr>
            </w:pPr>
            <w:r>
              <w:rPr>
                <w:lang w:val="en-GB"/>
              </w:rPr>
              <w:t>Sheath size, maximal [French]</w:t>
            </w:r>
          </w:p>
        </w:tc>
        <w:tc>
          <w:tcPr>
            <w:tcW w:w="3117" w:type="dxa"/>
            <w:tcBorders>
              <w:left w:val="nil"/>
              <w:right w:val="nil"/>
            </w:tcBorders>
            <w:shd w:color="auto" w:fill="auto" w:val="clear"/>
          </w:tcPr>
          <w:p>
            <w:pPr>
              <w:pStyle w:val="Normal"/>
              <w:spacing w:before="0" w:after="60"/>
              <w:jc w:val="center"/>
              <w:rPr>
                <w:lang w:val="en-GB"/>
              </w:rPr>
            </w:pPr>
            <w:r>
              <w:rPr>
                <w:lang w:val="en-GB"/>
              </w:rPr>
              <w:t>5 (4–14)</w:t>
            </w:r>
          </w:p>
        </w:tc>
      </w:tr>
      <w:tr>
        <w:trPr/>
        <w:tc>
          <w:tcPr>
            <w:tcW w:w="3823" w:type="dxa"/>
            <w:tcBorders>
              <w:left w:val="nil"/>
              <w:bottom w:val="nil"/>
              <w:right w:val="nil"/>
            </w:tcBorders>
          </w:tcPr>
          <w:p>
            <w:pPr>
              <w:pStyle w:val="Normal"/>
              <w:spacing w:before="0" w:after="60"/>
              <w:rPr>
                <w:lang w:val="en-GB"/>
              </w:rPr>
            </w:pPr>
            <w:r>
              <w:rPr>
                <w:lang w:val="en-GB"/>
              </w:rPr>
              <w:t>Number of needed balloons [n=, %]</w:t>
            </w:r>
          </w:p>
        </w:tc>
        <w:tc>
          <w:tcPr>
            <w:tcW w:w="3117" w:type="dxa"/>
            <w:tcBorders>
              <w:left w:val="nil"/>
              <w:bottom w:val="nil"/>
              <w:right w:val="nil"/>
            </w:tcBorders>
          </w:tcPr>
          <w:p>
            <w:pPr>
              <w:pStyle w:val="Normal"/>
              <w:spacing w:before="0" w:after="60"/>
              <w:jc w:val="center"/>
              <w:rPr>
                <w:lang w:val="en-GB"/>
              </w:rPr>
            </w:pPr>
            <w:r>
              <w:rPr>
                <w:lang w:val="en-GB"/>
              </w:rPr>
            </w:r>
          </w:p>
        </w:tc>
      </w:tr>
      <w:tr>
        <w:trPr/>
        <w:tc>
          <w:tcPr>
            <w:tcW w:w="3823" w:type="dxa"/>
            <w:tcBorders>
              <w:top w:val="nil"/>
              <w:left w:val="nil"/>
              <w:bottom w:val="nil"/>
              <w:right w:val="nil"/>
            </w:tcBorders>
          </w:tcPr>
          <w:p>
            <w:pPr>
              <w:pStyle w:val="Normal"/>
              <w:spacing w:before="0" w:after="60"/>
              <w:rPr>
                <w:lang w:val="en-GB"/>
              </w:rPr>
            </w:pPr>
            <w:r>
              <w:rPr>
                <w:lang w:val="en-GB"/>
              </w:rPr>
              <w:t xml:space="preserve">     </w:t>
            </w:r>
            <w:r>
              <w:rPr>
                <w:lang w:val="en-GB"/>
              </w:rPr>
              <w:t xml:space="preserve">1 </w:t>
            </w:r>
          </w:p>
        </w:tc>
        <w:tc>
          <w:tcPr>
            <w:tcW w:w="3117" w:type="dxa"/>
            <w:tcBorders>
              <w:top w:val="nil"/>
              <w:left w:val="nil"/>
              <w:bottom w:val="nil"/>
              <w:right w:val="nil"/>
            </w:tcBorders>
          </w:tcPr>
          <w:p>
            <w:pPr>
              <w:pStyle w:val="Normal"/>
              <w:spacing w:before="0" w:after="60"/>
              <w:jc w:val="center"/>
              <w:rPr>
                <w:lang w:val="en-GB"/>
              </w:rPr>
            </w:pPr>
            <w:r>
              <w:rPr>
                <w:lang w:val="en-GB"/>
              </w:rPr>
              <w:t>89 (62.2 %)</w:t>
            </w:r>
          </w:p>
        </w:tc>
      </w:tr>
      <w:tr>
        <w:trPr/>
        <w:tc>
          <w:tcPr>
            <w:tcW w:w="3823" w:type="dxa"/>
            <w:tcBorders>
              <w:top w:val="nil"/>
              <w:left w:val="nil"/>
              <w:bottom w:val="nil"/>
              <w:right w:val="nil"/>
            </w:tcBorders>
          </w:tcPr>
          <w:p>
            <w:pPr>
              <w:pStyle w:val="Normal"/>
              <w:spacing w:before="0" w:after="60"/>
              <w:rPr>
                <w:lang w:val="en-GB"/>
              </w:rPr>
            </w:pPr>
            <w:r>
              <w:rPr>
                <w:lang w:val="en-GB"/>
              </w:rPr>
              <w:t xml:space="preserve">     </w:t>
            </w:r>
            <w:r>
              <w:rPr>
                <w:lang w:val="en-GB"/>
              </w:rPr>
              <w:t xml:space="preserve">2 </w:t>
            </w:r>
          </w:p>
        </w:tc>
        <w:tc>
          <w:tcPr>
            <w:tcW w:w="3117" w:type="dxa"/>
            <w:tcBorders>
              <w:top w:val="nil"/>
              <w:left w:val="nil"/>
              <w:bottom w:val="nil"/>
              <w:right w:val="nil"/>
            </w:tcBorders>
          </w:tcPr>
          <w:p>
            <w:pPr>
              <w:pStyle w:val="Normal"/>
              <w:spacing w:before="0" w:after="60"/>
              <w:jc w:val="center"/>
              <w:rPr>
                <w:lang w:val="en-GB"/>
              </w:rPr>
            </w:pPr>
            <w:r>
              <w:rPr>
                <w:lang w:val="en-GB"/>
              </w:rPr>
              <w:t>45 (31.5 %)</w:t>
            </w:r>
          </w:p>
        </w:tc>
      </w:tr>
      <w:tr>
        <w:trPr/>
        <w:tc>
          <w:tcPr>
            <w:tcW w:w="3823" w:type="dxa"/>
            <w:tcBorders>
              <w:top w:val="nil"/>
              <w:left w:val="nil"/>
              <w:bottom w:val="nil"/>
              <w:right w:val="nil"/>
            </w:tcBorders>
          </w:tcPr>
          <w:p>
            <w:pPr>
              <w:pStyle w:val="Normal"/>
              <w:spacing w:before="0" w:after="60"/>
              <w:rPr>
                <w:lang w:val="en-GB"/>
              </w:rPr>
            </w:pPr>
            <w:r>
              <w:rPr>
                <w:lang w:val="en-GB"/>
              </w:rPr>
              <w:t xml:space="preserve">     </w:t>
            </w:r>
            <w:r>
              <w:rPr>
                <w:lang w:val="en-GB"/>
              </w:rPr>
              <w:t>3 or more</w:t>
            </w:r>
          </w:p>
        </w:tc>
        <w:tc>
          <w:tcPr>
            <w:tcW w:w="3117" w:type="dxa"/>
            <w:tcBorders>
              <w:top w:val="nil"/>
              <w:left w:val="nil"/>
              <w:bottom w:val="nil"/>
              <w:right w:val="nil"/>
            </w:tcBorders>
          </w:tcPr>
          <w:p>
            <w:pPr>
              <w:pStyle w:val="Normal"/>
              <w:spacing w:before="0" w:after="60"/>
              <w:jc w:val="center"/>
              <w:rPr>
                <w:lang w:val="en-GB"/>
              </w:rPr>
            </w:pPr>
            <w:r>
              <w:rPr>
                <w:lang w:val="en-GB"/>
              </w:rPr>
              <w:t>9 (6.3 %)</w:t>
            </w:r>
          </w:p>
        </w:tc>
      </w:tr>
      <w:tr>
        <w:trPr/>
        <w:tc>
          <w:tcPr>
            <w:tcW w:w="3823" w:type="dxa"/>
            <w:tcBorders>
              <w:top w:val="nil"/>
              <w:left w:val="nil"/>
              <w:bottom w:val="nil"/>
              <w:right w:val="nil"/>
            </w:tcBorders>
          </w:tcPr>
          <w:p>
            <w:pPr>
              <w:pStyle w:val="Normal"/>
              <w:spacing w:before="0" w:after="60"/>
              <w:rPr>
                <w:lang w:val="en-GB"/>
              </w:rPr>
            </w:pPr>
            <w:r>
              <w:rPr>
                <w:lang w:val="en-GB"/>
              </w:rPr>
              <w:t xml:space="preserve">Used balloons </w:t>
            </w:r>
          </w:p>
        </w:tc>
        <w:tc>
          <w:tcPr>
            <w:tcW w:w="3117" w:type="dxa"/>
            <w:tcBorders>
              <w:top w:val="nil"/>
              <w:left w:val="nil"/>
              <w:bottom w:val="nil"/>
              <w:right w:val="nil"/>
            </w:tcBorders>
          </w:tcPr>
          <w:p>
            <w:pPr>
              <w:pStyle w:val="Normal"/>
              <w:spacing w:before="0" w:after="60"/>
              <w:jc w:val="center"/>
              <w:rPr>
                <w:lang w:val="en-GB"/>
              </w:rPr>
            </w:pPr>
            <w:r>
              <w:rPr>
                <w:lang w:val="en-GB"/>
              </w:rPr>
            </w:r>
          </w:p>
        </w:tc>
      </w:tr>
      <w:tr>
        <w:trPr/>
        <w:tc>
          <w:tcPr>
            <w:tcW w:w="3823" w:type="dxa"/>
            <w:tcBorders>
              <w:top w:val="nil"/>
              <w:left w:val="nil"/>
              <w:bottom w:val="nil"/>
              <w:right w:val="nil"/>
            </w:tcBorders>
          </w:tcPr>
          <w:p>
            <w:pPr>
              <w:pStyle w:val="Normal"/>
              <w:spacing w:before="0" w:after="60"/>
              <w:rPr>
                <w:lang w:val="en-GB"/>
              </w:rPr>
            </w:pPr>
            <w:r>
              <w:rPr>
                <w:lang w:val="en-GB"/>
              </w:rPr>
              <w:t xml:space="preserve">     </w:t>
            </w:r>
            <w:r>
              <w:rPr>
                <w:lang w:val="en-GB"/>
              </w:rPr>
              <w:t>Tyshak II® [n=]</w:t>
            </w:r>
          </w:p>
        </w:tc>
        <w:tc>
          <w:tcPr>
            <w:tcW w:w="3117" w:type="dxa"/>
            <w:tcBorders>
              <w:top w:val="nil"/>
              <w:left w:val="nil"/>
              <w:bottom w:val="nil"/>
              <w:right w:val="nil"/>
            </w:tcBorders>
          </w:tcPr>
          <w:p>
            <w:pPr>
              <w:pStyle w:val="Normal"/>
              <w:spacing w:before="0" w:after="60"/>
              <w:jc w:val="center"/>
              <w:rPr>
                <w:lang w:val="en-GB"/>
              </w:rPr>
            </w:pPr>
            <w:r>
              <w:rPr>
                <w:lang w:val="en-GB"/>
              </w:rPr>
              <w:t>84</w:t>
            </w:r>
          </w:p>
        </w:tc>
      </w:tr>
      <w:tr>
        <w:trPr/>
        <w:tc>
          <w:tcPr>
            <w:tcW w:w="3823" w:type="dxa"/>
            <w:tcBorders>
              <w:top w:val="nil"/>
              <w:left w:val="nil"/>
              <w:bottom w:val="nil"/>
              <w:right w:val="nil"/>
            </w:tcBorders>
          </w:tcPr>
          <w:p>
            <w:pPr>
              <w:pStyle w:val="Normal"/>
              <w:spacing w:before="0" w:after="60"/>
              <w:rPr>
                <w:lang w:val="en-GB"/>
              </w:rPr>
            </w:pPr>
            <w:r>
              <w:rPr>
                <w:lang w:val="en-GB"/>
              </w:rPr>
              <w:t xml:space="preserve">     </w:t>
            </w:r>
            <w:r>
              <w:rPr>
                <w:lang w:val="en-GB"/>
              </w:rPr>
              <w:t>Tyshak mini® [n=]</w:t>
            </w:r>
          </w:p>
        </w:tc>
        <w:tc>
          <w:tcPr>
            <w:tcW w:w="3117" w:type="dxa"/>
            <w:tcBorders>
              <w:top w:val="nil"/>
              <w:left w:val="nil"/>
              <w:bottom w:val="nil"/>
              <w:right w:val="nil"/>
            </w:tcBorders>
          </w:tcPr>
          <w:p>
            <w:pPr>
              <w:pStyle w:val="Normal"/>
              <w:spacing w:before="0" w:after="60"/>
              <w:jc w:val="center"/>
              <w:rPr>
                <w:lang w:val="en-GB"/>
              </w:rPr>
            </w:pPr>
            <w:r>
              <w:rPr>
                <w:lang w:val="en-GB"/>
              </w:rPr>
              <w:t>19</w:t>
            </w:r>
          </w:p>
        </w:tc>
      </w:tr>
      <w:tr>
        <w:trPr/>
        <w:tc>
          <w:tcPr>
            <w:tcW w:w="3823" w:type="dxa"/>
            <w:tcBorders>
              <w:top w:val="nil"/>
              <w:left w:val="nil"/>
              <w:right w:val="nil"/>
            </w:tcBorders>
          </w:tcPr>
          <w:p>
            <w:pPr>
              <w:pStyle w:val="Normal"/>
              <w:spacing w:before="0" w:after="60"/>
              <w:rPr>
                <w:lang w:val="en-GB"/>
              </w:rPr>
            </w:pPr>
            <w:r>
              <w:rPr>
                <w:lang w:val="en-GB"/>
              </w:rPr>
              <w:t xml:space="preserve">     </w:t>
            </w:r>
            <w:r>
              <w:rPr>
                <w:lang w:val="en-GB"/>
              </w:rPr>
              <w:t>Atlas® [n=]</w:t>
            </w:r>
          </w:p>
        </w:tc>
        <w:tc>
          <w:tcPr>
            <w:tcW w:w="3117" w:type="dxa"/>
            <w:tcBorders>
              <w:top w:val="nil"/>
              <w:left w:val="nil"/>
              <w:right w:val="nil"/>
            </w:tcBorders>
          </w:tcPr>
          <w:p>
            <w:pPr>
              <w:pStyle w:val="Normal"/>
              <w:spacing w:before="0" w:after="60"/>
              <w:jc w:val="center"/>
              <w:rPr>
                <w:lang w:val="en-GB"/>
              </w:rPr>
            </w:pPr>
            <w:r>
              <w:rPr>
                <w:lang w:val="en-GB"/>
              </w:rPr>
              <w:t>15</w:t>
            </w:r>
          </w:p>
        </w:tc>
      </w:tr>
      <w:tr>
        <w:trPr/>
        <w:tc>
          <w:tcPr>
            <w:tcW w:w="3823" w:type="dxa"/>
            <w:tcBorders>
              <w:left w:val="nil"/>
              <w:bottom w:val="nil"/>
              <w:right w:val="nil"/>
            </w:tcBorders>
          </w:tcPr>
          <w:p>
            <w:pPr>
              <w:pStyle w:val="Normal"/>
              <w:spacing w:before="0" w:after="60"/>
              <w:rPr>
                <w:lang w:val="en-GB"/>
              </w:rPr>
            </w:pPr>
            <w:r>
              <w:rPr>
                <w:lang w:val="en-GB"/>
              </w:rPr>
              <w:t xml:space="preserve">     </w:t>
            </w:r>
            <w:r>
              <w:rPr>
                <w:lang w:val="en-GB"/>
              </w:rPr>
              <w:t>Advance® 18 LP [n=]</w:t>
            </w:r>
          </w:p>
        </w:tc>
        <w:tc>
          <w:tcPr>
            <w:tcW w:w="3117" w:type="dxa"/>
            <w:tcBorders>
              <w:left w:val="nil"/>
              <w:bottom w:val="nil"/>
              <w:right w:val="nil"/>
            </w:tcBorders>
          </w:tcPr>
          <w:p>
            <w:pPr>
              <w:pStyle w:val="Normal"/>
              <w:spacing w:before="0" w:after="60"/>
              <w:jc w:val="center"/>
              <w:rPr>
                <w:lang w:val="en-GB"/>
              </w:rPr>
            </w:pPr>
            <w:r>
              <w:rPr>
                <w:lang w:val="en-GB"/>
              </w:rPr>
              <w:t>16</w:t>
            </w:r>
          </w:p>
        </w:tc>
      </w:tr>
      <w:tr>
        <w:trPr/>
        <w:tc>
          <w:tcPr>
            <w:tcW w:w="3823" w:type="dxa"/>
            <w:tcBorders>
              <w:top w:val="nil"/>
              <w:left w:val="nil"/>
              <w:right w:val="nil"/>
            </w:tcBorders>
          </w:tcPr>
          <w:p>
            <w:pPr>
              <w:pStyle w:val="Normal"/>
              <w:spacing w:before="0" w:after="60"/>
              <w:rPr>
                <w:lang w:val="en-GB"/>
              </w:rPr>
            </w:pPr>
            <w:r>
              <w:rPr>
                <w:lang w:val="en-GB"/>
              </w:rPr>
              <w:t xml:space="preserve">     </w:t>
            </w:r>
            <w:r>
              <w:rPr>
                <w:lang w:val="en-GB"/>
              </w:rPr>
              <w:t>Other* [n=]</w:t>
            </w:r>
          </w:p>
        </w:tc>
        <w:tc>
          <w:tcPr>
            <w:tcW w:w="3117" w:type="dxa"/>
            <w:tcBorders>
              <w:top w:val="nil"/>
              <w:left w:val="nil"/>
              <w:right w:val="nil"/>
            </w:tcBorders>
          </w:tcPr>
          <w:p>
            <w:pPr>
              <w:pStyle w:val="Normal"/>
              <w:spacing w:before="0" w:after="60"/>
              <w:jc w:val="center"/>
              <w:rPr>
                <w:lang w:val="en-GB"/>
              </w:rPr>
            </w:pPr>
            <w:r>
              <w:rPr>
                <w:lang w:val="en-GB"/>
              </w:rPr>
              <w:t>75</w:t>
            </w:r>
          </w:p>
        </w:tc>
      </w:tr>
    </w:tbl>
    <w:p>
      <w:pPr>
        <w:pStyle w:val="Normal"/>
        <w:ind w:left="1134" w:right="1088" w:hanging="0"/>
        <w:rPr>
          <w:i/>
          <w:i/>
          <w:iCs/>
          <w:sz w:val="18"/>
          <w:szCs w:val="18"/>
          <w:lang w:val="en-GB"/>
        </w:rPr>
      </w:pPr>
      <w:r>
        <w:rPr>
          <w:i/>
          <w:iCs/>
          <w:sz w:val="18"/>
          <w:szCs w:val="18"/>
          <w:lang w:val="en-GB"/>
        </w:rPr>
        <w:t>Data are given as numbers (%), and median (range) [IQR], as appropriate. BVP, balloon valvuloplasty; PS, pulmonary valve stenosis. *Other included Coefficient</w:t>
      </w:r>
      <w:r>
        <w:rPr>
          <w:i/>
          <w:iCs/>
          <w:sz w:val="18"/>
          <w:szCs w:val="18"/>
          <w:vertAlign w:val="superscript"/>
          <w:lang w:val="en-GB"/>
        </w:rPr>
        <w:t>TM</w:t>
      </w:r>
      <w:r>
        <w:rPr>
          <w:i/>
          <w:iCs/>
          <w:sz w:val="18"/>
          <w:szCs w:val="18"/>
          <w:lang w:val="en-GB"/>
        </w:rPr>
        <w:t xml:space="preserve"> (n=15), VASC® II (n=7), Z-med</w:t>
      </w:r>
      <w:r>
        <w:rPr>
          <w:i/>
          <w:iCs/>
          <w:sz w:val="18"/>
          <w:szCs w:val="18"/>
          <w:vertAlign w:val="superscript"/>
          <w:lang w:val="en-GB"/>
        </w:rPr>
        <w:t>TM</w:t>
      </w:r>
      <w:r>
        <w:rPr>
          <w:i/>
          <w:iCs/>
          <w:sz w:val="18"/>
          <w:szCs w:val="18"/>
          <w:lang w:val="en-GB"/>
        </w:rPr>
        <w:t xml:space="preserve"> II (n=6), Maxi LD</w:t>
      </w:r>
      <w:r>
        <w:rPr>
          <w:i/>
          <w:iCs/>
          <w:sz w:val="18"/>
          <w:szCs w:val="18"/>
          <w:vertAlign w:val="superscript"/>
          <w:lang w:val="en-GB"/>
        </w:rPr>
        <w:t>TM</w:t>
      </w:r>
      <w:r>
        <w:rPr>
          <w:i/>
          <w:iCs/>
          <w:sz w:val="18"/>
          <w:szCs w:val="18"/>
          <w:lang w:val="en-GB"/>
        </w:rPr>
        <w:t xml:space="preserve"> (n=4), Sterling</w:t>
      </w:r>
      <w:r>
        <w:rPr>
          <w:i/>
          <w:iCs/>
          <w:sz w:val="18"/>
          <w:szCs w:val="18"/>
          <w:vertAlign w:val="superscript"/>
          <w:lang w:val="en-GB"/>
        </w:rPr>
        <w:t>TM</w:t>
      </w:r>
      <w:r>
        <w:drawing>
          <wp:anchor behindDoc="0" distT="0" distB="0" distL="114300" distR="114300" simplePos="0" locked="0" layoutInCell="1" allowOverlap="1" relativeHeight="2">
            <wp:simplePos x="0" y="0"/>
            <wp:positionH relativeFrom="column">
              <wp:posOffset>228600</wp:posOffset>
            </wp:positionH>
            <wp:positionV relativeFrom="paragraph">
              <wp:posOffset>713105</wp:posOffset>
            </wp:positionV>
            <wp:extent cx="5861050" cy="3441065"/>
            <wp:effectExtent l="0" t="0" r="0" b="0"/>
            <wp:wrapSquare wrapText="bothSides"/>
            <wp:docPr id="6" name="Grafik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descr=""/>
                    <pic:cNvPicPr>
                      <a:picLocks noChangeAspect="1" noChangeArrowheads="1"/>
                    </pic:cNvPicPr>
                  </pic:nvPicPr>
                  <pic:blipFill>
                    <a:blip r:embed="rId8"/>
                    <a:stretch>
                      <a:fillRect/>
                    </a:stretch>
                  </pic:blipFill>
                  <pic:spPr bwMode="auto">
                    <a:xfrm>
                      <a:off x="0" y="0"/>
                      <a:ext cx="5861050" cy="3441065"/>
                    </a:xfrm>
                    <a:prstGeom prst="rect">
                      <a:avLst/>
                    </a:prstGeom>
                  </pic:spPr>
                </pic:pic>
              </a:graphicData>
            </a:graphic>
          </wp:anchor>
        </w:drawing>
      </w:r>
      <w:r>
        <w:rPr>
          <w:i/>
          <w:iCs/>
          <w:sz w:val="18"/>
          <w:szCs w:val="18"/>
          <w:lang w:val="en-GB"/>
        </w:rPr>
        <w:t xml:space="preserve"> </w:t>
      </w:r>
      <w:r>
        <w:rPr>
          <w:i/>
          <w:iCs/>
          <w:sz w:val="18"/>
          <w:szCs w:val="18"/>
          <w:lang w:val="en-GB"/>
        </w:rPr>
        <w:t>(n=3), Conquest® (n=1), Dorado® (n=1), Powerflex® (n=1), and unknown (n=37).</w:t>
      </w:r>
    </w:p>
    <w:p>
      <w:pPr>
        <w:pStyle w:val="Normal"/>
        <w:ind w:left="1134" w:right="1088" w:hanging="0"/>
        <w:rPr>
          <w:i/>
          <w:i/>
          <w:iCs/>
          <w:sz w:val="18"/>
          <w:szCs w:val="18"/>
          <w:lang w:val="en-GB"/>
        </w:rPr>
      </w:pPr>
      <w:r>
        <w:rPr>
          <w:rFonts w:eastAsia="Calibri"/>
          <w:b/>
          <w:bCs/>
          <w:szCs w:val="22"/>
          <w:lang w:val="en-GB"/>
        </w:rPr>
        <w:t>Figure 1:</w:t>
      </w:r>
      <w:r>
        <w:rPr>
          <w:rFonts w:eastAsia="Calibri"/>
          <w:szCs w:val="22"/>
          <w:lang w:val="en-GB"/>
        </w:rPr>
        <w:t xml:space="preserve"> Medium-term results of echocardiographic peak Doppler pressure gradient of balloon valvuloplasty of native pulmonary valve stenosis in pediatric patients</w:t>
      </w:r>
      <w:r>
        <w:rPr>
          <w:szCs w:val="22"/>
          <w:lang w:val="en-GB"/>
        </w:rPr>
        <w:t>.</w:t>
      </w:r>
      <w:r>
        <w:rPr>
          <w:lang w:eastAsia="de-CH"/>
        </w:rPr>
        <w:t xml:space="preserve"> </w:t>
      </w:r>
      <w:r>
        <w:rPr>
          <w:lang w:val="en-GB"/>
        </w:rPr>
        <w:br/>
      </w:r>
      <w:r>
        <w:rPr>
          <w:i/>
          <w:iCs/>
          <w:sz w:val="18"/>
          <w:szCs w:val="18"/>
          <w:lang w:val="en-GB"/>
        </w:rPr>
        <w:t>BVP, balloon valvuloplasty; FU, follow-up; PA, pulmonary artery; RV, right ventricle. Of note, the outliers depicted as asterisks and dots according to supravalvular and valvular pulmonary valve stenosis at the last follow-up needed re-intervention.</w:t>
      </w:r>
    </w:p>
    <w:p>
      <w:pPr>
        <w:pStyle w:val="Normal"/>
        <w:tabs>
          <w:tab w:val="clear" w:pos="719"/>
          <w:tab w:val="left" w:pos="440" w:leader="none"/>
        </w:tabs>
        <w:spacing w:before="240" w:after="60"/>
        <w:rPr>
          <w:b/>
          <w:b/>
          <w:i/>
          <w:i/>
          <w:szCs w:val="22"/>
        </w:rPr>
      </w:pPr>
      <w:r>
        <w:rPr>
          <w:b/>
          <w:i/>
          <w:szCs w:val="22"/>
        </w:rPr>
        <w:t>3.2 Combined valvular and supravalvular pulmonary stenosis</w:t>
      </w:r>
    </w:p>
    <w:p>
      <w:pPr>
        <w:pStyle w:val="Normal"/>
        <w:tabs>
          <w:tab w:val="clear" w:pos="719"/>
          <w:tab w:val="left" w:pos="440" w:leader="none"/>
        </w:tabs>
        <w:spacing w:before="0" w:after="0"/>
        <w:ind w:firstLine="440"/>
        <w:rPr>
          <w:lang w:val="en-GB"/>
        </w:rPr>
      </w:pPr>
      <w:r>
        <w:rPr>
          <w:lang w:val="en-GB"/>
        </w:rPr>
        <w:t xml:space="preserve">Patients with a combined valvular and supravalvular PS (n=31, 22 %), were older age at BVP (0.47 years vs. 0.14 years; p=0.002), had more complex procedures with longer median procedure times (79.5 min vs. 46.5 min; p&lt;0.001), larger balloon-to-PV annulus ratios (1.4 vs. 1.25; p&lt;0.001), more frequent use of high-pressure balloons (64.5 % vs. 25 %; p&lt;0.001) and the resulting residual pressure gradients at cath (28.5 (15.8–40) mmHg vs. 12.0 (8–17) mmHg; p&lt;0.001) and on echo the day after the procedure (54.0 (45–62) mmHg vs. 23.0 (18–19) mmHg; p&lt;0.001) were higher Tab. 1. Furthermore, patients with an additional supravalvular PS had more often associated genetic syndromes (23 % vs. 3 %; p&lt;0.001). Of note, PR was less frequently found in patients with additional supravalvular PS immediately after BVP and at last follow-up (48 % vs. 89 % and 71 % vs. 96 %; both p&lt;0.001) Fig. 2. Eight of the 31 patients (25.8 %) with additional supravalvular PS needed additional procedures Tab. 1. </w:t>
      </w:r>
    </w:p>
    <w:p>
      <w:pPr>
        <w:pStyle w:val="Normal"/>
        <w:rPr>
          <w:szCs w:val="18"/>
        </w:rPr>
      </w:pPr>
      <w:r>
        <w:rPr>
          <w:szCs w:val="18"/>
        </w:rPr>
      </w:r>
    </w:p>
    <w:p>
      <w:pPr>
        <w:pStyle w:val="Normal"/>
        <w:rPr>
          <w:szCs w:val="22"/>
          <w:lang w:val="en-GB"/>
        </w:rPr>
      </w:pPr>
      <w:r>
        <w:drawing>
          <wp:anchor behindDoc="0" distT="0" distB="0" distL="0" distR="114300" simplePos="0" locked="0" layoutInCell="1" allowOverlap="1" relativeHeight="3">
            <wp:simplePos x="0" y="0"/>
            <wp:positionH relativeFrom="margin">
              <wp:align>left</wp:align>
            </wp:positionH>
            <wp:positionV relativeFrom="paragraph">
              <wp:posOffset>635</wp:posOffset>
            </wp:positionV>
            <wp:extent cx="5861685" cy="4030980"/>
            <wp:effectExtent l="0" t="0" r="0" b="0"/>
            <wp:wrapTopAndBottom/>
            <wp:docPr id="7"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1" descr=""/>
                    <pic:cNvPicPr>
                      <a:picLocks noChangeAspect="1" noChangeArrowheads="1"/>
                    </pic:cNvPicPr>
                  </pic:nvPicPr>
                  <pic:blipFill>
                    <a:blip r:embed="rId9"/>
                    <a:stretch>
                      <a:fillRect/>
                    </a:stretch>
                  </pic:blipFill>
                  <pic:spPr bwMode="auto">
                    <a:xfrm>
                      <a:off x="0" y="0"/>
                      <a:ext cx="5861685" cy="4030980"/>
                    </a:xfrm>
                    <a:prstGeom prst="rect">
                      <a:avLst/>
                    </a:prstGeom>
                  </pic:spPr>
                </pic:pic>
              </a:graphicData>
            </a:graphic>
          </wp:anchor>
        </w:drawing>
      </w:r>
      <w:r>
        <w:rPr>
          <w:b/>
          <w:szCs w:val="22"/>
          <w:lang w:val="en-GB"/>
        </w:rPr>
        <w:t>F</w:t>
      </w:r>
      <w:r>
        <w:rPr>
          <w:b/>
          <w:szCs w:val="22"/>
          <w:lang w:val="en-GB"/>
        </w:rPr>
        <w:t>igure 2:</w:t>
      </w:r>
      <w:r>
        <w:rPr>
          <w:szCs w:val="22"/>
          <w:lang w:val="en-GB"/>
        </w:rPr>
        <w:t xml:space="preserve"> Medium-term results of pulmonary valve regurgitation after balloon valvuloplasty of native pulmonary valve stenosis</w:t>
      </w:r>
      <w:r>
        <w:rPr>
          <w:szCs w:val="18"/>
          <w:lang w:val="en-GB"/>
        </w:rPr>
        <w:t xml:space="preserve"> with and without additional supravalvular pulmonary stenosis</w:t>
      </w:r>
      <w:r>
        <w:rPr>
          <w:szCs w:val="22"/>
          <w:lang w:val="en-GB"/>
        </w:rPr>
        <w:t xml:space="preserve"> in pediatric patients.</w:t>
      </w:r>
      <w:r>
        <w:rPr>
          <w:lang w:eastAsia="de-CH"/>
        </w:rPr>
        <w:t xml:space="preserve"> </w:t>
      </w:r>
    </w:p>
    <w:p>
      <w:pPr>
        <w:pStyle w:val="Normal"/>
        <w:tabs>
          <w:tab w:val="clear" w:pos="719"/>
          <w:tab w:val="left" w:pos="440" w:leader="none"/>
        </w:tabs>
        <w:spacing w:before="0" w:after="0"/>
        <w:rPr>
          <w:lang w:val="en-GB"/>
        </w:rPr>
      </w:pPr>
      <w:r>
        <w:rPr>
          <w:i/>
          <w:iCs/>
          <w:sz w:val="18"/>
          <w:szCs w:val="18"/>
          <w:lang w:val="en-GB"/>
        </w:rPr>
        <w:t>1 d post, day after; last FU, last follow-up; PR, pulmonary valve regurgitation; PS, pulmonary valve stenosis.</w:t>
      </w:r>
    </w:p>
    <w:p>
      <w:pPr>
        <w:pStyle w:val="Normal"/>
        <w:tabs>
          <w:tab w:val="clear" w:pos="719"/>
          <w:tab w:val="left" w:pos="440" w:leader="none"/>
        </w:tabs>
        <w:spacing w:before="240" w:after="60"/>
        <w:rPr>
          <w:b/>
          <w:b/>
          <w:i/>
          <w:i/>
          <w:szCs w:val="22"/>
        </w:rPr>
      </w:pPr>
      <w:r>
        <w:rPr>
          <w:b/>
          <w:i/>
          <w:szCs w:val="22"/>
        </w:rPr>
        <w:t>3.3 Complications of BVP</w:t>
      </w:r>
    </w:p>
    <w:p>
      <w:pPr>
        <w:pStyle w:val="Normal"/>
        <w:tabs>
          <w:tab w:val="clear" w:pos="719"/>
          <w:tab w:val="left" w:pos="440" w:leader="none"/>
        </w:tabs>
        <w:spacing w:before="0" w:after="0"/>
        <w:ind w:firstLine="440"/>
        <w:rPr>
          <w:lang w:val="en-GB"/>
        </w:rPr>
      </w:pPr>
      <w:r>
        <w:rPr>
          <w:lang w:val="en-GB"/>
        </w:rPr>
        <w:t xml:space="preserve">In eight patients (5.6 %) complications during or after BVP occurred, determined as minor (n=4), moderate (n=3), and severe (n=1). Minor complications included transient arrhythmias during BVP (n=3), and intraprocedural small local femoral vein bleeding complication during sheath exchange (n=1), both complications were self-limiting and needed no further treatment. Moderate complications were supraventricular tachycardia treated by adenosine application (n=1), infundibular RV muscle spasm treated by beta-blocking agent during BVP (n=1) and a vessel injury of the right femoral vein, which was closed by detachable coils (n=1). Major complication occurred in a neonate 30 days after BVP with infective endocarditis of the PV due to </w:t>
      </w:r>
      <w:r>
        <w:rPr>
          <w:i/>
          <w:iCs/>
          <w:lang w:val="en-GB"/>
        </w:rPr>
        <w:t>Staphylococcus aureus</w:t>
      </w:r>
      <w:r>
        <w:rPr>
          <w:lang w:val="en-GB"/>
        </w:rPr>
        <w:t xml:space="preserve"> (n=1). The PV had to be replaced by surgery after six weeks due to a paravalvular abscess formation. Three children died during further follow-up – none of these deaths were procedure-related. The reasons for death were necrotizing enterocolitis (5 weeks after BVP due to critical PS), ponsglioma (6 years after BVP), and postoperative sudden cardiac death (6 weeks after secondary surgery for supravalvular PS).</w:t>
      </w:r>
    </w:p>
    <w:p>
      <w:pPr>
        <w:pStyle w:val="Normal"/>
        <w:tabs>
          <w:tab w:val="clear" w:pos="719"/>
          <w:tab w:val="left" w:pos="440" w:leader="none"/>
        </w:tabs>
        <w:spacing w:before="240" w:after="60"/>
        <w:rPr>
          <w:b/>
          <w:b/>
          <w:i/>
          <w:i/>
          <w:szCs w:val="22"/>
        </w:rPr>
      </w:pPr>
      <w:r>
        <w:rPr>
          <w:b/>
          <w:i/>
          <w:szCs w:val="22"/>
        </w:rPr>
        <w:t>3.4 Additional procedures – interventional or surgical</w:t>
      </w:r>
    </w:p>
    <w:p>
      <w:pPr>
        <w:pStyle w:val="Normal"/>
        <w:tabs>
          <w:tab w:val="clear" w:pos="719"/>
          <w:tab w:val="left" w:pos="440" w:leader="none"/>
        </w:tabs>
        <w:spacing w:before="0" w:after="0"/>
        <w:ind w:firstLine="440"/>
        <w:rPr>
          <w:lang w:val="en-GB"/>
        </w:rPr>
      </w:pPr>
      <w:r>
        <w:rPr>
          <w:lang w:val="en-GB"/>
        </w:rPr>
        <w:t xml:space="preserve">Freedom of additional procedures was 90.2 % after 1.4 years for the total patient group, 74.2 % for patients with and 94.6 % for patients without additional supravalvular PS and did not change during further medium-term follow-up </w:t>
      </w:r>
      <w:r>
        <w:rPr>
          <w:iCs/>
          <w:lang w:val="en-GB"/>
        </w:rPr>
        <w:t>Fig. 3</w:t>
      </w:r>
      <w:r>
        <w:rPr>
          <w:lang w:val="en-GB"/>
        </w:rPr>
        <w:t>. Additional procedures became necessary</w:t>
      </w:r>
      <w:r>
        <w:rPr>
          <w:b/>
          <w:bCs/>
          <w:lang w:val="en-GB"/>
        </w:rPr>
        <w:t xml:space="preserve"> </w:t>
      </w:r>
      <w:r>
        <w:rPr>
          <w:lang w:val="en-GB"/>
        </w:rPr>
        <w:t>in 14 patients (9.8 %) after 0.2 (0.1–0.7) years Tab. 1. Reasons for additional procedures were residual PS (n=13) and infective endocarditis of PV (n=1). Residual PS was localised at valvular (n=3), subvalvular (n=2), or supravalvular (n=8) level. Additional procedures for PV restenosis were performed by cardiac surgery (n=7, among them n=6 due to supravalvular PS) or by a second (n=5) or a third (n=1) BVP procedure. One patient was operated for surgical ASD closure, but also received an additional pulmonary valvotomy, which by itself would not have been indicated due to low residual RV-to-PA pressure gradient (24 mmHg).</w:t>
      </w:r>
    </w:p>
    <w:p>
      <w:pPr>
        <w:pStyle w:val="Normal"/>
        <w:tabs>
          <w:tab w:val="clear" w:pos="719"/>
          <w:tab w:val="left" w:pos="440" w:leader="none"/>
        </w:tabs>
        <w:spacing w:before="0" w:after="0"/>
        <w:ind w:firstLine="440"/>
        <w:rPr>
          <w:lang w:val="en-GB"/>
        </w:rPr>
      </w:pPr>
      <w:r>
        <w:rPr>
          <w:lang w:val="en-GB"/>
        </w:rPr>
        <w:t xml:space="preserve">Factors determining an additional procedure were an associated supravalvular PS (p=0.002) resulting in a higher immediate residual pressure gradient at cath (p&lt;0.001). These findings were also associated with a prolonged procedure time of cardiac catheterization (p=0.006), a higher number of balloons used (p </w:t>
      </w:r>
      <w:r>
        <w:rPr>
          <w:spacing w:val="-2"/>
          <w:lang w:val="en-GB"/>
        </w:rPr>
        <w:t>&lt;0.001) and a higher peak Doppler pressure gradient on echocardiography (p&lt;0.001) on the day after procedure. We did not find an influence for additional procedures after BVP of associated genetic syndromes.</w:t>
      </w:r>
    </w:p>
    <w:p>
      <w:pPr>
        <w:pStyle w:val="Normal"/>
        <w:rPr>
          <w:szCs w:val="18"/>
          <w:lang w:val="en-GB"/>
        </w:rPr>
      </w:pPr>
      <w:r>
        <w:drawing>
          <wp:anchor behindDoc="0" distT="0" distB="0" distL="114300" distR="114300" simplePos="0" locked="0" layoutInCell="1" allowOverlap="1" relativeHeight="4">
            <wp:simplePos x="0" y="0"/>
            <wp:positionH relativeFrom="margin">
              <wp:posOffset>45085</wp:posOffset>
            </wp:positionH>
            <wp:positionV relativeFrom="paragraph">
              <wp:posOffset>222250</wp:posOffset>
            </wp:positionV>
            <wp:extent cx="5852160" cy="3487420"/>
            <wp:effectExtent l="0" t="0" r="0" b="0"/>
            <wp:wrapTopAndBottom/>
            <wp:docPr id="8" name="Grafik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2" descr=""/>
                    <pic:cNvPicPr>
                      <a:picLocks noChangeAspect="1" noChangeArrowheads="1"/>
                    </pic:cNvPicPr>
                  </pic:nvPicPr>
                  <pic:blipFill>
                    <a:blip r:embed="rId10"/>
                    <a:stretch>
                      <a:fillRect/>
                    </a:stretch>
                  </pic:blipFill>
                  <pic:spPr bwMode="auto">
                    <a:xfrm>
                      <a:off x="0" y="0"/>
                      <a:ext cx="5852160" cy="3487420"/>
                    </a:xfrm>
                    <a:prstGeom prst="rect">
                      <a:avLst/>
                    </a:prstGeom>
                  </pic:spPr>
                </pic:pic>
              </a:graphicData>
            </a:graphic>
          </wp:anchor>
        </w:drawing>
      </w:r>
      <w:r>
        <w:rPr>
          <w:szCs w:val="18"/>
          <w:lang w:val="en-GB"/>
        </w:rPr>
        <w:br/>
      </w:r>
      <w:r>
        <w:rPr>
          <w:b/>
          <w:szCs w:val="18"/>
          <w:lang w:val="en-GB"/>
        </w:rPr>
        <w:t>Figure 3</w:t>
      </w:r>
      <w:r>
        <w:rPr>
          <w:b/>
          <w:bCs/>
          <w:szCs w:val="18"/>
          <w:lang w:val="en-GB"/>
        </w:rPr>
        <w:t>:</w:t>
      </w:r>
      <w:r>
        <w:rPr>
          <w:szCs w:val="18"/>
          <w:lang w:val="en-GB"/>
        </w:rPr>
        <w:t xml:space="preserve"> Freedom of additional procedure after pulmonary balloon valvuloplasty with and without additional supravalvular pulmonary stenosis in children.</w:t>
      </w:r>
      <w:r>
        <w:rPr>
          <w:b/>
          <w:i/>
          <w:iCs/>
          <w:szCs w:val="18"/>
        </w:rPr>
        <w:br/>
      </w:r>
      <w:r>
        <w:rPr>
          <w:i/>
          <w:iCs/>
          <w:sz w:val="18"/>
          <w:szCs w:val="18"/>
          <w:lang w:val="en-GB"/>
        </w:rPr>
        <w:t>BVP, balloon valvuloplasty; PS, pulmonary valve stenosis.</w:t>
      </w:r>
    </w:p>
    <w:p>
      <w:pPr>
        <w:pStyle w:val="Normal"/>
        <w:widowControl w:val="false"/>
        <w:tabs>
          <w:tab w:val="clear" w:pos="719"/>
          <w:tab w:val="left" w:pos="440" w:leader="none"/>
        </w:tabs>
        <w:snapToGrid w:val="false"/>
        <w:spacing w:before="240" w:after="60"/>
        <w:rPr>
          <w:b/>
          <w:b/>
          <w:szCs w:val="22"/>
        </w:rPr>
      </w:pPr>
      <w:r>
        <w:rPr>
          <w:b/>
          <w:szCs w:val="22"/>
        </w:rPr>
        <w:t>4 Discussion</w:t>
      </w:r>
    </w:p>
    <w:p>
      <w:pPr>
        <w:pStyle w:val="Normal"/>
        <w:tabs>
          <w:tab w:val="clear" w:pos="719"/>
          <w:tab w:val="left" w:pos="440" w:leader="none"/>
        </w:tabs>
        <w:spacing w:before="0" w:after="0"/>
        <w:ind w:firstLine="440"/>
        <w:rPr>
          <w:lang w:val="en-GB"/>
        </w:rPr>
      </w:pPr>
      <w:r>
        <w:rPr>
          <w:lang w:val="en-GB"/>
        </w:rPr>
        <w:t xml:space="preserve">This data analysis of the medium-term results of BVP in native PS revealed excellent technical efficacy, </w:t>
      </w:r>
      <w:r>
        <w:rPr>
          <w:spacing w:val="-3"/>
          <w:lang w:val="en-GB"/>
        </w:rPr>
        <w:t xml:space="preserve">high procedural safety, and low complication rate as well as a long-lasting efficacy during follow-up Fig. 1. </w:t>
      </w:r>
      <w:r>
        <w:rPr>
          <w:lang w:val="en-GB"/>
        </w:rPr>
        <w:t>These findings are according to the literature.</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t>[9–11, 27]</w:t>
      </w:r>
      <w:r>
        <w:rPr>
          <w:lang w:val="en-GB"/>
        </w:rPr>
      </w:r>
      <w:r>
        <w:rPr>
          <w:lang w:val="en-GB"/>
        </w:rPr>
        <w:fldChar w:fldCharType="end"/>
      </w:r>
    </w:p>
    <w:p>
      <w:pPr>
        <w:pStyle w:val="Normal"/>
        <w:tabs>
          <w:tab w:val="clear" w:pos="719"/>
          <w:tab w:val="left" w:pos="440" w:leader="none"/>
        </w:tabs>
        <w:spacing w:before="0" w:after="0"/>
        <w:ind w:firstLine="440"/>
        <w:rPr>
          <w:lang w:val="en-GB"/>
        </w:rPr>
      </w:pPr>
      <w:r>
        <w:rPr>
          <w:lang w:val="en-GB"/>
        </w:rPr>
        <w:t>Despite an overall freedom of additional procedures of more than 90 % over a follow-up of more than five years, patients needed reintervention early during follow-up until 1.4 years after initial BVP (</w:t>
      </w:r>
      <w:r>
        <w:rPr>
          <w:iCs/>
          <w:lang w:val="en-GB"/>
        </w:rPr>
        <w:t>Fig. 3</w:t>
      </w:r>
      <w:r>
        <w:rPr>
          <w:lang w:val="en-GB"/>
        </w:rPr>
        <w:t>). Karagoz et al. reported procedural success as time of freedom from reintervention for one year after BVP.</w:t>
      </w:r>
      <w:r>
        <w:fldChar w:fldCharType="begin"/>
      </w:r>
      <w:r>
        <w:rPr>
          <w:lang w:val="en-GB"/>
        </w:rPr>
        <w:instrText>ADDIN EN.CITE &lt;EndNote&gt;&lt;Cite&gt;&lt;Author&gt;Karagoz&lt;/Author&gt;&lt;Year&gt;2009&lt;/Year&gt;&lt;IDText&gt;Balloon dilation of pulmonary valve stenosis in infants less than 3 kg: a 20-year experience&lt;/IDText&gt;&lt;DisplayText&gt;(27)&lt;/DisplayText&gt;&lt;record&gt;&lt;dates&gt;&lt;pub-dates&gt;&lt;date&gt;Nov&lt;/date&gt;&lt;/pub-dates&gt;&lt;year&gt;2009&lt;/year&gt;&lt;/dates&gt;&lt;keywords&gt;&lt;keyword&gt;Abnormalities, Multiple&lt;/keyword&gt;&lt;keyword&gt;Birth Weight&lt;/keyword&gt;&lt;keyword&gt;Cardiac Catheterization&lt;/keyword&gt;&lt;keyword&gt;Catheterization&lt;/keyword&gt;&lt;keyword&gt;Cineangiography&lt;/keyword&gt;&lt;keyword&gt;Coronary Circulation&lt;/keyword&gt;&lt;keyword&gt;Echocardiography&lt;/keyword&gt;&lt;keyword&gt;Female&lt;/keyword&gt;&lt;keyword&gt;Humans&lt;/keyword&gt;&lt;keyword&gt;Infant&lt;/keyword&gt;&lt;keyword&gt;Infant, Low Birth Weight&lt;/keyword&gt;&lt;keyword&gt;Infant, Newborn&lt;/keyword&gt;&lt;keyword&gt;Male&lt;/keyword&gt;&lt;keyword&gt;Pulmonary Valve Insufficiency&lt;/keyword&gt;&lt;keyword&gt;Pulmonary Valve Stenosis&lt;/keyword&gt;&lt;keyword&gt;Retrospective Studies&lt;/keyword&gt;&lt;keyword&gt;Severity of Illness Index&lt;/keyword&gt;&lt;keyword&gt;Survival Analysis&lt;/keyword&gt;&lt;keyword&gt;Time Factors&lt;/keyword&gt;&lt;keyword&gt;Treatment Outcome&lt;/keyword&gt;&lt;keyword&gt;Ventricular Pressure&lt;/keyword&gt;&lt;/keywords&gt;&lt;urls&gt;&lt;related-urls&gt;&lt;url&gt;https://www.ncbi.nlm.nih.gov/pubmed/19496127&lt;/url&gt;&lt;/related-urls&gt;&lt;/urls&gt;&lt;isbn&gt;1522-726X&lt;/isbn&gt;&lt;titles&gt;&lt;title&gt;Balloon dilation of pulmonary valve stenosis in infants less than 3 kg: a 20-year experience&lt;/title&gt;&lt;secondary-title&gt;Catheter Cardiovasc Interv&lt;/secondary-title&gt;&lt;/titles&gt;&lt;pages&gt;753-61&lt;/pages&gt;&lt;number&gt;5&lt;/number&gt;&lt;contributors&gt;&lt;authors&gt;&lt;author&gt;Karagoz, T.&lt;/author&gt;&lt;author&gt;Asoh, K.&lt;/author&gt;&lt;author&gt;Hickey, E.&lt;/author&gt;&lt;author&gt;Chaturvedi, R.&lt;/author&gt;&lt;author&gt;Lee, K. J.&lt;/author&gt;&lt;author&gt;Nykanen, D.&lt;/author&gt;&lt;author&gt;Benson, L.&lt;/author&gt;&lt;/authors&gt;&lt;/contributors&gt;&lt;language&gt;eng&lt;/language&gt;&lt;added-date format="utc"&gt;1570278931&lt;/added-date&gt;&lt;ref-type name="Journal Article"&gt;17&lt;/ref-type&gt;&lt;rec-number&gt;51&lt;/rec-number&gt;&lt;last-updated-date format="utc"&gt;1570278931&lt;/last-updated-date&gt;&lt;accession-num&gt;19496127&lt;/accession-num&gt;&lt;electronic-resource-num&gt;10.1002/ccd.22064&lt;/electronic-resource-num&gt;&lt;volume&gt;74&lt;/volume&gt;&lt;/record&gt;&lt;/Cite&gt;&lt;/EndNote&gt;</w:instrText>
      </w:r>
      <w:r>
        <w:rPr>
          <w:lang w:val="en-GB"/>
        </w:rPr>
      </w:r>
      <w:r>
        <w:rPr>
          <w:lang w:val="en-GB"/>
        </w:rPr>
        <w:fldChar w:fldCharType="separate"/>
      </w:r>
      <w:r>
        <w:rPr>
          <w:lang w:val="en-GB"/>
        </w:rPr>
        <w:t>[27]</w:t>
      </w:r>
      <w:r>
        <w:rPr>
          <w:lang w:val="en-GB"/>
        </w:rPr>
      </w:r>
      <w:r>
        <w:rPr>
          <w:lang w:val="en-GB"/>
        </w:rPr>
        <w:fldChar w:fldCharType="end"/>
      </w:r>
      <w:r>
        <w:rPr>
          <w:lang w:val="en-GB"/>
        </w:rPr>
        <w:t xml:space="preserve"> Our rate of additional procedures is comparable with other groups.</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t>[8, 11, 12]</w:t>
      </w:r>
      <w:r>
        <w:rPr>
          <w:lang w:val="en-GB"/>
        </w:rPr>
      </w:r>
      <w:r>
        <w:rPr>
          <w:lang w:val="en-GB"/>
        </w:rPr>
        <w:fldChar w:fldCharType="end"/>
      </w:r>
      <w:r>
        <w:rPr>
          <w:lang w:val="en-GB"/>
        </w:rPr>
        <w:t xml:space="preserve"> Residual PS was the most frequent reason for additional procedures, while PR did not lead to reintervention and may only mildly develop during follow-up (Fig. 2). In patients with residual PS, secondary BVP was the treatment of choice for valvular PS and was successful, but in patients with combined valvular and supravalvular restenosis, surgery was performed, as recommended by the AHA.</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t>[16, 22]</w:t>
      </w:r>
      <w:r>
        <w:rPr>
          <w:lang w:val="en-GB"/>
        </w:rPr>
      </w:r>
      <w:r>
        <w:rPr>
          <w:lang w:val="en-GB"/>
        </w:rPr>
        <w:fldChar w:fldCharType="end"/>
      </w:r>
      <w:r>
        <w:rPr>
          <w:lang w:val="en-GB"/>
        </w:rPr>
        <w:t xml:space="preserve"> While the efficacy of BVP in children with isolated valvular PS is excellent, pulmonary BVP has limitations in children with a combined valvular and supravalvular PS </w:t>
      </w:r>
      <w:r>
        <w:fldChar w:fldCharType="begin"/>
      </w:r>
      <w:r>
        <w:rPr>
          <w:lang w:val="en-GB"/>
        </w:rPr>
        <w:instrText>ADDIN EN.CITE &lt;EndNote&gt;&lt;Cite&gt;&lt;Author&gt;Poupart&lt;/Author&gt;&lt;Year&gt;2021&lt;/Year&gt;&lt;IDText&gt;Supravalvular and Valvular Pulmonary Stenosis: Predictive Features and Responsiveness to Percutaneous Dilation&lt;/IDText&gt;&lt;DisplayText&gt;(21)&lt;/DisplayText&gt;&lt;record&gt;&lt;dates&gt;&lt;pub-dates&gt;&lt;date&gt;Jan&lt;/date&gt;&lt;/pub-dates&gt;&lt;year&gt;2021&lt;/year&gt;&lt;/dates&gt;&lt;keywords&gt;&lt;keyword&gt;Balloon valvuloplasty&lt;/keyword&gt;&lt;keyword&gt;Congenital heart disease&lt;/keyword&gt;&lt;keyword&gt;Percutaneous&lt;/keyword&gt;&lt;keyword&gt;Supravalvular pulmonary stenosis&lt;/keyword&gt;&lt;keyword&gt;Valvular pulmonary stenosis&lt;/keyword&gt;&lt;/keywords&gt;&lt;urls&gt;&lt;related-urls&gt;&lt;url&gt;https://www.ncbi.nlm.nih.gov/pubmed/33464372&lt;/url&gt;&lt;/related-urls&gt;&lt;/urls&gt;&lt;isbn&gt;1432-1971&lt;/isbn&gt;&lt;titles&gt;&lt;title&gt;Supravalvular and Valvular Pulmonary Stenosis: Predictive Features and Responsiveness to Percutaneous Dilation&lt;/title&gt;&lt;secondary-title&gt;Pediatr Cardiol&lt;/secondary-title&gt;&lt;/titles&gt;&lt;contributors&gt;&lt;authors&gt;&lt;author&gt;Poupart, S.&lt;/author&gt;&lt;author&gt;Navarro-Castellanos, I.&lt;/author&gt;&lt;author&gt;Raboisson, M. J.&lt;/author&gt;&lt;author&gt;Lapierre, C.&lt;/author&gt;&lt;author&gt;Dery, J.&lt;/author&gt;&lt;author&gt;Miró, J.&lt;/author&gt;&lt;author&gt;Dahdah, N.&lt;/author&gt;&lt;/authors&gt;&lt;/contributors&gt;&lt;edition&gt;2021/01/19&lt;/edition&gt;&lt;language&gt;eng&lt;/language&gt;&lt;added-date format="utc"&gt;1616858412&lt;/added-date&gt;&lt;ref-type name="Journal Article"&gt;17&lt;/ref-type&gt;&lt;rec-number&gt;181&lt;/rec-number&gt;&lt;last-updated-date format="utc"&gt;1616858412&lt;/last-updated-date&gt;&lt;accession-num&gt;33464372&lt;/accession-num&gt;&lt;electronic-resource-num&gt;10.1007/s00246-021-02545-w&lt;/electronic-resource-num&gt;&lt;/record&gt;&lt;/Cite&gt;&lt;/EndNote&gt;</w:instrText>
      </w:r>
      <w:r>
        <w:rPr>
          <w:lang w:val="en-GB"/>
        </w:rPr>
      </w:r>
      <w:r>
        <w:rPr>
          <w:lang w:val="en-GB"/>
        </w:rPr>
        <w:fldChar w:fldCharType="separate"/>
      </w:r>
      <w:r>
        <w:rPr>
          <w:lang w:val="en-GB"/>
        </w:rPr>
        <w:t>[21]</w:t>
      </w:r>
      <w:r>
        <w:rPr>
          <w:lang w:val="en-GB"/>
        </w:rPr>
      </w:r>
      <w:r>
        <w:rPr>
          <w:lang w:val="en-GB"/>
        </w:rPr>
        <w:fldChar w:fldCharType="end"/>
      </w:r>
      <w:r>
        <w:rPr>
          <w:lang w:val="en-GB"/>
        </w:rPr>
        <w:t>, attributing to the high number of additional procedures needed in our cohort (</w:t>
      </w:r>
      <w:r>
        <w:rPr>
          <w:i/>
          <w:iCs/>
          <w:lang w:val="en-GB"/>
        </w:rPr>
        <w:t>Tab. 1</w:t>
      </w:r>
      <w:r>
        <w:rPr>
          <w:lang w:val="en-GB"/>
        </w:rPr>
        <w:t xml:space="preserve">). The number of additional supravalvular PS was high (21.7 %), requiring more aggressive procedural BVP, but with a comparable low number of complications and good success rate of BVP (23 of 31 patients, 74 %). Nevertheless, supravalvular PS has been described as risk factor for procedural failure </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t>[13, 21]</w:t>
      </w:r>
      <w:r>
        <w:rPr>
          <w:lang w:val="en-GB"/>
        </w:rPr>
      </w:r>
      <w:r>
        <w:rPr>
          <w:lang w:val="en-GB"/>
        </w:rPr>
        <w:fldChar w:fldCharType="end"/>
      </w:r>
      <w:r>
        <w:rPr>
          <w:lang w:val="en-GB"/>
        </w:rPr>
        <w:t xml:space="preserve"> and its absence as a significant predictor of success.</w:t>
      </w:r>
      <w:r>
        <w:fldChar w:fldCharType="begin"/>
      </w:r>
      <w:r>
        <w:rPr>
          <w:lang w:val="en-GB"/>
        </w:rPr>
        <w:instrText>ADDIN EN.CITE &lt;EndNote&gt;&lt;Cite&gt;&lt;Author&gt;El-Saeidi&lt;/Author&gt;&lt;Year&gt;2020&lt;/Year&gt;&lt;IDText&gt;Experience with balloon pulmonary valvuloplasty and predictors of outcome: a ten-year study&lt;/IDText&gt;&lt;DisplayText&gt;(28)&lt;/DisplayText&gt;&lt;record&gt;&lt;dates&gt;&lt;pub-dates&gt;&lt;date&gt;Feb&lt;/date&gt;&lt;/pub-dates&gt;&lt;year&gt;2020&lt;/year&gt;&lt;/dates&gt;&lt;keywords&gt;&lt;keyword&gt;Valvular pulmonary stenosis&lt;/keyword&gt;&lt;keyword&gt;balloon valvuloplasty&lt;/keyword&gt;&lt;keyword&gt;percutaneous&lt;/keyword&gt;&lt;/keywords&gt;&lt;urls&gt;&lt;related-urls&gt;&lt;url&gt;https://www.ncbi.nlm.nih.gov/pubmed/32070441&lt;/url&gt;&lt;/related-urls&gt;&lt;/urls&gt;&lt;isbn&gt;1467-1107&lt;/isbn&gt;&lt;titles&gt;&lt;title&gt;Experience with balloon pulmonary valvuloplasty and predictors of outcome: a ten-year study&lt;/title&gt;&lt;secondary-title&gt;Cardiol Young&lt;/secondary-title&gt;&lt;/titles&gt;&lt;pages&gt;1-7&lt;/pages&gt;&lt;contributors&gt;&lt;authors&gt;&lt;author&gt;El-Saeidi, S. A.&lt;/author&gt;&lt;author&gt;Hamza, H. S.&lt;/author&gt;&lt;author&gt;Agha, H. M.&lt;/author&gt;&lt;author&gt;Soliman, M. M.&lt;/author&gt;&lt;author&gt;Attia, W. A.&lt;/author&gt;&lt;author&gt;El-Kaffas, R.&lt;/author&gt;&lt;author&gt;Abdel-Aziz, F.&lt;/author&gt;&lt;author&gt;Abdel-Aziz, O.&lt;/author&gt;&lt;author&gt;Shaker, S.&lt;/author&gt;&lt;author&gt;Esmat, A.&lt;/author&gt;&lt;author&gt;Ammar, R.&lt;/author&gt;&lt;author&gt;Fattouh, A.&lt;/author&gt;&lt;author&gt;Mohi-Eldin, K.&lt;/author&gt;&lt;author&gt;El-Sisi, A. M.&lt;/author&gt;&lt;/authors&gt;&lt;/contributors&gt;&lt;edition&gt;2020/02/19&lt;/edition&gt;&lt;language&gt;eng&lt;/language&gt;&lt;added-date format="utc"&gt;1585149693&lt;/added-date&gt;&lt;ref-type name="Journal Article"&gt;17&lt;/ref-type&gt;&lt;rec-number&gt;159&lt;/rec-number&gt;&lt;last-updated-date format="utc"&gt;1585149693&lt;/last-updated-date&gt;&lt;accession-num&gt;32070441&lt;/accession-num&gt;&lt;electronic-resource-num&gt;10.1017/S1047951120000360&lt;/electronic-resource-num&gt;&lt;/record&gt;&lt;/Cite&gt;&lt;/EndNote&gt;</w:instrText>
      </w:r>
      <w:r>
        <w:rPr>
          <w:lang w:val="en-GB"/>
        </w:rPr>
      </w:r>
      <w:r>
        <w:rPr>
          <w:lang w:val="en-GB"/>
        </w:rPr>
        <w:fldChar w:fldCharType="separate"/>
      </w:r>
      <w:r>
        <w:rPr>
          <w:lang w:val="en-GB"/>
        </w:rPr>
        <w:t>[28]</w:t>
      </w:r>
      <w:r>
        <w:rPr>
          <w:lang w:val="en-GB"/>
        </w:rPr>
      </w:r>
      <w:r>
        <w:rPr>
          <w:lang w:val="en-GB"/>
        </w:rPr>
        <w:fldChar w:fldCharType="end"/>
      </w:r>
      <w:r>
        <w:rPr>
          <w:lang w:val="en-GB"/>
        </w:rPr>
        <w:t xml:space="preserve"> Surgery is mentioned as the recommended first line therapy for supravalvular PS </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t>[16, 22]</w:t>
      </w:r>
      <w:r>
        <w:rPr>
          <w:lang w:val="en-GB"/>
        </w:rPr>
      </w:r>
      <w:r>
        <w:rPr>
          <w:lang w:val="en-GB"/>
        </w:rPr>
        <w:fldChar w:fldCharType="end"/>
      </w:r>
      <w:r>
        <w:rPr>
          <w:lang w:val="en-GB"/>
        </w:rPr>
        <w:t>, because only few studies report successful BVP in these patients.</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t>[19–21]</w:t>
      </w:r>
      <w:r>
        <w:rPr>
          <w:lang w:val="en-GB"/>
        </w:rPr>
      </w:r>
      <w:r>
        <w:rPr>
          <w:lang w:val="en-GB"/>
        </w:rPr>
        <w:fldChar w:fldCharType="end"/>
      </w:r>
      <w:r>
        <w:rPr>
          <w:lang w:val="en-GB"/>
        </w:rPr>
        <w:t xml:space="preserve"> The elastic recoil properties of the supravalvular ridge were discussed as one possible contributing factor to the failure of BVP in patients with supravalvular PS.</w:t>
      </w:r>
      <w:r>
        <w:fldChar w:fldCharType="begin"/>
      </w:r>
      <w:r>
        <w:rPr>
          <w:lang w:val="en-GB"/>
        </w:rPr>
        <w:instrText>ADDIN EN.CITE &lt;EndNote&gt;&lt;Cite&gt;&lt;Author&gt;Bacha&lt;/Author&gt;&lt;Year&gt;2004&lt;/Year&gt;&lt;IDText&gt;Autologous repair of supravalvar pulmonic stenosis&lt;/IDText&gt;&lt;DisplayText&gt;(18)&lt;/DisplayText&gt;&lt;record&gt;&lt;dates&gt;&lt;pub-dates&gt;&lt;date&gt;Feb&lt;/date&gt;&lt;/pub-dates&gt;&lt;year&gt;2004&lt;/year&gt;&lt;/dates&gt;&lt;keywords&gt;&lt;keyword&gt;Anastomosis, Surgical&lt;/keyword&gt;&lt;keyword&gt;Child&lt;/keyword&gt;&lt;keyword&gt;Child, Preschool&lt;/keyword&gt;&lt;keyword&gt;Constriction, Pathologic&lt;/keyword&gt;&lt;keyword&gt;Heart Defects, Congenital&lt;/keyword&gt;&lt;keyword&gt;Humans&lt;/keyword&gt;&lt;keyword&gt;Iatrogenic Disease&lt;/keyword&gt;&lt;keyword&gt;Infant&lt;/keyword&gt;&lt;keyword&gt;Postoperative Complications&lt;/keyword&gt;&lt;keyword&gt;Pulmonary Artery&lt;/keyword&gt;&lt;keyword&gt;Pulmonary Valve&lt;/keyword&gt;&lt;keyword&gt;Pulmonary Valve Stenosis&lt;/keyword&gt;&lt;keyword&gt;Reoperation&lt;/keyword&gt;&lt;keyword&gt;Suture Techniques&lt;/keyword&gt;&lt;/keywords&gt;&lt;urls&gt;&lt;related-urls&gt;&lt;url&gt;https://www.ncbi.nlm.nih.gov/pubmed/14759482&lt;/url&gt;&lt;/related-urls&gt;&lt;/urls&gt;&lt;isbn&gt;0003-4975&lt;/isbn&gt;&lt;titles&gt;&lt;title&gt;Autologous repair of supravalvar pulmonic stenosis&lt;/title&gt;&lt;secondary-title&gt;Ann Thorac Surg&lt;/secondary-title&gt;&lt;/titles&gt;&lt;pages&gt;734-6&lt;/pages&gt;&lt;number&gt;2&lt;/number&gt;&lt;contributors&gt;&lt;authors&gt;&lt;author&gt;Bacha, E. A.&lt;/author&gt;&lt;author&gt;Kalimi, R.&lt;/author&gt;&lt;author&gt;Starr, J. P.&lt;/author&gt;&lt;author&gt;Quinones, J.&lt;/author&gt;&lt;author&gt;Koenig, P.&lt;/author&gt;&lt;/authors&gt;&lt;/contributors&gt;&lt;language&gt;eng&lt;/language&gt;&lt;added-date format="utc"&gt;1585176293&lt;/added-date&gt;&lt;ref-type name="Journal Article"&gt;17&lt;/ref-type&gt;&lt;rec-number&gt;161&lt;/rec-number&gt;&lt;last-updated-date format="utc"&gt;1585176293&lt;/last-updated-date&gt;&lt;accession-num&gt;14759482&lt;/accession-num&gt;&lt;electronic-resource-num&gt;10.1016/S0003-4975(03)01053-1&lt;/electronic-resource-num&gt;&lt;volume&gt;77&lt;/volume&gt;&lt;/record&gt;&lt;/Cite&gt;&lt;/EndNote&gt;</w:instrText>
      </w:r>
      <w:r>
        <w:rPr>
          <w:lang w:val="en-GB"/>
        </w:rPr>
      </w:r>
      <w:r>
        <w:rPr>
          <w:lang w:val="en-GB"/>
        </w:rPr>
        <w:fldChar w:fldCharType="separate"/>
      </w:r>
      <w:r>
        <w:rPr>
          <w:lang w:val="en-GB"/>
        </w:rPr>
        <w:t>[18]</w:t>
      </w:r>
      <w:r>
        <w:rPr>
          <w:lang w:val="en-GB"/>
        </w:rPr>
      </w:r>
      <w:r>
        <w:rPr>
          <w:lang w:val="en-GB"/>
        </w:rPr>
        <w:fldChar w:fldCharType="end"/>
      </w:r>
    </w:p>
    <w:p>
      <w:pPr>
        <w:pStyle w:val="Normal"/>
        <w:tabs>
          <w:tab w:val="clear" w:pos="719"/>
          <w:tab w:val="left" w:pos="440" w:leader="none"/>
        </w:tabs>
        <w:spacing w:before="0" w:after="0"/>
        <w:ind w:firstLine="440"/>
        <w:rPr>
          <w:lang w:val="en-GB"/>
        </w:rPr>
      </w:pPr>
      <w:r>
        <w:rPr>
          <w:lang w:val="en-GB"/>
        </w:rPr>
        <w:t>From our perspective, supravalvular PS can be treated by pulmonary balloon angioplasty with a procedural success rate of almost 75 %, which is in comparison to neonatal cardiac surgery a less invasive procedure in small children.</w:t>
      </w:r>
      <w:r>
        <w:fldChar w:fldCharType="begin"/>
      </w:r>
      <w:r>
        <w:rPr>
          <w:lang w:val="en-GB"/>
        </w:rPr>
        <w:instrText>ADDIN EN.CITE &lt;EndNote&gt;&lt;Cite&gt;&lt;Author&gt;Peterson&lt;/Author&gt;&lt;Year&gt;2003&lt;/Year&gt;&lt;IDText&gt;Comparative long-term results of surgery versus balloon valvuloplasty for pulmonary valve stenosis in infants and children&lt;/IDText&gt;&lt;DisplayText&gt;(8)&lt;/DisplayText&gt;&lt;record&gt;&lt;dates&gt;&lt;pub-dates&gt;&lt;date&gt;Oct&lt;/date&gt;&lt;/pub-dates&gt;&lt;year&gt;2003&lt;/year&gt;&lt;/dates&gt;&lt;keywords&gt;&lt;keyword&gt;Catheterization&lt;/keyword&gt;&lt;keyword&gt;Child, Preschool&lt;/keyword&gt;&lt;keyword&gt;Follow-Up Studies&lt;/keyword&gt;&lt;keyword&gt;Heart Septal Defects, Atrial&lt;/keyword&gt;&lt;keyword&gt;Heart Septal Defects, Ventricular&lt;/keyword&gt;&lt;keyword&gt;Humans&lt;/keyword&gt;&lt;keyword&gt;Infant&lt;/keyword&gt;&lt;keyword&gt;Pulmonary Valve&lt;/keyword&gt;&lt;keyword&gt;Pulmonary Valve Stenosis&lt;/keyword&gt;&lt;keyword&gt;Recurrence&lt;/keyword&gt;&lt;keyword&gt;Retrospective Studies&lt;/keyword&gt;&lt;/keywords&gt;&lt;urls&gt;&lt;related-urls&gt;&lt;url&gt;https://www.ncbi.nlm.nih.gov/pubmed/14529989&lt;/url&gt;&lt;/related-urls&gt;&lt;/urls&gt;&lt;isbn&gt;0003-4975&lt;/isbn&gt;&lt;titles&gt;&lt;title&gt;Comparative long-term results of surgery versus balloon valvuloplasty for pulmonary valve stenosis in infants and children&lt;/title&gt;&lt;secondary-title&gt;Ann Thorac Surg&lt;/secondary-title&gt;&lt;/titles&gt;&lt;pages&gt;1078-82; discussion 1082-3&lt;/pages&gt;&lt;number&gt;4&lt;/number&gt;&lt;contributors&gt;&lt;authors&gt;&lt;author&gt;Peterson, C.&lt;/author&gt;&lt;author&gt;Schilthuis, J. J.&lt;/author&gt;&lt;author&gt;Dodge-Khatami, A.&lt;/author&gt;&lt;author&gt;Hitchcock, J. F.&lt;/author&gt;&lt;author&gt;Meijboom, E. J.&lt;/author&gt;&lt;author&gt;Bennink, G. B.&lt;/author&gt;&lt;/authors&gt;&lt;/contributors&gt;&lt;language&gt;eng&lt;/language&gt;&lt;added-date format="utc"&gt;1578395385&lt;/added-date&gt;&lt;ref-type name="Journal Article"&gt;17&lt;/ref-type&gt;&lt;rec-number&gt;80&lt;/rec-number&gt;&lt;last-updated-date format="utc"&gt;1578395385&lt;/last-updated-date&gt;&lt;accession-num&gt;14529989&lt;/accession-num&gt;&lt;electronic-resource-num&gt;10.1016/s0003-4975(03)00678-7&lt;/electronic-resource-num&gt;&lt;volume&gt;76&lt;/volume&gt;&lt;/record&gt;&lt;/Cite&gt;&lt;/EndNote&gt;</w:instrText>
      </w:r>
      <w:r>
        <w:rPr>
          <w:lang w:val="en-GB"/>
        </w:rPr>
      </w:r>
      <w:r>
        <w:rPr>
          <w:lang w:val="en-GB"/>
        </w:rPr>
        <w:fldChar w:fldCharType="separate"/>
      </w:r>
      <w:r>
        <w:rPr>
          <w:lang w:val="en-GB"/>
        </w:rPr>
        <w:t>[8]</w:t>
      </w:r>
      <w:r>
        <w:rPr>
          <w:lang w:val="en-GB"/>
        </w:rPr>
      </w:r>
      <w:r>
        <w:rPr>
          <w:lang w:val="en-GB"/>
        </w:rPr>
        <w:fldChar w:fldCharType="end"/>
      </w:r>
      <w:r>
        <w:rPr>
          <w:lang w:val="en-GB"/>
        </w:rPr>
        <w:t xml:space="preserve"> Our findings are comparable to a recently published trial where the reintervention rate was 32 % in patients with supravalvular PS.</w:t>
      </w:r>
      <w:r>
        <w:fldChar w:fldCharType="begin"/>
      </w:r>
      <w:r>
        <w:rPr>
          <w:lang w:val="en-GB"/>
        </w:rPr>
        <w:instrText>ADDIN EN.CITE &lt;EndNote&gt;&lt;Cite&gt;&lt;Author&gt;Poupart&lt;/Author&gt;&lt;Year&gt;2021&lt;/Year&gt;&lt;IDText&gt;Supravalvular and Valvular Pulmonary Stenosis: Predictive Features and Responsiveness to Percutaneous Dilation&lt;/IDText&gt;&lt;DisplayText&gt;(21)&lt;/DisplayText&gt;&lt;record&gt;&lt;dates&gt;&lt;pub-dates&gt;&lt;date&gt;Jan&lt;/date&gt;&lt;/pub-dates&gt;&lt;year&gt;2021&lt;/year&gt;&lt;/dates&gt;&lt;keywords&gt;&lt;keyword&gt;Balloon valvuloplasty&lt;/keyword&gt;&lt;keyword&gt;Congenital heart disease&lt;/keyword&gt;&lt;keyword&gt;Percutaneous&lt;/keyword&gt;&lt;keyword&gt;Supravalvular pulmonary stenosis&lt;/keyword&gt;&lt;keyword&gt;Valvular pulmonary stenosis&lt;/keyword&gt;&lt;/keywords&gt;&lt;urls&gt;&lt;related-urls&gt;&lt;url&gt;https://www.ncbi.nlm.nih.gov/pubmed/33464372&lt;/url&gt;&lt;/related-urls&gt;&lt;/urls&gt;&lt;isbn&gt;1432-1971&lt;/isbn&gt;&lt;titles&gt;&lt;title&gt;Supravalvular and Valvular Pulmonary Stenosis: Predictive Features and Responsiveness to Percutaneous Dilation&lt;/title&gt;&lt;secondary-title&gt;Pediatr Cardiol&lt;/secondary-title&gt;&lt;/titles&gt;&lt;contributors&gt;&lt;authors&gt;&lt;author&gt;Poupart, S.&lt;/author&gt;&lt;author&gt;Navarro-Castellanos, I.&lt;/author&gt;&lt;author&gt;Raboisson, M. J.&lt;/author&gt;&lt;author&gt;Lapierre, C.&lt;/author&gt;&lt;author&gt;Dery, J.&lt;/author&gt;&lt;author&gt;Miró, J.&lt;/author&gt;&lt;author&gt;Dahdah, N.&lt;/author&gt;&lt;/authors&gt;&lt;/contributors&gt;&lt;edition&gt;2021/01/19&lt;/edition&gt;&lt;language&gt;eng&lt;/language&gt;&lt;added-date format="utc"&gt;1616858412&lt;/added-date&gt;&lt;ref-type name="Journal Article"&gt;17&lt;/ref-type&gt;&lt;rec-number&gt;181&lt;/rec-number&gt;&lt;last-updated-date format="utc"&gt;1616858412&lt;/last-updated-date&gt;&lt;accession-num&gt;33464372&lt;/accession-num&gt;&lt;electronic-resource-num&gt;10.1007/s00246-021-02545-w&lt;/electronic-resource-num&gt;&lt;/record&gt;&lt;/Cite&gt;&lt;/EndNote&gt;</w:instrText>
      </w:r>
      <w:r>
        <w:rPr>
          <w:lang w:val="en-GB"/>
        </w:rPr>
      </w:r>
      <w:r>
        <w:rPr>
          <w:lang w:val="en-GB"/>
        </w:rPr>
        <w:fldChar w:fldCharType="separate"/>
      </w:r>
      <w:r>
        <w:rPr>
          <w:lang w:val="en-GB"/>
        </w:rPr>
        <w:t>[21]</w:t>
      </w:r>
      <w:r>
        <w:rPr>
          <w:lang w:val="en-GB"/>
        </w:rPr>
      </w:r>
      <w:r>
        <w:rPr>
          <w:lang w:val="en-GB"/>
        </w:rPr>
        <w:fldChar w:fldCharType="end"/>
      </w:r>
      <w:r>
        <w:rPr>
          <w:lang w:val="en-GB"/>
        </w:rPr>
        <w:t xml:space="preserve"> A higher balloon-to-PV annulus up to 1.4 can be used without a higher rate of complications (</w:t>
      </w:r>
      <w:r>
        <w:rPr>
          <w:i/>
          <w:iCs/>
          <w:lang w:val="en-GB"/>
        </w:rPr>
        <w:t>Tab. 1</w:t>
      </w:r>
      <w:r>
        <w:rPr>
          <w:lang w:val="en-GB"/>
        </w:rPr>
        <w:t>). Of note, the number of PR is lower in patients with combined valvular and supravalvular PS, which underlines the more relevant aspect of the supravalvular PS (</w:t>
      </w:r>
      <w:r>
        <w:rPr>
          <w:i/>
          <w:iCs/>
          <w:lang w:val="en-GB"/>
        </w:rPr>
        <w:t>Tab. 1</w:t>
      </w:r>
      <w:r>
        <w:rPr>
          <w:lang w:val="en-GB"/>
        </w:rPr>
        <w:t>). Further studies need to investigate which patients with supravalvular PS might be successfully treated by BVP and which might not.</w:t>
      </w:r>
      <w:r>
        <w:fldChar w:fldCharType="begin"/>
      </w:r>
      <w:r>
        <w:rPr>
          <w:lang w:val="en-GB"/>
        </w:rPr>
        <w:instrText>ADDIN EN.CITE &lt;EndNote&gt;&lt;Cite&gt;&lt;Author&gt;Poupart&lt;/Author&gt;&lt;Year&gt;2021&lt;/Year&gt;&lt;IDText&gt;Supravalvular and Valvular Pulmonary Stenosis: Predictive Features and Responsiveness to Percutaneous Dilation&lt;/IDText&gt;&lt;DisplayText&gt;(21)&lt;/DisplayText&gt;&lt;record&gt;&lt;dates&gt;&lt;pub-dates&gt;&lt;date&gt;Jan&lt;/date&gt;&lt;/pub-dates&gt;&lt;year&gt;2021&lt;/year&gt;&lt;/dates&gt;&lt;keywords&gt;&lt;keyword&gt;Balloon valvuloplasty&lt;/keyword&gt;&lt;keyword&gt;Congenital heart disease&lt;/keyword&gt;&lt;keyword&gt;Percutaneous&lt;/keyword&gt;&lt;keyword&gt;Supravalvular pulmonary stenosis&lt;/keyword&gt;&lt;keyword&gt;Valvular pulmonary stenosis&lt;/keyword&gt;&lt;/keywords&gt;&lt;urls&gt;&lt;related-urls&gt;&lt;url&gt;https://www.ncbi.nlm.nih.gov/pubmed/33464372&lt;/url&gt;&lt;/related-urls&gt;&lt;/urls&gt;&lt;isbn&gt;1432-1971&lt;/isbn&gt;&lt;titles&gt;&lt;title&gt;Supravalvular and Valvular Pulmonary Stenosis: Predictive Features and Responsiveness to Percutaneous Dilation&lt;/title&gt;&lt;secondary-title&gt;Pediatr Cardiol&lt;/secondary-title&gt;&lt;/titles&gt;&lt;contributors&gt;&lt;authors&gt;&lt;author&gt;Poupart, S.&lt;/author&gt;&lt;author&gt;Navarro-Castellanos, I.&lt;/author&gt;&lt;author&gt;Raboisson, M. J.&lt;/author&gt;&lt;author&gt;Lapierre, C.&lt;/author&gt;&lt;author&gt;Dery, J.&lt;/author&gt;&lt;author&gt;Miró, J.&lt;/author&gt;&lt;author&gt;Dahdah, N.&lt;/author&gt;&lt;/authors&gt;&lt;/contributors&gt;&lt;edition&gt;2021/01/19&lt;/edition&gt;&lt;language&gt;eng&lt;/language&gt;&lt;added-date format="utc"&gt;1616858412&lt;/added-date&gt;&lt;ref-type name="Journal Article"&gt;17&lt;/ref-type&gt;&lt;rec-number&gt;181&lt;/rec-number&gt;&lt;last-updated-date format="utc"&gt;1616858412&lt;/last-updated-date&gt;&lt;accession-num&gt;33464372&lt;/accession-num&gt;&lt;electronic-resource-num&gt;10.1007/s00246-021-02545-w&lt;/electronic-resource-num&gt;&lt;/record&gt;&lt;/Cite&gt;&lt;/EndNote&gt;</w:instrText>
      </w:r>
      <w:r>
        <w:rPr>
          <w:lang w:val="en-GB"/>
        </w:rPr>
      </w:r>
      <w:r>
        <w:rPr>
          <w:lang w:val="en-GB"/>
        </w:rPr>
        <w:fldChar w:fldCharType="separate"/>
      </w:r>
      <w:r>
        <w:rPr>
          <w:lang w:val="en-GB"/>
        </w:rPr>
        <w:t>[21]</w:t>
      </w:r>
      <w:r>
        <w:rPr>
          <w:lang w:val="en-GB"/>
        </w:rPr>
      </w:r>
      <w:r>
        <w:rPr>
          <w:lang w:val="en-GB"/>
        </w:rPr>
        <w:fldChar w:fldCharType="end"/>
      </w:r>
      <w:r>
        <w:rPr>
          <w:lang w:val="en-GB"/>
        </w:rPr>
        <w:t xml:space="preserve"> </w:t>
      </w:r>
    </w:p>
    <w:p>
      <w:pPr>
        <w:pStyle w:val="Normal"/>
        <w:tabs>
          <w:tab w:val="clear" w:pos="719"/>
          <w:tab w:val="left" w:pos="440" w:leader="none"/>
        </w:tabs>
        <w:spacing w:before="0" w:after="0"/>
        <w:ind w:firstLine="440"/>
        <w:rPr>
          <w:vertAlign w:val="superscript"/>
          <w:lang w:val="en-GB"/>
        </w:rPr>
      </w:pPr>
      <w:r>
        <w:rPr>
          <w:lang w:val="en-GB"/>
        </w:rPr>
        <w:t xml:space="preserve">An immediate residual systolic RV-to-PA gradient after BVP of valvular PS of &lt;20 mmHg may be determined as procedural success </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t>[16]</w:t>
      </w:r>
      <w:r>
        <w:rPr>
          <w:lang w:val="en-GB"/>
        </w:rPr>
      </w:r>
      <w:r>
        <w:rPr>
          <w:lang w:val="en-GB"/>
        </w:rPr>
        <w:fldChar w:fldCharType="end"/>
      </w:r>
      <w:r>
        <w:rPr>
          <w:lang w:val="en-GB"/>
        </w:rPr>
        <w:t xml:space="preserve">, while other studies </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t>[12, 13, 22, 29]</w:t>
      </w:r>
      <w:r>
        <w:rPr>
          <w:lang w:val="en-GB"/>
        </w:rPr>
      </w:r>
      <w:r>
        <w:rPr>
          <w:lang w:val="en-GB"/>
        </w:rPr>
        <w:fldChar w:fldCharType="end"/>
      </w:r>
      <w:r>
        <w:rPr>
          <w:lang w:val="en-GB"/>
        </w:rPr>
        <w:t xml:space="preserve"> determined higher cut-off values (25 to 36 mmHg) with no need for reintervention during mid-term follow-up.</w:t>
      </w:r>
      <w:r>
        <w:fldChar w:fldCharType="begin"/>
      </w:r>
      <w:r>
        <w:rPr>
          <w:lang w:val="en-GB"/>
        </w:rPr>
        <w:instrText>ADDIN EN.CITE &lt;EndNote&gt;&lt;Cite&gt;&lt;Author&gt;Rao&lt;/Author&gt;&lt;Year&gt;2007&lt;/Year&gt;&lt;IDText&gt;Percutaneous balloon pulmonary valvuloplasty: state of the art&lt;/IDText&gt;&lt;DisplayText&gt;(22)&lt;/DisplayText&gt;&lt;record&gt;&lt;dates&gt;&lt;pub-dates&gt;&lt;date&gt;Apr&lt;/date&gt;&lt;/pub-dates&gt;&lt;year&gt;2007&lt;/year&gt;&lt;/dates&gt;&lt;keywords&gt;&lt;keyword&gt;Age Factors&lt;/keyword&gt;&lt;keyword&gt;Catheterization&lt;/keyword&gt;&lt;keyword&gt;Equipment Design&lt;/keyword&gt;&lt;keyword&gt;Equipment Safety&lt;/keyword&gt;&lt;keyword&gt;Graft Occlusion, Vascular&lt;/keyword&gt;&lt;keyword&gt;Humans&lt;/keyword&gt;&lt;keyword&gt;Pulmonary Valve Stenosis&lt;/keyword&gt;&lt;keyword&gt;Retreatment&lt;/keyword&gt;&lt;keyword&gt;Time Factors&lt;/keyword&gt;&lt;/keywords&gt;&lt;urls&gt;&lt;related-urls&gt;&lt;url&gt;https://www.ncbi.nlm.nih.gov/pubmed/17330270&lt;/url&gt;&lt;/related-urls&gt;&lt;/urls&gt;&lt;isbn&gt;1522-1946&lt;/isbn&gt;&lt;titles&gt;&lt;title&gt;Percutaneous balloon pulmonary valvuloplasty: state of the art&lt;/title&gt;&lt;secondary-title&gt;Catheter Cardiovasc Interv&lt;/secondary-title&gt;&lt;/titles&gt;&lt;pages&gt;747-63&lt;/pages&gt;&lt;number&gt;5&lt;/number&gt;&lt;contributors&gt;&lt;authors&gt;&lt;author&gt;Rao, P. S.&lt;/author&gt;&lt;/authors&gt;&lt;/contributors&gt;&lt;language&gt;eng&lt;/language&gt;&lt;added-date format="utc"&gt;1570279936&lt;/added-date&gt;&lt;ref-type name="Journal Article"&gt;17&lt;/ref-type&gt;&lt;rec-number&gt;66&lt;/rec-number&gt;&lt;last-updated-date format="utc"&gt;1570279936&lt;/last-updated-date&gt;&lt;accession-num&gt;17330270&lt;/accession-num&gt;&lt;electronic-resource-num&gt;10.1002/ccd.20982&lt;/electronic-resource-num&gt;&lt;volume&gt;69&lt;/volume&gt;&lt;/record&gt;&lt;/Cite&gt;&lt;/EndNote&gt;</w:instrText>
      </w:r>
      <w:r>
        <w:rPr>
          <w:lang w:val="en-GB"/>
        </w:rPr>
      </w:r>
      <w:r>
        <w:rPr>
          <w:lang w:val="en-GB"/>
        </w:rPr>
        <w:fldChar w:fldCharType="separate"/>
      </w:r>
      <w:r>
        <w:rPr>
          <w:lang w:val="en-GB"/>
        </w:rPr>
        <w:t>[22]</w:t>
      </w:r>
      <w:r>
        <w:rPr>
          <w:lang w:val="en-GB"/>
        </w:rPr>
      </w:r>
      <w:r>
        <w:rPr>
          <w:lang w:val="en-GB"/>
        </w:rPr>
        <w:fldChar w:fldCharType="end"/>
      </w:r>
      <w:r>
        <w:rPr>
          <w:lang w:val="en-GB"/>
        </w:rPr>
        <w:t xml:space="preserve"> Nevertheless, more aggressive BVP may lead to higher complication rates including PR </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t>[8, 30]</w:t>
      </w:r>
      <w:r>
        <w:rPr>
          <w:lang w:val="en-GB"/>
        </w:rPr>
      </w:r>
      <w:r>
        <w:rPr>
          <w:lang w:val="en-GB"/>
        </w:rPr>
        <w:fldChar w:fldCharType="end"/>
      </w:r>
      <w:r>
        <w:rPr>
          <w:lang w:val="en-GB"/>
        </w:rPr>
        <w:t xml:space="preserve">, which was not found in our cohort, even in those children with higher balloon-to-PV annulus ration &gt;1.4. Tab. 1. </w:t>
      </w:r>
    </w:p>
    <w:p>
      <w:pPr>
        <w:pStyle w:val="Normal"/>
        <w:tabs>
          <w:tab w:val="clear" w:pos="719"/>
          <w:tab w:val="left" w:pos="440" w:leader="none"/>
        </w:tabs>
        <w:spacing w:before="0" w:after="0"/>
        <w:ind w:firstLine="440"/>
        <w:rPr>
          <w:lang w:val="en-GB"/>
        </w:rPr>
      </w:pPr>
      <w:r>
        <w:rPr>
          <w:lang w:val="en-GB"/>
        </w:rPr>
        <w:t xml:space="preserve">PR after BVP may develop and progress during medium-term follow-up, but the hemodynamic impact of PR remains rather low </w:t>
      </w:r>
      <w:r>
        <w:fldChar w:fldCharType="begin"/>
      </w:r>
      <w:r>
        <w:rPr>
          <w:lang w:val="en-GB"/>
        </w:rPr>
        <w:instrText>ADDIN EN.CITE &lt;EndNote&gt;&lt;Cite&gt;&lt;Author&gt;Voet&lt;/Author&gt;&lt;Year&gt;2012&lt;/Year&gt;&lt;IDText&gt;Long-term outcome after treatment of isolated pulmonary valve stenosis&lt;/IDText&gt;&lt;DisplayText&gt;(9)&lt;/DisplayText&gt;&lt;record&gt;&lt;dates&gt;&lt;pub-dates&gt;&lt;date&gt;Apr&lt;/date&gt;&lt;/pub-dates&gt;&lt;year&gt;2012&lt;/year&gt;&lt;/dates&gt;&lt;keywords&gt;&lt;keyword&gt;Adolescent&lt;/keyword&gt;&lt;keyword&gt;Adult&lt;/keyword&gt;&lt;keyword&gt;Angioplasty, Balloon&lt;/keyword&gt;&lt;keyword&gt;Child&lt;/keyword&gt;&lt;keyword&gt;Child, Preschool&lt;/keyword&gt;&lt;keyword&gt;Databases, Factual&lt;/keyword&gt;&lt;keyword&gt;Female&lt;/keyword&gt;&lt;keyword&gt;Humans&lt;/keyword&gt;&lt;keyword&gt;Infant&lt;/keyword&gt;&lt;keyword&gt;Infant, Newborn&lt;/keyword&gt;&lt;keyword&gt;Male&lt;/keyword&gt;&lt;keyword&gt;Middle Aged&lt;/keyword&gt;&lt;keyword&gt;Pulmonary Valve Stenosis&lt;/keyword&gt;&lt;keyword&gt;Radiography&lt;/keyword&gt;&lt;keyword&gt;Retrospective Studies&lt;/keyword&gt;&lt;keyword&gt;Time Factors&lt;/keyword&gt;&lt;keyword&gt;Treatment Outcome&lt;/keyword&gt;&lt;keyword&gt;Young Adult&lt;/keyword&gt;&lt;/keywords&gt;&lt;urls&gt;&lt;related-urls&gt;&lt;url&gt;https://www.ncbi.nlm.nih.gov/pubmed/21078529&lt;/url&gt;&lt;/related-urls&gt;&lt;/urls&gt;&lt;isbn&gt;1874-1754&lt;/isbn&gt;&lt;titles&gt;&lt;title&gt;Long-term outcome after treatment of isolated pulmonary valve stenosis&lt;/title&gt;&lt;secondary-title&gt;Int J Cardiol&lt;/secondary-title&gt;&lt;/titles&gt;&lt;pages&gt;11-5&lt;/pages&gt;&lt;number&gt;1&lt;/number&gt;&lt;contributors&gt;&lt;authors&gt;&lt;author&gt;Voet, A.&lt;/author&gt;&lt;author&gt;Rega, F.&lt;/author&gt;&lt;author&gt;de Bruaene, A. V.&lt;/author&gt;&lt;author&gt;Troost, E.&lt;/author&gt;&lt;author&gt;Gewillig, M.&lt;/author&gt;&lt;author&gt;Van Damme, S.&lt;/author&gt;&lt;author&gt;Budts, W.&lt;/author&gt;&lt;/authors&gt;&lt;/contributors&gt;&lt;edition&gt;2010/11/13&lt;/edition&gt;&lt;language&gt;eng&lt;/language&gt;&lt;added-date format="utc"&gt;1570278931&lt;/added-date&gt;&lt;ref-type name="Journal Article"&gt;17&lt;/ref-type&gt;&lt;rec-number&gt;50&lt;/rec-number&gt;&lt;last-updated-date format="utc"&gt;1570278931&lt;/last-updated-date&gt;&lt;accession-num&gt;21078529&lt;/accession-num&gt;&lt;electronic-resource-num&gt;10.1016/j.ijcard.2010.10.038&lt;/electronic-resource-num&gt;&lt;volume&gt;156&lt;/volume&gt;&lt;/record&gt;&lt;/Cite&gt;&lt;/EndNote&gt;</w:instrText>
      </w:r>
      <w:r>
        <w:rPr>
          <w:lang w:val="en-GB"/>
        </w:rPr>
      </w:r>
      <w:r>
        <w:rPr>
          <w:lang w:val="en-GB"/>
        </w:rPr>
        <w:fldChar w:fldCharType="separate"/>
      </w:r>
      <w:r>
        <w:rPr>
          <w:lang w:val="en-GB"/>
        </w:rPr>
        <w:t>[9]</w:t>
      </w:r>
      <w:r>
        <w:rPr>
          <w:lang w:val="en-GB"/>
        </w:rPr>
      </w:r>
      <w:r>
        <w:rPr>
          <w:lang w:val="en-GB"/>
        </w:rPr>
        <w:fldChar w:fldCharType="end"/>
      </w:r>
      <w:r>
        <w:rPr>
          <w:lang w:val="en-GB"/>
        </w:rPr>
        <w:t xml:space="preserve"> due to the mild-to-moderate degree of PR in most cases during long-term follow-up.</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t>[9, 10, 12]</w:t>
      </w:r>
      <w:r>
        <w:rPr>
          <w:lang w:val="en-GB"/>
        </w:rPr>
      </w:r>
      <w:r>
        <w:rPr>
          <w:lang w:val="en-GB"/>
        </w:rPr>
        <w:fldChar w:fldCharType="end"/>
      </w:r>
      <w:r>
        <w:rPr>
          <w:lang w:val="en-GB"/>
        </w:rPr>
        <w:t xml:space="preserve"> The reasons for developing severe PR after BVP and during long-term follow-up are unclear, a higher balloon diameter-to-PV annulus (&gt;1.4) has been discussed as a risk factor.</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t>[12, 30–32]</w:t>
      </w:r>
      <w:r>
        <w:rPr>
          <w:lang w:val="en-GB"/>
        </w:rPr>
      </w:r>
      <w:r>
        <w:rPr>
          <w:lang w:val="en-GB"/>
        </w:rPr>
        <w:fldChar w:fldCharType="end"/>
      </w:r>
      <w:r>
        <w:rPr>
          <w:lang w:val="en-GB"/>
        </w:rPr>
        <w:t xml:space="preserve"> Nevertheless, PR rarely leads to surgical valve replacement.</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t>[11, 30, 32, 33]</w:t>
      </w:r>
      <w:r>
        <w:rPr>
          <w:lang w:val="en-GB"/>
        </w:rPr>
      </w:r>
      <w:r>
        <w:rPr>
          <w:lang w:val="en-GB"/>
        </w:rPr>
        <w:fldChar w:fldCharType="end"/>
      </w:r>
      <w:r>
        <w:rPr>
          <w:lang w:val="en-GB"/>
        </w:rPr>
        <w:t xml:space="preserve"> We recommend critical evaluation of the RV function and RV volume during follow-up including multi-modal imaging.</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t>[33]</w:t>
      </w:r>
      <w:r>
        <w:rPr>
          <w:lang w:val="en-GB"/>
        </w:rPr>
      </w:r>
      <w:r>
        <w:rPr>
          <w:lang w:val="en-GB"/>
        </w:rPr>
        <w:fldChar w:fldCharType="end"/>
      </w:r>
    </w:p>
    <w:p>
      <w:pPr>
        <w:pStyle w:val="Normal"/>
        <w:tabs>
          <w:tab w:val="clear" w:pos="719"/>
          <w:tab w:val="left" w:pos="440" w:leader="none"/>
        </w:tabs>
        <w:spacing w:before="0" w:after="0"/>
        <w:ind w:firstLine="440"/>
        <w:rPr>
          <w:lang w:val="en-GB"/>
        </w:rPr>
      </w:pPr>
      <w:r>
        <w:rPr>
          <w:lang w:val="en-GB"/>
        </w:rPr>
        <w:t>The very low number of severe complications (&lt;1 %) in our cohort underlines the technical safety of the procedure.</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t>[10, 13, 22]</w:t>
      </w:r>
      <w:r>
        <w:rPr>
          <w:lang w:val="en-GB"/>
        </w:rPr>
      </w:r>
      <w:r>
        <w:rPr>
          <w:lang w:val="en-GB"/>
        </w:rPr>
        <w:fldChar w:fldCharType="end"/>
      </w:r>
      <w:r>
        <w:rPr>
          <w:lang w:val="en-GB"/>
        </w:rPr>
        <w:t xml:space="preserve"> In our series, PV infective endocarditis after BVP of PS was attributed to central venous line catheter sepsis with Staphylococcus aureus in an otherwise already critical ill neonate, but remains a rather anecdotal complication </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t>[34, 35]</w:t>
      </w:r>
      <w:r>
        <w:rPr>
          <w:lang w:val="en-GB"/>
        </w:rPr>
      </w:r>
      <w:r>
        <w:rPr>
          <w:lang w:val="en-GB"/>
        </w:rPr>
        <w:fldChar w:fldCharType="end"/>
      </w:r>
      <w:r>
        <w:rPr>
          <w:lang w:val="en-GB"/>
        </w:rPr>
        <w:t>, where peri-procedural antibiotic endocarditis prophylaxis is no more recommended in patients undergoing BVP of PS.</w:t>
      </w:r>
      <w:r>
        <w:fldChar w:fldCharType="begin"/>
      </w:r>
      <w:r>
        <w:rPr>
          <w:lang w:val="en-GB"/>
        </w:rPr>
        <w:instrText>ADDIN EN.CITE &lt;EndNote&gt;&lt;Cite&gt;&lt;Author&gt;Cuypers&lt;/Author&gt;&lt;Year&gt;2013&lt;/Year&gt;&lt;IDText&gt;Pulmonary stenosis: update on diagnosis and therapeutic options&lt;/IDText&gt;&lt;DisplayText&gt;(3)&lt;/DisplayText&gt;&lt;record&gt;&lt;dates&gt;&lt;pub-dates&gt;&lt;date&gt;Mar&lt;/date&gt;&lt;/pub-dates&gt;&lt;year&gt;2013&lt;/year&gt;&lt;/dates&gt;&lt;keywords&gt;&lt;keyword&gt;Balloon Valvuloplasty&lt;/keyword&gt;&lt;keyword&gt;Cardiac Catheterization&lt;/keyword&gt;&lt;keyword&gt;Diagnostic Imaging&lt;/keyword&gt;&lt;keyword&gt;Heart Valve Prosthesis Implantation&lt;/keyword&gt;&lt;keyword&gt;Humans&lt;/keyword&gt;&lt;keyword&gt;Incidence&lt;/keyword&gt;&lt;keyword&gt;Prevalence&lt;/keyword&gt;&lt;keyword&gt;Pulmonary Valve&lt;/keyword&gt;&lt;keyword&gt;Pulmonary Valve Stenosis&lt;/keyword&gt;&lt;/keywords&gt;&lt;urls&gt;&lt;related-urls&gt;&lt;url&gt;https://www.ncbi.nlm.nih.gov/pubmed/23303481&lt;/url&gt;&lt;/related-urls&gt;&lt;/urls&gt;&lt;isbn&gt;1468-201X&lt;/isbn&gt;&lt;titles&gt;&lt;title&gt;Pulmonary stenosis: update on diagnosis and therapeutic options&lt;/title&gt;&lt;secondary-title&gt;Heart&lt;/secondary-title&gt;&lt;/titles&gt;&lt;pages&gt;339-47&lt;/pages&gt;&lt;number&gt;5&lt;/number&gt;&lt;contributors&gt;&lt;authors&gt;&lt;author&gt;Cuypers, J. A.&lt;/author&gt;&lt;author&gt;Witsenburg, M.&lt;/author&gt;&lt;author&gt;van der Linde, D.&lt;/author&gt;&lt;author&gt;Roos-Hesselink, J. W.&lt;/author&gt;&lt;/authors&gt;&lt;/contributors&gt;&lt;edition&gt;2013/01/08&lt;/edition&gt;&lt;language&gt;eng&lt;/language&gt;&lt;added-date format="utc"&gt;1581682733&lt;/added-date&gt;&lt;ref-type name="Journal Article"&gt;17&lt;/ref-type&gt;&lt;rec-number&gt;149&lt;/rec-number&gt;&lt;last-updated-date format="utc"&gt;1581682733&lt;/last-updated-date&gt;&lt;accession-num&gt;23303481&lt;/accession-num&gt;&lt;electronic-resource-num&gt;10.1136/heartjnl-2012-301964&lt;/electronic-resource-num&gt;&lt;volume&gt;99&lt;/volume&gt;&lt;/record&gt;&lt;/Cite&gt;&lt;/EndNote&gt;</w:instrText>
      </w:r>
      <w:r>
        <w:rPr>
          <w:lang w:val="en-GB"/>
        </w:rPr>
      </w:r>
      <w:r>
        <w:rPr>
          <w:lang w:val="en-GB"/>
        </w:rPr>
        <w:fldChar w:fldCharType="separate"/>
      </w:r>
      <w:r>
        <w:rPr>
          <w:lang w:val="en-GB"/>
        </w:rPr>
        <w:t>[3]</w:t>
      </w:r>
      <w:r>
        <w:rPr>
          <w:lang w:val="en-GB"/>
        </w:rPr>
      </w:r>
      <w:r>
        <w:rPr>
          <w:lang w:val="en-GB"/>
        </w:rPr>
        <w:fldChar w:fldCharType="end"/>
      </w:r>
    </w:p>
    <w:p>
      <w:pPr>
        <w:pStyle w:val="Normal"/>
        <w:tabs>
          <w:tab w:val="clear" w:pos="719"/>
          <w:tab w:val="left" w:pos="440" w:leader="none"/>
        </w:tabs>
        <w:spacing w:before="0" w:after="0"/>
        <w:ind w:firstLine="440"/>
        <w:rPr>
          <w:lang w:val="en-GB"/>
        </w:rPr>
      </w:pPr>
      <w:r>
        <w:rPr>
          <w:lang w:val="en-GB"/>
        </w:rPr>
        <w:t>Suboptimal outcome of BVP of PS in patients with Noonan syndrome has been reported.</w:t>
      </w:r>
      <w:r>
        <w:fldChar w:fldCharType="begin"/>
      </w:r>
      <w:r>
        <w:rPr>
          <w:lang w:val="en-GB"/>
        </w:rPr>
        <w:instrText>ADDIN EN.CITE &lt;EndNote&gt;&lt;Cite&gt;&lt;Author&gt;McCrindle&lt;/Author&gt;&lt;Year&gt;1994&lt;/Year&gt;&lt;IDText&gt;Independent predictors of long-term results after balloon pulmonary valvuloplasty. Valvuloplasty and Angioplasty of Congenital Anomalies (VACA) Registry Investigators&lt;/IDText&gt;&lt;DisplayText&gt;(12)&lt;/DisplayText&gt;&lt;record&gt;&lt;dates&gt;&lt;pub-dates&gt;&lt;date&gt;Apr&lt;/date&gt;&lt;/pub-dates&gt;&lt;year&gt;1994&lt;/year&gt;&lt;/dates&gt;&lt;keywords&gt;&lt;keyword&gt;Catheterization&lt;/keyword&gt;&lt;keyword&gt;Child, Preschool&lt;/keyword&gt;&lt;keyword&gt;Follow-Up Studies&lt;/keyword&gt;&lt;keyword&gt;Humans&lt;/keyword&gt;&lt;keyword&gt;Noonan Syndrome&lt;/keyword&gt;&lt;keyword&gt;Prognosis&lt;/keyword&gt;&lt;keyword&gt;Pulmonary Valve Stenosis&lt;/keyword&gt;&lt;keyword&gt;Registries&lt;/keyword&gt;&lt;keyword&gt;Risk Factors&lt;/keyword&gt;&lt;keyword&gt;Time Factors&lt;/keyword&gt;&lt;keyword&gt;Treatment Outcome&lt;/keyword&gt;&lt;/keywords&gt;&lt;urls&gt;&lt;related-urls&gt;&lt;url&gt;https://www.ncbi.nlm.nih.gov/pubmed/8149541&lt;/url&gt;&lt;/related-urls&gt;&lt;/urls&gt;&lt;isbn&gt;0009-7322&lt;/isbn&gt;&lt;titles&gt;&lt;title&gt;Independent predictors of long-term results after balloon pulmonary valvuloplasty. Valvuloplasty and Angioplasty of Congenital Anomalies (VACA) Registry Investigators&lt;/title&gt;&lt;secondary-title&gt;Circulation&lt;/secondary-title&gt;&lt;/titles&gt;&lt;pages&gt;1751-9&lt;/pages&gt;&lt;number&gt;4&lt;/number&gt;&lt;contributors&gt;&lt;authors&gt;&lt;author&gt;McCrindle, B. W.&lt;/author&gt;&lt;/authors&gt;&lt;/contributors&gt;&lt;language&gt;eng&lt;/language&gt;&lt;added-date format="utc"&gt;1578935132&lt;/added-date&gt;&lt;ref-type name="Journal Article"&gt;17&lt;/ref-type&gt;&lt;rec-number&gt;105&lt;/rec-number&gt;&lt;last-updated-date format="utc"&gt;1578935132&lt;/last-updated-date&gt;&lt;accession-num&gt;8149541&lt;/accession-num&gt;&lt;electronic-resource-num&gt;10.1161/01.cir.89.4.1751&lt;/electronic-resource-num&gt;&lt;volume&gt;89&lt;/volume&gt;&lt;/record&gt;&lt;/Cite&gt;&lt;/EndNote&gt;</w:instrText>
      </w:r>
      <w:r>
        <w:rPr>
          <w:lang w:val="en-GB"/>
        </w:rPr>
      </w:r>
      <w:r>
        <w:rPr>
          <w:lang w:val="en-GB"/>
        </w:rPr>
        <w:fldChar w:fldCharType="separate"/>
      </w:r>
      <w:r>
        <w:rPr>
          <w:lang w:val="en-GB"/>
        </w:rPr>
        <w:t>[12]</w:t>
      </w:r>
      <w:r>
        <w:rPr>
          <w:lang w:val="en-GB"/>
        </w:rPr>
      </w:r>
      <w:r>
        <w:rPr>
          <w:lang w:val="en-GB"/>
        </w:rPr>
        <w:fldChar w:fldCharType="end"/>
      </w:r>
      <w:r>
        <w:rPr>
          <w:lang w:val="en-GB"/>
        </w:rPr>
        <w:t xml:space="preserve"> </w:t>
      </w:r>
      <w:r>
        <w:rPr/>
        <w:t>In our cohort, only 1/10 of the patients with a genetic syndrome needed additional procedures, namely one with Noonan syndrome, while the need of reintervention in patients with Noonan syndrome after pulmonary BVP differs to more frequent findings of other groups</w:t>
      </w:r>
      <w:r>
        <w:rPr>
          <w:lang w:val="en-GB"/>
        </w:rPr>
        <w:t>.</w:t>
      </w:r>
      <w:r>
        <w:fldChar w:fldCharType="begin"/>
      </w:r>
      <w:r>
        <w:rPr>
          <w:lang w:val="en-GB"/>
        </w:rPr>
        <w:instrText>ADDIN EN.CITE &lt;EndNote&gt;&lt;Cite&gt;&lt;Author&gt;Prendiville&lt;/Author&gt;&lt;Year&gt;2014&lt;/Year&gt;&lt;IDText&gt;Cardiovascular disease in Noonan syndrome&lt;/IDText&gt;&lt;DisplayText&gt;(36)&lt;/DisplayText&gt;&lt;record&gt;&lt;dates&gt;&lt;pub-dates&gt;&lt;date&gt;Jul&lt;/date&gt;&lt;/pub-dates&gt;&lt;year&gt;2014&lt;/year&gt;&lt;/dates&gt;&lt;keywords&gt;&lt;keyword&gt;Adolescent&lt;/keyword&gt;&lt;keyword&gt;Cardiovascular Diseases&lt;/keyword&gt;&lt;keyword&gt;Child&lt;/keyword&gt;&lt;keyword&gt;Female&lt;/keyword&gt;&lt;keyword&gt;Genotype&lt;/keyword&gt;&lt;keyword&gt;Humans&lt;/keyword&gt;&lt;keyword&gt;Infant&lt;/keyword&gt;&lt;keyword&gt;Male&lt;/keyword&gt;&lt;keyword&gt;Mutation&lt;/keyword&gt;&lt;keyword&gt;Noonan Syndrome&lt;/keyword&gt;&lt;keyword&gt;Phenotype&lt;/keyword&gt;&lt;keyword&gt;Retrospective Studies&lt;/keyword&gt;&lt;keyword&gt;United States&lt;/keyword&gt;&lt;/keywords&gt;&lt;urls&gt;&lt;related-urls&gt;&lt;url&gt;https://www.ncbi.nlm.nih.gov/pubmed/24534818&lt;/url&gt;&lt;/related-urls&gt;&lt;/urls&gt;&lt;isbn&gt;1468-2044&lt;/isbn&gt;&lt;titles&gt;&lt;title&gt;Cardiovascular disease in Noonan syndrome&lt;/title&gt;&lt;secondary-title&gt;Arch Dis Child&lt;/secondary-title&gt;&lt;/titles&gt;&lt;pages&gt;629-34&lt;/pages&gt;&lt;number&gt;7&lt;/number&gt;&lt;contributors&gt;&lt;authors&gt;&lt;author&gt;Prendiville, T. W.&lt;/author&gt;&lt;author&gt;Gauvreau, K.&lt;/author&gt;&lt;author&gt;Tworog-Dube, E.&lt;/author&gt;&lt;author&gt;Patkin, L.&lt;/author&gt;&lt;author&gt;Kucherlapati, R. S.&lt;/author&gt;&lt;author&gt;Roberts, A. E.&lt;/author&gt;&lt;author&gt;Lacro, R. V.&lt;/author&gt;&lt;/authors&gt;&lt;/contributors&gt;&lt;edition&gt;2014/02/17&lt;/edition&gt;&lt;language&gt;eng&lt;/language&gt;&lt;added-date format="utc"&gt;1588596774&lt;/added-date&gt;&lt;ref-type name="Journal Article"&gt;17&lt;/ref-type&gt;&lt;rec-number&gt;171&lt;/rec-number&gt;&lt;last-updated-date format="utc"&gt;1588596774&lt;/last-updated-date&gt;&lt;accession-num&gt;24534818&lt;/accession-num&gt;&lt;electronic-resource-num&gt;10.1136/archdischild-2013-305047&lt;/electronic-resource-num&gt;&lt;volume&gt;99&lt;/volume&gt;&lt;/record&gt;&lt;/Cite&gt;&lt;/EndNote&gt;</w:instrText>
      </w:r>
      <w:r>
        <w:rPr>
          <w:lang w:val="en-GB"/>
        </w:rPr>
      </w:r>
      <w:r>
        <w:rPr>
          <w:lang w:val="en-GB"/>
        </w:rPr>
        <w:fldChar w:fldCharType="separate"/>
      </w:r>
      <w:r>
        <w:rPr>
          <w:lang w:val="en-GB"/>
        </w:rPr>
        <w:t>[36]</w:t>
      </w:r>
      <w:r>
        <w:rPr>
          <w:lang w:val="en-GB"/>
        </w:rPr>
      </w:r>
      <w:r>
        <w:rPr>
          <w:lang w:val="en-GB"/>
        </w:rPr>
        <w:fldChar w:fldCharType="end"/>
      </w:r>
    </w:p>
    <w:p>
      <w:pPr>
        <w:pStyle w:val="Normal"/>
        <w:tabs>
          <w:tab w:val="clear" w:pos="719"/>
          <w:tab w:val="left" w:pos="440" w:leader="none"/>
        </w:tabs>
        <w:spacing w:before="0" w:after="0"/>
        <w:ind w:firstLine="440"/>
        <w:rPr>
          <w:lang w:val="en-GB"/>
        </w:rPr>
      </w:pPr>
      <w:r>
        <w:rPr>
          <w:lang w:val="en-GB"/>
        </w:rPr>
        <w:t>Former fetal BVP of PS may lead to the necessity of further BVP of PS after birth, as shown in our cohort, performed with a high rate of success, as described by Tulzer et al.</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t>[37]</w:t>
      </w:r>
      <w:r>
        <w:rPr>
          <w:lang w:val="en-GB"/>
        </w:rPr>
      </w:r>
      <w:r>
        <w:rPr>
          <w:lang w:val="en-GB"/>
        </w:rPr>
        <w:fldChar w:fldCharType="end"/>
      </w:r>
    </w:p>
    <w:p>
      <w:pPr>
        <w:pStyle w:val="Normal"/>
        <w:widowControl w:val="false"/>
        <w:tabs>
          <w:tab w:val="clear" w:pos="719"/>
          <w:tab w:val="left" w:pos="440" w:leader="none"/>
        </w:tabs>
        <w:snapToGrid w:val="false"/>
        <w:spacing w:before="240" w:after="60"/>
        <w:rPr>
          <w:b/>
          <w:b/>
          <w:szCs w:val="22"/>
        </w:rPr>
      </w:pPr>
      <w:r>
        <w:rPr>
          <w:b/>
          <w:szCs w:val="22"/>
        </w:rPr>
        <w:t>5 Limitations</w:t>
      </w:r>
    </w:p>
    <w:p>
      <w:pPr>
        <w:pStyle w:val="Normal"/>
        <w:tabs>
          <w:tab w:val="clear" w:pos="719"/>
          <w:tab w:val="left" w:pos="440" w:leader="none"/>
        </w:tabs>
        <w:spacing w:before="0" w:after="0"/>
        <w:ind w:firstLine="440"/>
        <w:rPr>
          <w:lang w:val="en-GB"/>
        </w:rPr>
      </w:pPr>
      <w:r>
        <w:rPr>
          <w:lang w:val="en-GB"/>
        </w:rPr>
        <w:t>The main limitation of this data collection and analysis was the retrospective study design, which made standardized follow-up difficult. Furthermore, follow-up of echocardiographic results is dependent on subjective judgment of the examiner and is therefore difficult to standardise. Nowadays, as an alternative for using echocardiography within our retrospective analysis, cardiac MRI as part of multimodality imaging techniques has become the diagnostic standard for evaluating pulmonary regurgitation and right ventricular volume load, which should be considered for future studies.</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t>[38]</w:t>
      </w:r>
      <w:r>
        <w:rPr>
          <w:lang w:val="en-GB"/>
        </w:rPr>
      </w:r>
      <w:r>
        <w:rPr>
          <w:lang w:val="en-GB"/>
        </w:rPr>
        <w:fldChar w:fldCharType="end"/>
      </w:r>
      <w:r>
        <w:rPr>
          <w:lang w:val="en-GB"/>
        </w:rPr>
        <w:t xml:space="preserve"> Nevertheless, recent studies have shown that echocardiography is still an appropriate technique for the assessment of PR.</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t>[39]</w:t>
      </w:r>
      <w:r>
        <w:rPr>
          <w:lang w:val="en-GB"/>
        </w:rPr>
      </w:r>
      <w:r>
        <w:rPr>
          <w:lang w:val="en-GB"/>
        </w:rPr>
        <w:fldChar w:fldCharType="end"/>
      </w:r>
    </w:p>
    <w:p>
      <w:pPr>
        <w:pStyle w:val="Normal"/>
        <w:widowControl w:val="false"/>
        <w:tabs>
          <w:tab w:val="clear" w:pos="719"/>
          <w:tab w:val="left" w:pos="440" w:leader="none"/>
        </w:tabs>
        <w:snapToGrid w:val="false"/>
        <w:spacing w:before="240" w:after="60"/>
        <w:rPr>
          <w:b/>
          <w:b/>
          <w:szCs w:val="22"/>
        </w:rPr>
      </w:pPr>
      <w:r>
        <w:rPr>
          <w:b/>
          <w:szCs w:val="22"/>
        </w:rPr>
        <w:t>6 Conclusion</w:t>
      </w:r>
    </w:p>
    <w:p>
      <w:pPr>
        <w:pStyle w:val="Normal"/>
        <w:spacing w:before="60" w:after="240"/>
        <w:ind w:firstLine="425"/>
        <w:rPr>
          <w:rFonts w:eastAsia="Times New Roman"/>
          <w:color w:val="A6A6A6" w:themeColor="background1" w:themeShade="a6"/>
          <w:szCs w:val="22"/>
          <w:lang w:val="en-GB" w:eastAsia="de-DE"/>
        </w:rPr>
      </w:pPr>
      <w:r>
        <w:rPr>
          <w:szCs w:val="22"/>
          <w:lang w:val="en-GB"/>
        </w:rPr>
        <w:t xml:space="preserve">BVP of isolated native PS is safely performed with an excellent </w:t>
      </w:r>
      <w:r>
        <w:rPr>
          <w:bCs/>
          <w:szCs w:val="22"/>
          <w:lang w:val="en-GB"/>
        </w:rPr>
        <w:t>medium-term</w:t>
      </w:r>
      <w:r>
        <w:rPr>
          <w:szCs w:val="22"/>
          <w:lang w:val="en-GB"/>
        </w:rPr>
        <w:t xml:space="preserve"> success and a high rate of freedom from additional procedures. The main factor for additional procedure was an associated supravalvular PS resulting in a higher residual pressure gradient. Patients with additional supravalvular PS can be treated with BVP in a first attempt, since BVP was successful in almost 3 out of 4 of these patients (74.2 %) and BVP is less invasive than surgery. Further studies, preferably prospective, are needed to better understand the circumstances for success of BVP in patients with supravalvular PS.</w:t>
      </w:r>
    </w:p>
    <w:p>
      <w:pPr>
        <w:pStyle w:val="Keyword"/>
        <w:widowControl w:val="false"/>
        <w:tabs>
          <w:tab w:val="clear" w:pos="719"/>
          <w:tab w:val="left" w:pos="440" w:leader="none"/>
        </w:tabs>
        <w:snapToGrid w:val="false"/>
        <w:spacing w:before="0" w:after="120"/>
        <w:rPr>
          <w:szCs w:val="22"/>
        </w:rPr>
      </w:pPr>
      <w:r>
        <w:rPr>
          <w:b/>
          <w:szCs w:val="22"/>
        </w:rPr>
        <w:t>Acknowledgment:</w:t>
      </w:r>
      <w:r>
        <w:rPr>
          <w:szCs w:val="22"/>
        </w:rPr>
        <w:t xml:space="preserve"> </w:t>
      </w:r>
      <w:r>
        <w:rPr>
          <w:szCs w:val="22"/>
          <w:lang w:val="en-GB"/>
        </w:rPr>
        <w:t>The authors thank the entire catheter laboratory team and colleagues involved in the follow-up, and Ms. Silvia Hilfiker for her assistance in study coordination, Ms. Sandra Siegfried for statistical supervision and the referring cardiologists for abandon the follow-up findings</w:t>
      </w:r>
      <w:r>
        <w:rPr>
          <w:szCs w:val="22"/>
        </w:rPr>
        <w:t>.</w:t>
      </w:r>
    </w:p>
    <w:p>
      <w:pPr>
        <w:pStyle w:val="Keyword"/>
        <w:widowControl w:val="false"/>
        <w:tabs>
          <w:tab w:val="clear" w:pos="719"/>
          <w:tab w:val="left" w:pos="440" w:leader="none"/>
        </w:tabs>
        <w:snapToGrid w:val="false"/>
        <w:spacing w:before="0" w:after="120"/>
        <w:rPr>
          <w:szCs w:val="22"/>
        </w:rPr>
      </w:pPr>
      <w:r>
        <w:rPr>
          <w:b/>
          <w:bCs/>
          <w:szCs w:val="22"/>
        </w:rPr>
        <w:t xml:space="preserve">Funding Statement: </w:t>
      </w:r>
      <w:r>
        <w:rPr>
          <w:szCs w:val="22"/>
          <w:lang w:val="en-GB"/>
        </w:rPr>
        <w:t>The authors received no specific funding for this study</w:t>
      </w:r>
      <w:r>
        <w:rPr>
          <w:szCs w:val="22"/>
        </w:rPr>
        <w:t>.</w:t>
      </w:r>
    </w:p>
    <w:p>
      <w:pPr>
        <w:pStyle w:val="Keyword"/>
        <w:widowControl w:val="false"/>
        <w:tabs>
          <w:tab w:val="clear" w:pos="719"/>
          <w:tab w:val="left" w:pos="440" w:leader="none"/>
        </w:tabs>
        <w:snapToGrid w:val="false"/>
        <w:spacing w:before="0" w:after="120"/>
        <w:rPr>
          <w:szCs w:val="22"/>
        </w:rPr>
      </w:pPr>
      <w:r>
        <w:rPr>
          <w:b/>
          <w:bCs/>
          <w:szCs w:val="22"/>
        </w:rPr>
        <w:t xml:space="preserve">Conflicts of Interest: </w:t>
      </w:r>
      <w:r>
        <w:rPr>
          <w:szCs w:val="22"/>
          <w:lang w:val="en-GB"/>
        </w:rPr>
        <w:t>The authors declare that they have no conflicts of interest to report regarding the present study</w:t>
      </w:r>
      <w:r>
        <w:rPr>
          <w:szCs w:val="22"/>
        </w:rPr>
        <w:t>.</w:t>
      </w:r>
    </w:p>
    <w:p>
      <w:pPr>
        <w:pStyle w:val="Normal"/>
        <w:rPr/>
      </w:pPr>
      <w:r>
        <w:rPr/>
      </w:r>
    </w:p>
    <w:p>
      <w:pPr>
        <w:pStyle w:val="Heading1"/>
        <w:keepNext w:val="false"/>
        <w:widowControl w:val="false"/>
        <w:tabs>
          <w:tab w:val="left" w:pos="360" w:leader="none"/>
          <w:tab w:val="left" w:pos="440" w:leader="none"/>
        </w:tabs>
        <w:snapToGrid w:val="false"/>
        <w:spacing w:before="0" w:after="60"/>
        <w:rPr>
          <w:szCs w:val="22"/>
        </w:rPr>
      </w:pPr>
      <w:r>
        <w:rPr>
          <w:szCs w:val="22"/>
        </w:rPr>
        <w:t>References</w:t>
      </w:r>
    </w:p>
    <w:p>
      <w:pPr>
        <w:pStyle w:val="Normal"/>
        <w:widowControl w:val="false"/>
        <w:numPr>
          <w:ilvl w:val="0"/>
          <w:numId w:val="1"/>
        </w:numPr>
        <w:snapToGrid w:val="false"/>
        <w:spacing w:before="120" w:after="60"/>
        <w:ind w:left="426" w:hanging="426"/>
        <w:rPr>
          <w:color w:val="222222"/>
          <w:sz w:val="20"/>
          <w:highlight w:val="white"/>
        </w:rPr>
      </w:pPr>
      <w:r>
        <w:rPr>
          <w:color w:val="222222"/>
          <w:sz w:val="20"/>
          <w:shd w:fill="FFFFFF" w:val="clear"/>
          <w:lang w:val="de-CH"/>
        </w:rPr>
        <w:t xml:space="preserve">Hoffman, J. I., Kaplan, S. (2002). </w:t>
      </w:r>
      <w:r>
        <w:rPr>
          <w:color w:val="222222"/>
          <w:sz w:val="20"/>
          <w:shd w:fill="FFFFFF" w:val="clear"/>
        </w:rPr>
        <w:t xml:space="preserve">The incidence of congenital heart disease. </w:t>
      </w:r>
      <w:r>
        <w:rPr>
          <w:i/>
          <w:iCs/>
          <w:color w:val="222222"/>
          <w:sz w:val="20"/>
          <w:shd w:fill="FFFFFF" w:val="clear"/>
        </w:rPr>
        <w:t xml:space="preserve">Journal of the American College of Cardiology, 39(12), </w:t>
      </w:r>
      <w:r>
        <w:rPr>
          <w:color w:val="222222"/>
          <w:sz w:val="20"/>
          <w:shd w:fill="FFFFFF" w:val="clear"/>
        </w:rPr>
        <w:t>1890–1900. </w:t>
      </w:r>
    </w:p>
    <w:p>
      <w:pPr>
        <w:pStyle w:val="Normal"/>
        <w:widowControl w:val="false"/>
        <w:numPr>
          <w:ilvl w:val="0"/>
          <w:numId w:val="1"/>
        </w:numPr>
        <w:snapToGrid w:val="false"/>
        <w:spacing w:before="120" w:after="60"/>
        <w:ind w:left="426" w:hanging="426"/>
        <w:rPr>
          <w:color w:val="222222"/>
          <w:sz w:val="20"/>
          <w:highlight w:val="white"/>
        </w:rPr>
      </w:pPr>
      <w:r>
        <w:rPr>
          <w:color w:val="222222"/>
          <w:sz w:val="20"/>
          <w:shd w:fill="FFFFFF" w:val="clear"/>
          <w:lang w:val="de-CH"/>
        </w:rPr>
        <w:t xml:space="preserve">Baumgartner, H., Hung, J., Bermejo, J., Chambers, J. B., Evangelista, A., Griffin, B. P. et al. </w:t>
      </w:r>
      <w:r>
        <w:rPr>
          <w:color w:val="222222"/>
          <w:sz w:val="20"/>
          <w:shd w:fill="FFFFFF" w:val="clear"/>
        </w:rPr>
        <w:t xml:space="preserve">(2009). Echocardiographic assessment of valve stenosis: EAE/ASE recommendations for clinical practice. </w:t>
      </w:r>
      <w:r>
        <w:rPr>
          <w:i/>
          <w:iCs/>
          <w:color w:val="222222"/>
          <w:sz w:val="20"/>
          <w:shd w:fill="FFFFFF" w:val="clear"/>
        </w:rPr>
        <w:t> Journal of the American Society of Echocardiography, 22(1),</w:t>
      </w:r>
      <w:r>
        <w:rPr>
          <w:color w:val="222222"/>
          <w:sz w:val="20"/>
          <w:shd w:fill="FFFFFF" w:val="clear"/>
        </w:rPr>
        <w:t xml:space="preserve"> 1–102.</w:t>
      </w:r>
    </w:p>
    <w:p>
      <w:pPr>
        <w:pStyle w:val="Normal"/>
        <w:widowControl w:val="false"/>
        <w:numPr>
          <w:ilvl w:val="0"/>
          <w:numId w:val="1"/>
        </w:numPr>
        <w:snapToGrid w:val="false"/>
        <w:spacing w:before="120" w:after="60"/>
        <w:ind w:left="426" w:hanging="426"/>
        <w:rPr>
          <w:color w:val="222222"/>
          <w:sz w:val="20"/>
          <w:highlight w:val="white"/>
        </w:rPr>
      </w:pPr>
      <w:r>
        <w:rPr>
          <w:color w:val="222222"/>
          <w:sz w:val="20"/>
          <w:shd w:fill="FFFFFF" w:val="clear"/>
          <w:lang w:val="de-CH"/>
        </w:rPr>
        <w:t xml:space="preserve">Cuypers, J. A, Witsenburg, M., van der Linde, D., Roos-Hesselink, J. W. (2013). </w:t>
      </w:r>
      <w:r>
        <w:rPr>
          <w:color w:val="222222"/>
          <w:sz w:val="20"/>
          <w:shd w:fill="FFFFFF" w:val="clear"/>
        </w:rPr>
        <w:t xml:space="preserve">Pulmonary stenosis: update on diagnosis and therapeutic options. </w:t>
      </w:r>
      <w:r>
        <w:rPr>
          <w:i/>
          <w:iCs/>
          <w:color w:val="222222"/>
          <w:sz w:val="20"/>
          <w:shd w:fill="FFFFFF" w:val="clear"/>
        </w:rPr>
        <w:t>Heart, 99(5),</w:t>
      </w:r>
      <w:r>
        <w:rPr>
          <w:color w:val="222222"/>
          <w:sz w:val="20"/>
          <w:shd w:fill="FFFFFF" w:val="clear"/>
        </w:rPr>
        <w:t xml:space="preserve"> 339–347.</w:t>
      </w:r>
    </w:p>
    <w:p>
      <w:pPr>
        <w:pStyle w:val="Normal"/>
        <w:widowControl w:val="false"/>
        <w:numPr>
          <w:ilvl w:val="0"/>
          <w:numId w:val="1"/>
        </w:numPr>
        <w:snapToGrid w:val="false"/>
        <w:spacing w:before="120" w:after="60"/>
        <w:ind w:left="426" w:hanging="426"/>
        <w:rPr>
          <w:color w:val="222222"/>
          <w:sz w:val="20"/>
          <w:highlight w:val="white"/>
        </w:rPr>
      </w:pPr>
      <w:r>
        <w:rPr>
          <w:color w:val="222222"/>
          <w:sz w:val="20"/>
          <w:shd w:fill="FFFFFF" w:val="clear"/>
        </w:rPr>
        <w:t xml:space="preserve">Loureiro, P., Cardoso, B., Gomes, I. B., Martins, J. F., Pinto, F. F. (2017). Long-term results of percutaneous balloon valvuloplasty in neonatal critical pulmonary valve stenosis: a 20-year, single-centre experience. </w:t>
      </w:r>
      <w:r>
        <w:rPr>
          <w:i/>
          <w:iCs/>
          <w:color w:val="222222"/>
          <w:sz w:val="20"/>
          <w:shd w:fill="FFFFFF" w:val="clear"/>
        </w:rPr>
        <w:t xml:space="preserve">Cardiology in the young, 27(7), </w:t>
      </w:r>
      <w:r>
        <w:rPr>
          <w:color w:val="222222"/>
          <w:sz w:val="20"/>
          <w:shd w:fill="FFFFFF" w:val="clear"/>
        </w:rPr>
        <w:t>1314–1322.</w:t>
      </w:r>
    </w:p>
    <w:p>
      <w:pPr>
        <w:pStyle w:val="Normal"/>
        <w:widowControl w:val="false"/>
        <w:numPr>
          <w:ilvl w:val="0"/>
          <w:numId w:val="1"/>
        </w:numPr>
        <w:snapToGrid w:val="false"/>
        <w:spacing w:before="120" w:after="60"/>
        <w:ind w:left="426" w:hanging="426"/>
        <w:rPr>
          <w:color w:val="222222"/>
          <w:sz w:val="20"/>
          <w:highlight w:val="white"/>
          <w:lang w:val="de-DE"/>
        </w:rPr>
      </w:pPr>
      <w:r>
        <w:rPr>
          <w:color w:val="222222"/>
          <w:sz w:val="20"/>
          <w:shd w:fill="FFFFFF" w:val="clear"/>
        </w:rPr>
        <w:t xml:space="preserve">Kan, J. S., White, R. I., Mitchell, S. E., Gardner, T. J. (1982). Percutaneous balloon valvuloplasty: a new method for treating congenital pulmonary-valve stenosis. </w:t>
      </w:r>
      <w:r>
        <w:rPr>
          <w:i/>
          <w:iCs/>
          <w:color w:val="222222"/>
          <w:sz w:val="20"/>
          <w:shd w:fill="FFFFFF" w:val="clear"/>
        </w:rPr>
        <w:t>The New England journal of medicine,</w:t>
      </w:r>
      <w:r>
        <w:rPr>
          <w:i/>
          <w:iCs/>
          <w:color w:val="222222"/>
          <w:sz w:val="20"/>
          <w:shd w:fill="FFFFFF" w:val="clear"/>
          <w:lang w:val="de-DE"/>
        </w:rPr>
        <w:t xml:space="preserve"> 307(9),</w:t>
      </w:r>
      <w:r>
        <w:rPr>
          <w:color w:val="222222"/>
          <w:sz w:val="20"/>
          <w:shd w:fill="FFFFFF" w:val="clear"/>
          <w:lang w:val="de-DE"/>
        </w:rPr>
        <w:t xml:space="preserve"> 540–542.</w:t>
      </w:r>
    </w:p>
    <w:p>
      <w:pPr>
        <w:pStyle w:val="Normal"/>
        <w:widowControl w:val="false"/>
        <w:numPr>
          <w:ilvl w:val="0"/>
          <w:numId w:val="1"/>
        </w:numPr>
        <w:snapToGrid w:val="false"/>
        <w:spacing w:before="120" w:after="60"/>
        <w:ind w:left="426" w:hanging="426"/>
        <w:rPr>
          <w:color w:val="222222"/>
          <w:sz w:val="20"/>
          <w:highlight w:val="white"/>
        </w:rPr>
      </w:pPr>
      <w:r>
        <w:rPr>
          <w:color w:val="222222"/>
          <w:sz w:val="20"/>
          <w:shd w:fill="FFFFFF" w:val="clear"/>
          <w:lang w:val="de-DE"/>
        </w:rPr>
        <w:t xml:space="preserve">Schmaltz, A. A., Bein, G., Grävinghoff, L., Hagel, K., Hentrich, F., Hofstetter, R. et al. </w:t>
      </w:r>
      <w:r>
        <w:rPr>
          <w:color w:val="222222"/>
          <w:sz w:val="20"/>
          <w:shd w:fill="FFFFFF" w:val="clear"/>
        </w:rPr>
        <w:t xml:space="preserve">(1989). Balloon valvuloplasty of pulmonary stenosis in infants and children-co-operative study of the German Society of Pediatric Cardiology. </w:t>
      </w:r>
      <w:r>
        <w:rPr>
          <w:i/>
          <w:iCs/>
          <w:color w:val="222222"/>
          <w:sz w:val="20"/>
          <w:shd w:fill="FFFFFF" w:val="clear"/>
        </w:rPr>
        <w:t>European heart journal, 10(11),</w:t>
      </w:r>
      <w:r>
        <w:rPr>
          <w:color w:val="222222"/>
          <w:sz w:val="20"/>
          <w:shd w:fill="FFFFFF" w:val="clear"/>
        </w:rPr>
        <w:t xml:space="preserve"> 967–971.</w:t>
      </w:r>
    </w:p>
    <w:p>
      <w:pPr>
        <w:pStyle w:val="Normal"/>
        <w:widowControl w:val="false"/>
        <w:numPr>
          <w:ilvl w:val="0"/>
          <w:numId w:val="1"/>
        </w:numPr>
        <w:snapToGrid w:val="false"/>
        <w:spacing w:before="120" w:after="60"/>
        <w:ind w:left="426" w:hanging="426"/>
        <w:rPr>
          <w:color w:val="222222"/>
          <w:sz w:val="20"/>
          <w:highlight w:val="white"/>
        </w:rPr>
      </w:pPr>
      <w:r>
        <w:rPr>
          <w:color w:val="222222"/>
          <w:sz w:val="20"/>
          <w:shd w:fill="FFFFFF" w:val="clear"/>
          <w:lang w:val="de-CH"/>
        </w:rPr>
        <w:t xml:space="preserve">O'Connor, B. K., Beekman, R. H., Lindauer, A., Rocchini, A. (1992). </w:t>
      </w:r>
      <w:r>
        <w:rPr>
          <w:color w:val="222222"/>
          <w:sz w:val="20"/>
          <w:shd w:fill="FFFFFF" w:val="clear"/>
        </w:rPr>
        <w:t xml:space="preserve">Intermediate-term outcome after pulmonary balloon valvuloplasty: comparison with a matched surgical control group. </w:t>
      </w:r>
      <w:r>
        <w:rPr>
          <w:i/>
          <w:iCs/>
          <w:color w:val="222222"/>
          <w:sz w:val="20"/>
          <w:shd w:fill="FFFFFF" w:val="clear"/>
        </w:rPr>
        <w:t>Journal of the American College of Cardiology, 20(1),</w:t>
      </w:r>
      <w:r>
        <w:rPr>
          <w:color w:val="222222"/>
          <w:sz w:val="20"/>
          <w:shd w:fill="FFFFFF" w:val="clear"/>
        </w:rPr>
        <w:t xml:space="preserve"> 169–173.</w:t>
      </w:r>
    </w:p>
    <w:p>
      <w:pPr>
        <w:pStyle w:val="Normal"/>
        <w:widowControl w:val="false"/>
        <w:numPr>
          <w:ilvl w:val="0"/>
          <w:numId w:val="1"/>
        </w:numPr>
        <w:snapToGrid w:val="false"/>
        <w:spacing w:before="120" w:after="60"/>
        <w:ind w:left="426" w:hanging="426"/>
        <w:rPr>
          <w:color w:val="222222"/>
          <w:sz w:val="20"/>
          <w:highlight w:val="white"/>
        </w:rPr>
      </w:pPr>
      <w:r>
        <w:rPr>
          <w:color w:val="222222"/>
          <w:sz w:val="20"/>
          <w:shd w:fill="FFFFFF" w:val="clear"/>
        </w:rPr>
        <w:t xml:space="preserve">Peterson, C., Schilthuis, J. J., Dodge-Khatami, A., Hitchcock, J. F., Meijboom, E. J., Bennink, G. B. (2003) Comparative long-term results of surgery versus balloon valvuloplasty for pulmonary valve stenosis in infants and children. </w:t>
      </w:r>
      <w:r>
        <w:rPr>
          <w:i/>
          <w:iCs/>
          <w:color w:val="222222"/>
          <w:sz w:val="20"/>
          <w:shd w:fill="FFFFFF" w:val="clear"/>
        </w:rPr>
        <w:t>The Annals of thoracic surgery, 76(4),</w:t>
      </w:r>
      <w:r>
        <w:rPr>
          <w:color w:val="222222"/>
          <w:sz w:val="20"/>
          <w:shd w:fill="FFFFFF" w:val="clear"/>
        </w:rPr>
        <w:t xml:space="preserve"> 1078</w:t>
        <w:softHyphen/>
        <w:t>1083.</w:t>
      </w:r>
    </w:p>
    <w:p>
      <w:pPr>
        <w:pStyle w:val="Normal"/>
        <w:widowControl w:val="false"/>
        <w:numPr>
          <w:ilvl w:val="0"/>
          <w:numId w:val="1"/>
        </w:numPr>
        <w:snapToGrid w:val="false"/>
        <w:spacing w:before="120" w:after="60"/>
        <w:ind w:left="426" w:hanging="426"/>
        <w:rPr>
          <w:color w:val="222222"/>
          <w:sz w:val="20"/>
          <w:highlight w:val="white"/>
        </w:rPr>
      </w:pPr>
      <w:r>
        <w:rPr>
          <w:color w:val="222222"/>
          <w:sz w:val="20"/>
          <w:shd w:fill="FFFFFF" w:val="clear"/>
        </w:rPr>
        <w:t xml:space="preserve">Voet, A., Rega, F., de Bruaene, A. V., Troost, E., Gewillig, M., Van Damme, S. et al. (2012). Long-term outcome after treatment of isolated pulmonary valve stenosis. </w:t>
      </w:r>
      <w:r>
        <w:rPr>
          <w:i/>
          <w:iCs/>
          <w:color w:val="222222"/>
          <w:sz w:val="20"/>
          <w:shd w:fill="FFFFFF" w:val="clear"/>
        </w:rPr>
        <w:t>International journal of cardiology, 156(1),</w:t>
      </w:r>
      <w:r>
        <w:rPr>
          <w:color w:val="222222"/>
          <w:sz w:val="20"/>
          <w:shd w:fill="FFFFFF" w:val="clear"/>
        </w:rPr>
        <w:t xml:space="preserve"> 11–15.</w:t>
      </w:r>
    </w:p>
    <w:p>
      <w:pPr>
        <w:pStyle w:val="Normal"/>
        <w:widowControl w:val="false"/>
        <w:numPr>
          <w:ilvl w:val="0"/>
          <w:numId w:val="1"/>
        </w:numPr>
        <w:snapToGrid w:val="false"/>
        <w:spacing w:before="120" w:after="60"/>
        <w:ind w:left="426" w:hanging="426"/>
        <w:rPr>
          <w:color w:val="222222"/>
          <w:sz w:val="20"/>
          <w:highlight w:val="white"/>
        </w:rPr>
      </w:pPr>
      <w:r>
        <w:rPr>
          <w:color w:val="222222"/>
          <w:sz w:val="20"/>
          <w:shd w:fill="FFFFFF" w:val="clear"/>
        </w:rPr>
        <w:t xml:space="preserve">Parent, J. J., Ross, M. M., Bendaly, E. A., Breinholt, J. P. (2017). Results of pulmonary balloon valvuloplasty </w:t>
      </w:r>
      <w:r>
        <w:rPr>
          <w:color w:val="222222"/>
          <w:spacing w:val="-4"/>
          <w:sz w:val="20"/>
          <w:shd w:fill="FFFFFF" w:val="clear"/>
        </w:rPr>
        <w:t xml:space="preserve">persist and improve at late follow-up in isolated pulmonary valve stenosis. </w:t>
      </w:r>
      <w:r>
        <w:rPr>
          <w:i/>
          <w:iCs/>
          <w:color w:val="222222"/>
          <w:spacing w:val="-4"/>
          <w:sz w:val="20"/>
          <w:shd w:fill="FFFFFF" w:val="clear"/>
        </w:rPr>
        <w:t>Cardiology in the young, 27(8),</w:t>
      </w:r>
      <w:r>
        <w:rPr>
          <w:color w:val="222222"/>
          <w:spacing w:val="-4"/>
          <w:sz w:val="20"/>
          <w:shd w:fill="FFFFFF" w:val="clear"/>
        </w:rPr>
        <w:t xml:space="preserve"> 1566–1570.</w:t>
      </w:r>
    </w:p>
    <w:p>
      <w:pPr>
        <w:pStyle w:val="Normal"/>
        <w:widowControl w:val="false"/>
        <w:numPr>
          <w:ilvl w:val="0"/>
          <w:numId w:val="1"/>
        </w:numPr>
        <w:snapToGrid w:val="false"/>
        <w:spacing w:before="120" w:after="60"/>
        <w:ind w:left="426" w:hanging="426"/>
        <w:rPr>
          <w:color w:val="222222"/>
          <w:sz w:val="20"/>
          <w:highlight w:val="white"/>
        </w:rPr>
      </w:pPr>
      <w:r>
        <w:rPr>
          <w:color w:val="222222"/>
          <w:sz w:val="20"/>
          <w:shd w:fill="FFFFFF" w:val="clear"/>
        </w:rPr>
        <w:t xml:space="preserve">Rao, P. S., Galal, O., Patnana, M., Buck, S. H., Wilson, A. D. (1998). Results of three to 10 year follow up of balloon dilatation of the pulmonary valve. </w:t>
      </w:r>
      <w:r>
        <w:rPr>
          <w:i/>
          <w:iCs/>
          <w:color w:val="222222"/>
          <w:sz w:val="20"/>
          <w:shd w:fill="FFFFFF" w:val="clear"/>
        </w:rPr>
        <w:t>Heart, 80(6),</w:t>
      </w:r>
      <w:r>
        <w:rPr>
          <w:color w:val="222222"/>
          <w:sz w:val="20"/>
          <w:shd w:fill="FFFFFF" w:val="clear"/>
        </w:rPr>
        <w:t xml:space="preserve"> 591–595.</w:t>
      </w:r>
    </w:p>
    <w:p>
      <w:pPr>
        <w:pStyle w:val="Normal"/>
        <w:widowControl w:val="false"/>
        <w:numPr>
          <w:ilvl w:val="0"/>
          <w:numId w:val="1"/>
        </w:numPr>
        <w:snapToGrid w:val="false"/>
        <w:spacing w:before="120" w:after="60"/>
        <w:ind w:left="426" w:hanging="426"/>
        <w:rPr>
          <w:color w:val="222222"/>
          <w:sz w:val="20"/>
          <w:highlight w:val="white"/>
        </w:rPr>
      </w:pPr>
      <w:r>
        <w:rPr>
          <w:color w:val="222222"/>
          <w:sz w:val="20"/>
          <w:shd w:fill="FFFFFF" w:val="clear"/>
        </w:rPr>
        <w:t xml:space="preserve">McCrindle, B. W. (1994). Independent predictors of long-term results after balloon pulmonary valvuloplasty. Valvuloplasty and Angioplasty of Congenital Anomalies (VACA) Registry Investigators. </w:t>
      </w:r>
      <w:r>
        <w:rPr>
          <w:i/>
          <w:iCs/>
          <w:color w:val="222222"/>
          <w:sz w:val="20"/>
          <w:shd w:fill="FFFFFF" w:val="clear"/>
        </w:rPr>
        <w:t>Circulation, 89(4),</w:t>
      </w:r>
      <w:r>
        <w:rPr>
          <w:color w:val="222222"/>
          <w:sz w:val="20"/>
          <w:shd w:fill="FFFFFF" w:val="clear"/>
        </w:rPr>
        <w:t xml:space="preserve"> 1751–1759.</w:t>
      </w:r>
    </w:p>
    <w:p>
      <w:pPr>
        <w:pStyle w:val="Normal"/>
        <w:widowControl w:val="false"/>
        <w:numPr>
          <w:ilvl w:val="0"/>
          <w:numId w:val="1"/>
        </w:numPr>
        <w:snapToGrid w:val="false"/>
        <w:spacing w:before="120" w:after="60"/>
        <w:ind w:left="426" w:hanging="426"/>
        <w:rPr>
          <w:color w:val="222222"/>
          <w:sz w:val="20"/>
          <w:highlight w:val="white"/>
        </w:rPr>
      </w:pPr>
      <w:r>
        <w:rPr>
          <w:color w:val="222222"/>
          <w:sz w:val="20"/>
          <w:shd w:fill="FFFFFF" w:val="clear"/>
          <w:lang w:val="fr-CH"/>
        </w:rPr>
        <w:t xml:space="preserve">Holzer, R. J., Gauvreau, K., Kreutzer, J., Trucco, S. M., Torres, A., Shahanavaz, S. et al. </w:t>
      </w:r>
      <w:r>
        <w:rPr>
          <w:color w:val="222222"/>
          <w:sz w:val="20"/>
          <w:shd w:fill="FFFFFF" w:val="clear"/>
        </w:rPr>
        <w:t xml:space="preserve">(2012). Safety and efficacy of balloon pulmonary valvuloplasty: a multicenter experience. </w:t>
      </w:r>
      <w:r>
        <w:rPr>
          <w:i/>
          <w:iCs/>
          <w:color w:val="222222"/>
          <w:sz w:val="20"/>
          <w:shd w:fill="FFFFFF" w:val="clear"/>
        </w:rPr>
        <w:t>Catheterization and cardiovascular interventions: official journal of the Society for Cardiac Angiography &amp; Interventions, 80(4),</w:t>
      </w:r>
      <w:r>
        <w:rPr>
          <w:color w:val="222222"/>
          <w:sz w:val="20"/>
          <w:shd w:fill="FFFFFF" w:val="clear"/>
        </w:rPr>
        <w:t xml:space="preserve"> 663–672.</w:t>
      </w:r>
    </w:p>
    <w:p>
      <w:pPr>
        <w:pStyle w:val="Normal"/>
        <w:widowControl w:val="false"/>
        <w:numPr>
          <w:ilvl w:val="0"/>
          <w:numId w:val="1"/>
        </w:numPr>
        <w:snapToGrid w:val="false"/>
        <w:spacing w:before="120" w:after="60"/>
        <w:ind w:left="426" w:hanging="426"/>
        <w:rPr>
          <w:color w:val="222222"/>
          <w:sz w:val="20"/>
          <w:highlight w:val="white"/>
        </w:rPr>
      </w:pPr>
      <w:r>
        <w:rPr>
          <w:color w:val="222222"/>
          <w:sz w:val="20"/>
          <w:shd w:fill="FFFFFF" w:val="clear"/>
        </w:rPr>
        <w:t xml:space="preserve">McElhinney, D. B., Krantz, I. D., Bason, L., Piccoli, D. A., Emerick, K. M., Spinner, N. B. et al. (2002). Analysis of cardiovascular phenotype and genotype-phenotype correlation in individuals with a JAG1 mutation and/or Alagille syndrome. </w:t>
      </w:r>
      <w:r>
        <w:rPr>
          <w:i/>
          <w:iCs/>
          <w:color w:val="222222"/>
          <w:sz w:val="20"/>
          <w:shd w:fill="FFFFFF" w:val="clear"/>
        </w:rPr>
        <w:t>Circulation, 106(20),</w:t>
      </w:r>
      <w:r>
        <w:rPr>
          <w:color w:val="222222"/>
          <w:sz w:val="20"/>
          <w:shd w:fill="FFFFFF" w:val="clear"/>
        </w:rPr>
        <w:t xml:space="preserve"> 2567–2574.</w:t>
      </w:r>
    </w:p>
    <w:p>
      <w:pPr>
        <w:pStyle w:val="Normal"/>
        <w:widowControl w:val="false"/>
        <w:numPr>
          <w:ilvl w:val="0"/>
          <w:numId w:val="1"/>
        </w:numPr>
        <w:snapToGrid w:val="false"/>
        <w:spacing w:before="120" w:after="60"/>
        <w:ind w:left="426" w:hanging="426"/>
        <w:rPr>
          <w:color w:val="222222"/>
          <w:sz w:val="20"/>
          <w:highlight w:val="white"/>
        </w:rPr>
      </w:pPr>
      <w:r>
        <w:rPr>
          <w:color w:val="222222"/>
          <w:sz w:val="20"/>
          <w:shd w:fill="FFFFFF" w:val="clear"/>
        </w:rPr>
        <w:t xml:space="preserve">Scheiber, D., Fekete, G., Urban, Z., Tarjan, I., Balaton, G., Kosa, L., et al. (2006). Echocardiographic findings in patients with Williams-Beuren syndrome. </w:t>
      </w:r>
      <w:r>
        <w:rPr>
          <w:i/>
          <w:iCs/>
          <w:color w:val="222222"/>
          <w:sz w:val="20"/>
          <w:shd w:fill="FFFFFF" w:val="clear"/>
        </w:rPr>
        <w:t>Wiener klinische Wochenschrift, 118(17–18),</w:t>
      </w:r>
      <w:r>
        <w:rPr>
          <w:color w:val="222222"/>
          <w:sz w:val="20"/>
          <w:shd w:fill="FFFFFF" w:val="clear"/>
        </w:rPr>
        <w:t xml:space="preserve"> 538–542.</w:t>
      </w:r>
    </w:p>
    <w:p>
      <w:pPr>
        <w:pStyle w:val="Normal"/>
        <w:widowControl w:val="false"/>
        <w:numPr>
          <w:ilvl w:val="0"/>
          <w:numId w:val="1"/>
        </w:numPr>
        <w:snapToGrid w:val="false"/>
        <w:spacing w:before="120" w:after="60"/>
        <w:ind w:left="426" w:hanging="426"/>
        <w:rPr>
          <w:color w:val="222222"/>
          <w:sz w:val="20"/>
          <w:highlight w:val="white"/>
          <w:lang w:val="fr-CH"/>
        </w:rPr>
      </w:pPr>
      <w:r>
        <w:rPr>
          <w:color w:val="222222"/>
          <w:sz w:val="20"/>
          <w:shd w:fill="FFFFFF" w:val="clear"/>
        </w:rPr>
        <w:t xml:space="preserve">Warnes, C. A., Williams, R. G., Bashore, T. M., Child, J. S., Connolly, H. M., Dearani, J. A. et al. (2008). ACC/AHA 2008 Guidelines for the Management of Adults with Congenital Heart Disease: Executive Summary: a report of the American College of Cardiology/American Heart Association Task Force on Practice Guidelines (writing committee to develop guidelines for the management of adults with congenital heart disease). </w:t>
      </w:r>
      <w:r>
        <w:rPr>
          <w:i/>
          <w:iCs/>
          <w:color w:val="222222"/>
          <w:sz w:val="20"/>
          <w:shd w:fill="FFFFFF" w:val="clear"/>
          <w:lang w:val="fr-CH"/>
        </w:rPr>
        <w:t>Circulation, 118(23),</w:t>
      </w:r>
      <w:r>
        <w:rPr>
          <w:color w:val="222222"/>
          <w:sz w:val="20"/>
          <w:shd w:fill="FFFFFF" w:val="clear"/>
          <w:lang w:val="fr-CH"/>
        </w:rPr>
        <w:t xml:space="preserve"> 2395–2451.</w:t>
      </w:r>
    </w:p>
    <w:p>
      <w:pPr>
        <w:pStyle w:val="Normal"/>
        <w:widowControl w:val="false"/>
        <w:numPr>
          <w:ilvl w:val="0"/>
          <w:numId w:val="1"/>
        </w:numPr>
        <w:snapToGrid w:val="false"/>
        <w:spacing w:before="120" w:after="60"/>
        <w:ind w:left="426" w:hanging="426"/>
        <w:rPr>
          <w:color w:val="222222"/>
          <w:sz w:val="20"/>
          <w:highlight w:val="white"/>
        </w:rPr>
      </w:pPr>
      <w:r>
        <w:rPr>
          <w:color w:val="222222"/>
          <w:sz w:val="20"/>
          <w:shd w:fill="FFFFFF" w:val="clear"/>
          <w:lang w:val="fr-CH"/>
        </w:rPr>
        <w:t xml:space="preserve">Hong, D., Qian, M. Y., Zhang, Z. W., Wang, S. S., Li, J. J., Li, Y. F., et al. </w:t>
      </w:r>
      <w:r>
        <w:rPr>
          <w:color w:val="222222"/>
          <w:sz w:val="20"/>
          <w:shd w:fill="FFFFFF" w:val="clear"/>
        </w:rPr>
        <w:t xml:space="preserve">(2017). Immediate Therapeutic Outcomes and Medium-term Follow-up of Percutaneous Balloon Pulmonary Valvuloplasty in Infants with Pulmonary Valve Stenosis: A Single-center Retrospective Study. </w:t>
      </w:r>
      <w:r>
        <w:rPr>
          <w:i/>
          <w:iCs/>
          <w:color w:val="222222"/>
          <w:sz w:val="20"/>
          <w:shd w:fill="FFFFFF" w:val="clear"/>
        </w:rPr>
        <w:t>Chinese medical journal, 130(23),</w:t>
      </w:r>
      <w:r>
        <w:rPr>
          <w:color w:val="222222"/>
          <w:sz w:val="20"/>
          <w:shd w:fill="FFFFFF" w:val="clear"/>
        </w:rPr>
        <w:t xml:space="preserve"> 2785–2792.</w:t>
      </w:r>
    </w:p>
    <w:p>
      <w:pPr>
        <w:pStyle w:val="Normal"/>
        <w:widowControl w:val="false"/>
        <w:numPr>
          <w:ilvl w:val="0"/>
          <w:numId w:val="1"/>
        </w:numPr>
        <w:snapToGrid w:val="false"/>
        <w:spacing w:before="120" w:after="60"/>
        <w:ind w:left="426" w:hanging="426"/>
        <w:rPr>
          <w:color w:val="222222"/>
          <w:sz w:val="20"/>
          <w:highlight w:val="white"/>
        </w:rPr>
      </w:pPr>
      <w:r>
        <w:rPr>
          <w:color w:val="222222"/>
          <w:sz w:val="20"/>
          <w:shd w:fill="FFFFFF" w:val="clear"/>
        </w:rPr>
        <w:t xml:space="preserve">Bacha, E. A., Kalimi, R., Starr, J. P., Quinones, J., Koenig, P. (2004). Autologous repair of supravalvar pulmonic stenosis. </w:t>
      </w:r>
      <w:r>
        <w:rPr>
          <w:i/>
          <w:iCs/>
          <w:color w:val="222222"/>
          <w:sz w:val="20"/>
          <w:shd w:fill="FFFFFF" w:val="clear"/>
        </w:rPr>
        <w:t>The Annals of thoracic surgery, 77(2),</w:t>
      </w:r>
      <w:r>
        <w:rPr>
          <w:color w:val="222222"/>
          <w:sz w:val="20"/>
          <w:shd w:fill="FFFFFF" w:val="clear"/>
        </w:rPr>
        <w:t xml:space="preserve"> 734–736.</w:t>
      </w:r>
    </w:p>
    <w:p>
      <w:pPr>
        <w:pStyle w:val="Normal"/>
        <w:widowControl w:val="false"/>
        <w:numPr>
          <w:ilvl w:val="0"/>
          <w:numId w:val="1"/>
        </w:numPr>
        <w:snapToGrid w:val="false"/>
        <w:spacing w:before="120" w:after="60"/>
        <w:ind w:left="426" w:hanging="426"/>
        <w:rPr>
          <w:color w:val="222222"/>
          <w:sz w:val="20"/>
          <w:highlight w:val="white"/>
        </w:rPr>
      </w:pPr>
      <w:r>
        <w:rPr>
          <w:color w:val="222222"/>
          <w:sz w:val="20"/>
          <w:shd w:fill="FFFFFF" w:val="clear"/>
          <w:lang w:val="fr-CH"/>
        </w:rPr>
        <w:t xml:space="preserve">Kodama, K., Owa, M., Saito, M., Katsuki, T., Omura, N., Abe, Y., et al. </w:t>
      </w:r>
      <w:r>
        <w:rPr>
          <w:color w:val="222222"/>
          <w:sz w:val="20"/>
          <w:shd w:fill="FFFFFF" w:val="clear"/>
        </w:rPr>
        <w:t xml:space="preserve">(1992). [A case of adult pulmonary supravalvular membranous stenosis which was successfully treated by percutaneous transluminal balloon dilatation]. </w:t>
      </w:r>
      <w:r>
        <w:rPr>
          <w:i/>
          <w:iCs/>
          <w:color w:val="222222"/>
          <w:sz w:val="20"/>
          <w:shd w:fill="FFFFFF" w:val="clear"/>
        </w:rPr>
        <w:t>Respiration &amp; circulation, 40(10),</w:t>
      </w:r>
      <w:r>
        <w:rPr>
          <w:color w:val="222222"/>
          <w:sz w:val="20"/>
          <w:shd w:fill="FFFFFF" w:val="clear"/>
        </w:rPr>
        <w:t xml:space="preserve"> 1025–1029.</w:t>
      </w:r>
    </w:p>
    <w:p>
      <w:pPr>
        <w:pStyle w:val="Normal"/>
        <w:widowControl w:val="false"/>
        <w:numPr>
          <w:ilvl w:val="0"/>
          <w:numId w:val="1"/>
        </w:numPr>
        <w:snapToGrid w:val="false"/>
        <w:spacing w:before="120" w:after="60"/>
        <w:ind w:left="426" w:hanging="426"/>
        <w:rPr>
          <w:color w:val="222222"/>
          <w:sz w:val="20"/>
          <w:highlight w:val="white"/>
          <w:lang w:val="fr-CH"/>
        </w:rPr>
      </w:pPr>
      <w:r>
        <w:rPr>
          <w:color w:val="222222"/>
          <w:sz w:val="20"/>
          <w:shd w:fill="FFFFFF" w:val="clear"/>
        </w:rPr>
        <w:t xml:space="preserve">Rao, P. S. (1992). Transcatheter treatment of pulmonary outflow tract obstruction: a review. </w:t>
      </w:r>
      <w:r>
        <w:rPr>
          <w:i/>
          <w:iCs/>
          <w:color w:val="222222"/>
          <w:sz w:val="20"/>
          <w:shd w:fill="FFFFFF" w:val="clear"/>
        </w:rPr>
        <w:t>Progress in cardiovascular diseases</w:t>
      </w:r>
      <w:r>
        <w:rPr>
          <w:i/>
          <w:iCs/>
          <w:color w:val="222222"/>
          <w:sz w:val="20"/>
          <w:shd w:fill="FFFFFF" w:val="clear"/>
          <w:lang w:val="fr-CH"/>
        </w:rPr>
        <w:t>, 35(2),</w:t>
      </w:r>
      <w:r>
        <w:rPr>
          <w:color w:val="222222"/>
          <w:sz w:val="20"/>
          <w:shd w:fill="FFFFFF" w:val="clear"/>
          <w:lang w:val="fr-CH"/>
        </w:rPr>
        <w:t xml:space="preserve"> 119–158.</w:t>
      </w:r>
    </w:p>
    <w:p>
      <w:pPr>
        <w:pStyle w:val="Normal"/>
        <w:widowControl w:val="false"/>
        <w:numPr>
          <w:ilvl w:val="0"/>
          <w:numId w:val="1"/>
        </w:numPr>
        <w:snapToGrid w:val="false"/>
        <w:spacing w:before="120" w:after="60"/>
        <w:ind w:left="426" w:hanging="426"/>
        <w:rPr>
          <w:color w:val="222222"/>
          <w:sz w:val="20"/>
          <w:highlight w:val="white"/>
        </w:rPr>
      </w:pPr>
      <w:r>
        <w:rPr>
          <w:color w:val="222222"/>
          <w:sz w:val="20"/>
          <w:shd w:fill="FFFFFF" w:val="clear"/>
          <w:lang w:val="fr-CH"/>
        </w:rPr>
        <w:t xml:space="preserve">Poupart, S., Navarro-Castellanos, I., Raboisson, M. J., Lapierre, C., Dery, J., Miró, J. et al. </w:t>
      </w:r>
      <w:r>
        <w:rPr>
          <w:color w:val="222222"/>
          <w:sz w:val="20"/>
          <w:shd w:fill="FFFFFF" w:val="clear"/>
        </w:rPr>
        <w:t xml:space="preserve">(2021). Supravalvular and Valvular Pulmonary Stenosis: Predictive Features and Responsiveness to Percutaneous Dilation. </w:t>
      </w:r>
      <w:r>
        <w:rPr>
          <w:i/>
          <w:iCs/>
          <w:color w:val="222222"/>
          <w:sz w:val="20"/>
          <w:shd w:fill="FFFFFF" w:val="clear"/>
        </w:rPr>
        <w:t xml:space="preserve">Pediatric cardiology, 42(4), </w:t>
      </w:r>
      <w:r>
        <w:rPr>
          <w:color w:val="222222"/>
          <w:sz w:val="20"/>
          <w:shd w:fill="FFFFFF" w:val="clear"/>
        </w:rPr>
        <w:t>814–820</w:t>
      </w:r>
      <w:r>
        <w:rPr>
          <w:i/>
          <w:iCs/>
          <w:color w:val="222222"/>
          <w:sz w:val="20"/>
          <w:shd w:fill="FFFFFF" w:val="clear"/>
        </w:rPr>
        <w:t>.</w:t>
      </w:r>
    </w:p>
    <w:p>
      <w:pPr>
        <w:pStyle w:val="Normal"/>
        <w:widowControl w:val="false"/>
        <w:numPr>
          <w:ilvl w:val="0"/>
          <w:numId w:val="1"/>
        </w:numPr>
        <w:snapToGrid w:val="false"/>
        <w:spacing w:before="120" w:after="60"/>
        <w:ind w:left="426" w:hanging="426"/>
        <w:rPr>
          <w:color w:val="222222"/>
          <w:sz w:val="20"/>
          <w:highlight w:val="white"/>
        </w:rPr>
      </w:pPr>
      <w:r>
        <w:rPr>
          <w:color w:val="222222"/>
          <w:sz w:val="20"/>
          <w:shd w:fill="FFFFFF" w:val="clear"/>
        </w:rPr>
        <w:t xml:space="preserve">Rao, P. S. (2007). Percutaneous balloon pulmonary valvuloplasty: state of the art. </w:t>
      </w:r>
      <w:r>
        <w:rPr>
          <w:i/>
          <w:iCs/>
          <w:color w:val="222222"/>
          <w:sz w:val="20"/>
          <w:shd w:fill="FFFFFF" w:val="clear"/>
        </w:rPr>
        <w:t>Catheterization and cardiovascular interventions: official journal of the Society for Cardiac Angiography &amp; Interventions, 69(5),</w:t>
      </w:r>
      <w:r>
        <w:rPr>
          <w:color w:val="222222"/>
          <w:sz w:val="20"/>
          <w:shd w:fill="FFFFFF" w:val="clear"/>
        </w:rPr>
        <w:t xml:space="preserve"> 747–763.</w:t>
      </w:r>
    </w:p>
    <w:p>
      <w:pPr>
        <w:pStyle w:val="Normal"/>
        <w:widowControl w:val="false"/>
        <w:numPr>
          <w:ilvl w:val="0"/>
          <w:numId w:val="1"/>
        </w:numPr>
        <w:snapToGrid w:val="false"/>
        <w:spacing w:before="120" w:after="60"/>
        <w:ind w:left="426" w:hanging="426"/>
        <w:rPr>
          <w:color w:val="222222"/>
          <w:sz w:val="20"/>
          <w:highlight w:val="white"/>
          <w:lang w:val="de-DE"/>
        </w:rPr>
      </w:pPr>
      <w:r>
        <w:rPr>
          <w:color w:val="222222"/>
          <w:sz w:val="20"/>
          <w:shd w:fill="FFFFFF" w:val="clear"/>
          <w:lang w:val="de-CH"/>
        </w:rPr>
        <w:t xml:space="preserve">Cohen, C. T., Anderson, V., Desai, S. B., Arunachalam, A., Ahmed, M., Diaz, R. (2021). </w:t>
      </w:r>
      <w:r>
        <w:rPr>
          <w:color w:val="222222"/>
          <w:sz w:val="20"/>
          <w:shd w:fill="FFFFFF" w:val="clear"/>
        </w:rPr>
        <w:t xml:space="preserve">Patient Characteristics and Treatment Outcomes of Symptomatic Catheter-Related Arterial Thrombosis in Infants: A Retrospective Cohort Study. </w:t>
      </w:r>
      <w:r>
        <w:rPr>
          <w:i/>
          <w:iCs/>
          <w:color w:val="222222"/>
          <w:sz w:val="20"/>
          <w:shd w:fill="FFFFFF" w:val="clear"/>
        </w:rPr>
        <w:t>The Journal of pediatrics</w:t>
      </w:r>
      <w:r>
        <w:rPr>
          <w:i/>
          <w:iCs/>
          <w:color w:val="222222"/>
          <w:sz w:val="20"/>
          <w:shd w:fill="FFFFFF" w:val="clear"/>
          <w:lang w:val="de-DE"/>
        </w:rPr>
        <w:t>, 231,</w:t>
      </w:r>
      <w:r>
        <w:rPr>
          <w:color w:val="222222"/>
          <w:sz w:val="20"/>
          <w:shd w:fill="FFFFFF" w:val="clear"/>
          <w:lang w:val="de-DE"/>
        </w:rPr>
        <w:t xml:space="preserve"> 215–222.</w:t>
      </w:r>
    </w:p>
    <w:p>
      <w:pPr>
        <w:pStyle w:val="Normal"/>
        <w:widowControl w:val="false"/>
        <w:numPr>
          <w:ilvl w:val="0"/>
          <w:numId w:val="1"/>
        </w:numPr>
        <w:snapToGrid w:val="false"/>
        <w:spacing w:before="120" w:after="60"/>
        <w:ind w:left="426" w:hanging="426"/>
        <w:rPr>
          <w:color w:val="222222"/>
          <w:sz w:val="20"/>
          <w:highlight w:val="white"/>
        </w:rPr>
      </w:pPr>
      <w:r>
        <w:rPr>
          <w:color w:val="222222"/>
          <w:sz w:val="20"/>
          <w:shd w:fill="FFFFFF" w:val="clear"/>
          <w:lang w:val="de-CH"/>
        </w:rPr>
        <w:t xml:space="preserve">Pardun, N., Lemmer, J., Belker, K., Pringsheim, M., Ewert, P., Wolf, C. M. (2021). </w:t>
      </w:r>
      <w:r>
        <w:rPr>
          <w:color w:val="222222"/>
          <w:sz w:val="20"/>
          <w:shd w:fill="FFFFFF" w:val="clear"/>
        </w:rPr>
        <w:t xml:space="preserve">Low-molecular-weight heparin administered by subcutaneous catheter is a safe and effective anti-coagulation regimen in selected inpatient infants and children with complex congenital heart disease. </w:t>
      </w:r>
      <w:bookmarkStart w:id="1" w:name="_Hlk80882138"/>
      <w:r>
        <w:rPr>
          <w:i/>
          <w:iCs/>
          <w:color w:val="222222"/>
          <w:sz w:val="20"/>
          <w:shd w:fill="FFFFFF" w:val="clear"/>
        </w:rPr>
        <w:t>Cardiology in the young</w:t>
      </w:r>
      <w:bookmarkEnd w:id="1"/>
      <w:r>
        <w:rPr>
          <w:i/>
          <w:iCs/>
          <w:color w:val="222222"/>
          <w:sz w:val="20"/>
          <w:shd w:fill="FFFFFF" w:val="clear"/>
        </w:rPr>
        <w:t xml:space="preserve">, </w:t>
      </w:r>
      <w:r>
        <w:rPr>
          <w:color w:val="222222"/>
          <w:sz w:val="20"/>
          <w:shd w:fill="FFFFFF" w:val="clear"/>
        </w:rPr>
        <w:t>1–6.</w:t>
      </w:r>
    </w:p>
    <w:p>
      <w:pPr>
        <w:pStyle w:val="Normal"/>
        <w:widowControl w:val="false"/>
        <w:numPr>
          <w:ilvl w:val="0"/>
          <w:numId w:val="1"/>
        </w:numPr>
        <w:snapToGrid w:val="false"/>
        <w:spacing w:before="120" w:after="60"/>
        <w:ind w:left="426" w:hanging="426"/>
        <w:rPr>
          <w:color w:val="222222"/>
          <w:sz w:val="20"/>
          <w:highlight w:val="white"/>
        </w:rPr>
      </w:pPr>
      <w:r>
        <w:rPr>
          <w:color w:val="222222"/>
          <w:sz w:val="20"/>
          <w:shd w:fill="FFFFFF" w:val="clear"/>
          <w:lang w:val="de-CH"/>
        </w:rPr>
        <w:t xml:space="preserve">Bergersen, L., Giroud, J. M., Jacobs, J. P., Franklin, R. C., Béland, M. J., Krogmann, O. N., et al. </w:t>
      </w:r>
      <w:r>
        <w:rPr>
          <w:color w:val="222222"/>
          <w:sz w:val="20"/>
          <w:shd w:fill="FFFFFF" w:val="clear"/>
        </w:rPr>
        <w:t>(2011). Report from The International Society for Nomenclature of Paediatric and Congenital Heart Disease: cardiovascular catheterisation for congenital and paediatric cardiac disease (Part 2 - Nomenclature of complications associated with interventional cardiology).</w:t>
      </w:r>
      <w:r>
        <w:rPr>
          <w:i/>
          <w:iCs/>
          <w:color w:val="222222"/>
          <w:sz w:val="20"/>
          <w:shd w:fill="FFFFFF" w:val="clear"/>
        </w:rPr>
        <w:t xml:space="preserve"> Cardiology in the young, 21(3),</w:t>
      </w:r>
      <w:r>
        <w:rPr>
          <w:color w:val="222222"/>
          <w:sz w:val="20"/>
          <w:shd w:fill="FFFFFF" w:val="clear"/>
        </w:rPr>
        <w:t xml:space="preserve"> 260–265.</w:t>
      </w:r>
    </w:p>
    <w:p>
      <w:pPr>
        <w:pStyle w:val="Normal"/>
        <w:widowControl w:val="false"/>
        <w:numPr>
          <w:ilvl w:val="0"/>
          <w:numId w:val="1"/>
        </w:numPr>
        <w:snapToGrid w:val="false"/>
        <w:spacing w:before="120" w:after="60"/>
        <w:ind w:left="426" w:hanging="426"/>
        <w:rPr>
          <w:color w:val="222222"/>
          <w:sz w:val="20"/>
          <w:highlight w:val="white"/>
        </w:rPr>
      </w:pPr>
      <w:r>
        <w:rPr>
          <w:color w:val="222222"/>
          <w:sz w:val="20"/>
          <w:shd w:fill="FFFFFF" w:val="clear"/>
        </w:rPr>
        <w:t xml:space="preserve">Srivastava, S., Parness, I. A. (2009). Tetralogy of Fallot. </w:t>
      </w:r>
      <w:r>
        <w:rPr>
          <w:i/>
          <w:iCs/>
          <w:color w:val="222222"/>
          <w:sz w:val="20"/>
          <w:shd w:fill="FFFFFF" w:val="clear"/>
        </w:rPr>
        <w:t>Echocardiography in pediatric and congenital heart disease: from fetus to adult.</w:t>
      </w:r>
      <w:r>
        <w:rPr>
          <w:color w:val="222222"/>
          <w:sz w:val="20"/>
          <w:shd w:fill="FFFFFF" w:val="clear"/>
        </w:rPr>
        <w:t xml:space="preserve"> pp. 362–384. Oxford: Wiley-Blackwell.</w:t>
      </w:r>
    </w:p>
    <w:p>
      <w:pPr>
        <w:pStyle w:val="Normal"/>
        <w:widowControl w:val="false"/>
        <w:numPr>
          <w:ilvl w:val="0"/>
          <w:numId w:val="1"/>
        </w:numPr>
        <w:snapToGrid w:val="false"/>
        <w:spacing w:before="120" w:after="60"/>
        <w:ind w:left="426" w:hanging="426"/>
        <w:rPr>
          <w:color w:val="222222"/>
          <w:sz w:val="20"/>
          <w:highlight w:val="white"/>
        </w:rPr>
      </w:pPr>
      <w:r>
        <w:rPr>
          <w:color w:val="222222"/>
          <w:sz w:val="20"/>
          <w:shd w:fill="FFFFFF" w:val="clear"/>
        </w:rPr>
        <w:t xml:space="preserve">Karagoz, T., Asoh, K., Hickey, E., Chaturvedi, R., Lee, K. J., Nykanen, D. et al. (2009). Balloon dilation of pulmonary valve stenosis in infants less than 3 kg: a 20-year experience. </w:t>
      </w:r>
      <w:r>
        <w:rPr>
          <w:i/>
          <w:iCs/>
          <w:color w:val="222222"/>
          <w:sz w:val="20"/>
          <w:shd w:fill="FFFFFF" w:val="clear"/>
        </w:rPr>
        <w:t>Catheterization and cardiovascular interventions: official journal of the Society for Cardiac Angiography &amp; Interventions, 74(5),</w:t>
      </w:r>
      <w:r>
        <w:rPr>
          <w:color w:val="222222"/>
          <w:sz w:val="20"/>
          <w:shd w:fill="FFFFFF" w:val="clear"/>
        </w:rPr>
        <w:t xml:space="preserve"> 753–761.</w:t>
      </w:r>
    </w:p>
    <w:p>
      <w:pPr>
        <w:pStyle w:val="Normal"/>
        <w:widowControl w:val="false"/>
        <w:numPr>
          <w:ilvl w:val="0"/>
          <w:numId w:val="1"/>
        </w:numPr>
        <w:snapToGrid w:val="false"/>
        <w:spacing w:before="120" w:after="60"/>
        <w:ind w:left="426" w:hanging="426"/>
        <w:rPr>
          <w:color w:val="222222"/>
          <w:spacing w:val="-2"/>
          <w:sz w:val="20"/>
          <w:highlight w:val="white"/>
        </w:rPr>
      </w:pPr>
      <w:r>
        <w:rPr>
          <w:color w:val="222222"/>
          <w:sz w:val="20"/>
          <w:shd w:fill="FFFFFF" w:val="clear"/>
        </w:rPr>
        <w:t xml:space="preserve">El-Saeidi, S. A., Hamza, H. S., Agha, H. M., Soliman, M. M., Attia, W. A., El-Kaffas, R. et al. (2020). Experience </w:t>
      </w:r>
      <w:r>
        <w:rPr>
          <w:color w:val="222222"/>
          <w:spacing w:val="-2"/>
          <w:sz w:val="20"/>
          <w:shd w:fill="FFFFFF" w:val="clear"/>
        </w:rPr>
        <w:t>with balloon pulmonary valvuloplasty and predictors of outcome: a ten-year study.</w:t>
      </w:r>
      <w:r>
        <w:rPr>
          <w:i/>
          <w:iCs/>
          <w:color w:val="222222"/>
          <w:spacing w:val="-2"/>
          <w:sz w:val="20"/>
          <w:shd w:fill="FFFFFF" w:val="clear"/>
        </w:rPr>
        <w:t xml:space="preserve"> Cardiology in the young,</w:t>
      </w:r>
      <w:r>
        <w:rPr>
          <w:color w:val="222222"/>
          <w:spacing w:val="-2"/>
          <w:sz w:val="20"/>
          <w:shd w:fill="FFFFFF" w:val="clear"/>
        </w:rPr>
        <w:t xml:space="preserve"> 1–7.</w:t>
      </w:r>
    </w:p>
    <w:p>
      <w:pPr>
        <w:pStyle w:val="Normal"/>
        <w:widowControl w:val="false"/>
        <w:numPr>
          <w:ilvl w:val="0"/>
          <w:numId w:val="1"/>
        </w:numPr>
        <w:snapToGrid w:val="false"/>
        <w:spacing w:before="120" w:after="60"/>
        <w:ind w:left="426" w:hanging="426"/>
        <w:rPr>
          <w:color w:val="222222"/>
          <w:sz w:val="20"/>
          <w:highlight w:val="white"/>
        </w:rPr>
      </w:pPr>
      <w:r>
        <w:rPr>
          <w:color w:val="222222"/>
          <w:sz w:val="20"/>
          <w:shd w:fill="FFFFFF" w:val="clear"/>
        </w:rPr>
        <w:t xml:space="preserve">Gudausky, T. M., Beekman, R. H. (2006). Current options, and long-term results for interventional treatment of pulmonary valvar stenosis. </w:t>
      </w:r>
      <w:r>
        <w:rPr>
          <w:i/>
          <w:iCs/>
          <w:color w:val="222222"/>
          <w:sz w:val="20"/>
          <w:shd w:fill="FFFFFF" w:val="clear"/>
        </w:rPr>
        <w:t>Cardiology in the young, 16(5),</w:t>
      </w:r>
      <w:r>
        <w:rPr>
          <w:color w:val="222222"/>
          <w:sz w:val="20"/>
          <w:shd w:fill="FFFFFF" w:val="clear"/>
        </w:rPr>
        <w:t xml:space="preserve"> 418–427.</w:t>
      </w:r>
    </w:p>
    <w:p>
      <w:pPr>
        <w:pStyle w:val="Normal"/>
        <w:widowControl w:val="false"/>
        <w:numPr>
          <w:ilvl w:val="0"/>
          <w:numId w:val="1"/>
        </w:numPr>
        <w:snapToGrid w:val="false"/>
        <w:spacing w:before="120" w:after="60"/>
        <w:ind w:left="426" w:hanging="426"/>
        <w:rPr>
          <w:color w:val="222222"/>
          <w:sz w:val="20"/>
          <w:highlight w:val="white"/>
        </w:rPr>
      </w:pPr>
      <w:r>
        <w:rPr>
          <w:color w:val="222222"/>
          <w:sz w:val="20"/>
          <w:shd w:fill="FFFFFF" w:val="clear"/>
        </w:rPr>
        <w:t xml:space="preserve">Berman, W., Fripp, R. R., Raisher, B. D., Yabek, S. M. (1999). Significant pulmonary valve incompetence following oversize balloon pulmonary valveplasty in small infants: A long-term follow-up study. </w:t>
      </w:r>
      <w:r>
        <w:rPr>
          <w:i/>
          <w:iCs/>
          <w:color w:val="222222"/>
          <w:sz w:val="20"/>
          <w:shd w:fill="FFFFFF" w:val="clear"/>
        </w:rPr>
        <w:t>Catheterization and cardiovascular interventions: official journal of the Society for Cardiac Angiography &amp; Interventions, 48(1),</w:t>
      </w:r>
      <w:r>
        <w:rPr>
          <w:color w:val="222222"/>
          <w:sz w:val="20"/>
          <w:shd w:fill="FFFFFF" w:val="clear"/>
        </w:rPr>
        <w:t xml:space="preserve"> 61–66.</w:t>
      </w:r>
    </w:p>
    <w:p>
      <w:pPr>
        <w:pStyle w:val="Normal"/>
        <w:widowControl w:val="false"/>
        <w:numPr>
          <w:ilvl w:val="0"/>
          <w:numId w:val="1"/>
        </w:numPr>
        <w:snapToGrid w:val="false"/>
        <w:spacing w:before="120" w:after="60"/>
        <w:ind w:left="426" w:hanging="426"/>
        <w:rPr>
          <w:color w:val="222222"/>
          <w:sz w:val="20"/>
          <w:highlight w:val="white"/>
        </w:rPr>
      </w:pPr>
      <w:r>
        <w:rPr>
          <w:color w:val="222222"/>
          <w:sz w:val="20"/>
          <w:shd w:fill="FFFFFF" w:val="clear"/>
        </w:rPr>
        <w:t xml:space="preserve">Poon, L. K., Menahem, S. (2003). Pulmonary regurgitation after percutaneous balloon valvoplasty for isolated pulmonary valvar stenosis in childhood. </w:t>
      </w:r>
      <w:r>
        <w:rPr>
          <w:i/>
          <w:iCs/>
          <w:color w:val="222222"/>
          <w:sz w:val="20"/>
          <w:shd w:fill="FFFFFF" w:val="clear"/>
        </w:rPr>
        <w:t>Cardiology in the young, 13(5),</w:t>
      </w:r>
      <w:r>
        <w:rPr>
          <w:color w:val="222222"/>
          <w:sz w:val="20"/>
          <w:shd w:fill="FFFFFF" w:val="clear"/>
        </w:rPr>
        <w:t xml:space="preserve"> 444–450.</w:t>
      </w:r>
    </w:p>
    <w:p>
      <w:pPr>
        <w:pStyle w:val="Normal"/>
        <w:widowControl w:val="false"/>
        <w:numPr>
          <w:ilvl w:val="0"/>
          <w:numId w:val="1"/>
        </w:numPr>
        <w:snapToGrid w:val="false"/>
        <w:spacing w:before="120" w:after="60"/>
        <w:ind w:left="426" w:hanging="426"/>
        <w:rPr>
          <w:color w:val="222222"/>
          <w:sz w:val="20"/>
          <w:highlight w:val="white"/>
          <w:lang w:val="fr-CH"/>
        </w:rPr>
      </w:pPr>
      <w:r>
        <w:rPr>
          <w:color w:val="222222"/>
          <w:sz w:val="20"/>
          <w:shd w:fill="FFFFFF" w:val="clear"/>
        </w:rPr>
        <w:t xml:space="preserve">Garty, Y., Veldtman, G., Lee, K., Benson, L. (2005). Late outcomes after pulmonary valve balloon dilatation in neonates, infants and children. </w:t>
      </w:r>
      <w:r>
        <w:rPr>
          <w:i/>
          <w:iCs/>
          <w:color w:val="222222"/>
          <w:sz w:val="20"/>
          <w:shd w:fill="FFFFFF" w:val="clear"/>
        </w:rPr>
        <w:t>The Journal of invasive cardiology</w:t>
      </w:r>
      <w:r>
        <w:rPr>
          <w:i/>
          <w:iCs/>
          <w:color w:val="222222"/>
          <w:sz w:val="20"/>
          <w:shd w:fill="FFFFFF" w:val="clear"/>
          <w:lang w:val="fr-CH"/>
        </w:rPr>
        <w:t>, 17(6),</w:t>
      </w:r>
      <w:r>
        <w:rPr>
          <w:color w:val="222222"/>
          <w:sz w:val="20"/>
          <w:shd w:fill="FFFFFF" w:val="clear"/>
          <w:lang w:val="fr-CH"/>
        </w:rPr>
        <w:t xml:space="preserve"> 318–322.</w:t>
      </w:r>
    </w:p>
    <w:p>
      <w:pPr>
        <w:pStyle w:val="Normal"/>
        <w:widowControl w:val="false"/>
        <w:numPr>
          <w:ilvl w:val="0"/>
          <w:numId w:val="1"/>
        </w:numPr>
        <w:snapToGrid w:val="false"/>
        <w:spacing w:before="120" w:after="60"/>
        <w:ind w:left="426" w:hanging="426"/>
        <w:rPr>
          <w:color w:val="222222"/>
          <w:sz w:val="20"/>
          <w:highlight w:val="white"/>
        </w:rPr>
      </w:pPr>
      <w:r>
        <w:rPr>
          <w:color w:val="222222"/>
          <w:sz w:val="20"/>
          <w:shd w:fill="FFFFFF" w:val="clear"/>
          <w:lang w:val="fr-CH"/>
        </w:rPr>
        <w:t xml:space="preserve">Devanagondi, R., Peck, D., Sagi, J., Donohue, J., Yu, S., Pasquali, S. K. et al. </w:t>
      </w:r>
      <w:r>
        <w:rPr>
          <w:color w:val="222222"/>
          <w:sz w:val="20"/>
          <w:shd w:fill="FFFFFF" w:val="clear"/>
        </w:rPr>
        <w:t xml:space="preserve">(2017). Long-Term Outcomes of Balloon Valvuloplasty for Isolated Pulmonary Valve Stenosis. </w:t>
      </w:r>
      <w:r>
        <w:rPr>
          <w:i/>
          <w:iCs/>
          <w:color w:val="222222"/>
          <w:sz w:val="20"/>
          <w:shd w:fill="FFFFFF" w:val="clear"/>
        </w:rPr>
        <w:t>Pediatric cardiology, 38(2),</w:t>
      </w:r>
      <w:r>
        <w:rPr>
          <w:color w:val="222222"/>
          <w:sz w:val="20"/>
          <w:shd w:fill="FFFFFF" w:val="clear"/>
        </w:rPr>
        <w:t xml:space="preserve"> 247–254.</w:t>
      </w:r>
    </w:p>
    <w:p>
      <w:pPr>
        <w:pStyle w:val="Normal"/>
        <w:widowControl w:val="false"/>
        <w:numPr>
          <w:ilvl w:val="0"/>
          <w:numId w:val="1"/>
        </w:numPr>
        <w:snapToGrid w:val="false"/>
        <w:spacing w:before="120" w:after="60"/>
        <w:ind w:left="426" w:hanging="426"/>
        <w:rPr>
          <w:color w:val="222222"/>
          <w:sz w:val="20"/>
          <w:highlight w:val="white"/>
          <w:lang w:val="fr-CH"/>
        </w:rPr>
      </w:pPr>
      <w:r>
        <w:rPr>
          <w:color w:val="222222"/>
          <w:sz w:val="20"/>
          <w:shd w:fill="FFFFFF" w:val="clear"/>
          <w:lang w:val="de-CH"/>
        </w:rPr>
        <w:t xml:space="preserve">Kalra, G. S., Wander, G. S., Anand, I. S. (1990). </w:t>
      </w:r>
      <w:r>
        <w:rPr>
          <w:color w:val="222222"/>
          <w:sz w:val="20"/>
          <w:shd w:fill="FFFFFF" w:val="clear"/>
        </w:rPr>
        <w:t xml:space="preserve">Right sided endocarditis after balloon dilatation of the pulmonary valve. </w:t>
      </w:r>
      <w:r>
        <w:rPr>
          <w:i/>
          <w:iCs/>
          <w:color w:val="222222"/>
          <w:sz w:val="20"/>
          <w:shd w:fill="FFFFFF" w:val="clear"/>
        </w:rPr>
        <w:t>British heart journal</w:t>
      </w:r>
      <w:r>
        <w:rPr>
          <w:i/>
          <w:iCs/>
          <w:color w:val="222222"/>
          <w:sz w:val="20"/>
          <w:shd w:fill="FFFFFF" w:val="clear"/>
          <w:lang w:val="fr-CH"/>
        </w:rPr>
        <w:t>, 63(6),</w:t>
      </w:r>
      <w:r>
        <w:rPr>
          <w:color w:val="222222"/>
          <w:sz w:val="20"/>
          <w:shd w:fill="FFFFFF" w:val="clear"/>
          <w:lang w:val="fr-CH"/>
        </w:rPr>
        <w:t xml:space="preserve"> 368–369.</w:t>
      </w:r>
    </w:p>
    <w:p>
      <w:pPr>
        <w:pStyle w:val="Normal"/>
        <w:widowControl w:val="false"/>
        <w:numPr>
          <w:ilvl w:val="0"/>
          <w:numId w:val="1"/>
        </w:numPr>
        <w:snapToGrid w:val="false"/>
        <w:spacing w:before="120" w:after="60"/>
        <w:ind w:left="426" w:hanging="426"/>
        <w:rPr>
          <w:color w:val="222222"/>
          <w:spacing w:val="-4"/>
          <w:sz w:val="20"/>
          <w:highlight w:val="white"/>
          <w:lang w:val="fr-CH"/>
        </w:rPr>
      </w:pPr>
      <w:r>
        <w:rPr>
          <w:color w:val="222222"/>
          <w:sz w:val="20"/>
          <w:shd w:fill="FFFFFF" w:val="clear"/>
          <w:lang w:val="fr-CH"/>
        </w:rPr>
        <w:t>Santoro, G., Formigari, R., Di Carlo, D., Pasquini, L., Ballerini, L. (1995).</w:t>
      </w:r>
      <w:r>
        <w:rPr>
          <w:color w:val="222222"/>
          <w:spacing w:val="-3"/>
          <w:sz w:val="20"/>
          <w:shd w:fill="FFFFFF" w:val="clear"/>
          <w:lang w:val="fr-CH"/>
        </w:rPr>
        <w:t xml:space="preserve"> </w:t>
      </w:r>
      <w:r>
        <w:rPr>
          <w:color w:val="222222"/>
          <w:spacing w:val="-3"/>
          <w:sz w:val="20"/>
          <w:shd w:fill="FFFFFF" w:val="clear"/>
        </w:rPr>
        <w:t xml:space="preserve">Midterm outcome after pulmonary balloon valvuloplasty in patients younger than one year of age. </w:t>
      </w:r>
      <w:r>
        <w:rPr>
          <w:i/>
          <w:iCs/>
          <w:color w:val="222222"/>
          <w:spacing w:val="-3"/>
          <w:sz w:val="20"/>
          <w:shd w:fill="FFFFFF" w:val="clear"/>
        </w:rPr>
        <w:t>The American journal of cardiology</w:t>
      </w:r>
      <w:r>
        <w:rPr>
          <w:i/>
          <w:iCs/>
          <w:color w:val="222222"/>
          <w:spacing w:val="-3"/>
          <w:sz w:val="20"/>
          <w:shd w:fill="FFFFFF" w:val="clear"/>
          <w:lang w:val="fr-CH"/>
        </w:rPr>
        <w:t>, 75(8),</w:t>
      </w:r>
      <w:r>
        <w:rPr>
          <w:color w:val="222222"/>
          <w:spacing w:val="-3"/>
          <w:sz w:val="20"/>
          <w:shd w:fill="FFFFFF" w:val="clear"/>
          <w:lang w:val="fr-CH"/>
        </w:rPr>
        <w:t xml:space="preserve"> 637–639.</w:t>
      </w:r>
    </w:p>
    <w:p>
      <w:pPr>
        <w:pStyle w:val="Normal"/>
        <w:widowControl w:val="false"/>
        <w:numPr>
          <w:ilvl w:val="0"/>
          <w:numId w:val="1"/>
        </w:numPr>
        <w:snapToGrid w:val="false"/>
        <w:spacing w:before="120" w:after="60"/>
        <w:ind w:left="426" w:hanging="426"/>
        <w:rPr>
          <w:color w:val="222222"/>
          <w:sz w:val="20"/>
          <w:highlight w:val="white"/>
          <w:lang w:val="fr-CH"/>
        </w:rPr>
      </w:pPr>
      <w:r>
        <w:rPr>
          <w:color w:val="222222"/>
          <w:sz w:val="20"/>
          <w:shd w:fill="FFFFFF" w:val="clear"/>
          <w:lang w:val="fr-CH"/>
        </w:rPr>
        <w:t xml:space="preserve">Prendiville, T. W., Gauvreau, K., Tworog-Dube, E., Patkin, L., Kucherlapati, R. S., Roberts, A. E. et al. (2014). Cardiovascular disease in Noonan syndrome. </w:t>
      </w:r>
      <w:r>
        <w:rPr>
          <w:i/>
          <w:iCs/>
          <w:color w:val="222222"/>
          <w:sz w:val="20"/>
          <w:shd w:fill="FFFFFF" w:val="clear"/>
        </w:rPr>
        <w:t>Archives of disease in childhood</w:t>
      </w:r>
      <w:r>
        <w:rPr>
          <w:i/>
          <w:iCs/>
          <w:color w:val="222222"/>
          <w:sz w:val="20"/>
          <w:shd w:fill="FFFFFF" w:val="clear"/>
          <w:lang w:val="fr-CH"/>
        </w:rPr>
        <w:t>, 99(7),</w:t>
      </w:r>
      <w:r>
        <w:rPr>
          <w:color w:val="222222"/>
          <w:sz w:val="20"/>
          <w:shd w:fill="FFFFFF" w:val="clear"/>
          <w:lang w:val="fr-CH"/>
        </w:rPr>
        <w:t xml:space="preserve"> 629–634.</w:t>
      </w:r>
    </w:p>
    <w:p>
      <w:pPr>
        <w:pStyle w:val="Normal"/>
        <w:widowControl w:val="false"/>
        <w:numPr>
          <w:ilvl w:val="0"/>
          <w:numId w:val="1"/>
        </w:numPr>
        <w:snapToGrid w:val="false"/>
        <w:spacing w:before="120" w:after="60"/>
        <w:ind w:left="426" w:hanging="426"/>
        <w:rPr>
          <w:color w:val="222222"/>
          <w:sz w:val="20"/>
          <w:highlight w:val="white"/>
        </w:rPr>
      </w:pPr>
      <w:r>
        <w:rPr>
          <w:color w:val="222222"/>
          <w:sz w:val="20"/>
          <w:shd w:fill="FFFFFF" w:val="clear"/>
          <w:lang w:val="de-CH"/>
        </w:rPr>
        <w:t xml:space="preserve">Tulzer, A., Arzt, W., Gitter, R., Prandstetter, C., Grohmann, E., Mair, R., et al. </w:t>
      </w:r>
      <w:r>
        <w:rPr>
          <w:color w:val="222222"/>
          <w:sz w:val="20"/>
          <w:shd w:fill="FFFFFF" w:val="clear"/>
        </w:rPr>
        <w:t xml:space="preserve">(2018). Immediate effects and outcome of in-utero pulmonary valvuloplasty in fetuses with pulmonary atresia with intact ventricular septum or critical pulmonary stenosis. </w:t>
      </w:r>
      <w:r>
        <w:rPr>
          <w:i/>
          <w:iCs/>
          <w:color w:val="222222"/>
          <w:sz w:val="20"/>
          <w:shd w:fill="FFFFFF" w:val="clear"/>
        </w:rPr>
        <w:t>Ultrasound in obstetrics &amp; gynecology: the official journal of the International Society of Ultrasound in Obstetrics and Gynecology, 52(2),</w:t>
      </w:r>
      <w:r>
        <w:rPr>
          <w:color w:val="222222"/>
          <w:sz w:val="20"/>
          <w:shd w:fill="FFFFFF" w:val="clear"/>
        </w:rPr>
        <w:t xml:space="preserve"> 230–237.</w:t>
      </w:r>
    </w:p>
    <w:p>
      <w:pPr>
        <w:pStyle w:val="Normal"/>
        <w:widowControl w:val="false"/>
        <w:numPr>
          <w:ilvl w:val="0"/>
          <w:numId w:val="1"/>
        </w:numPr>
        <w:snapToGrid w:val="false"/>
        <w:spacing w:before="120" w:after="60"/>
        <w:ind w:left="426" w:hanging="426"/>
        <w:rPr>
          <w:color w:val="222222"/>
          <w:sz w:val="20"/>
          <w:highlight w:val="white"/>
        </w:rPr>
      </w:pPr>
      <w:r>
        <w:rPr>
          <w:color w:val="222222"/>
          <w:sz w:val="20"/>
          <w:shd w:fill="FFFFFF" w:val="clear"/>
        </w:rPr>
        <w:t xml:space="preserve">Valente, A. M., Cook, S., Festa, P., Ko, H. H., Krishnamurthy R., Taylor, A. M. et al. (2014). Multimodality imaging guidelines for patients with repaired tetralogy of fallot: a report from the AmericanSsociety of Echocardiography: developed in collaboration with the Society for Cardiovascular Magnetic Resonance and the Society for Pediatric Radiology. </w:t>
      </w:r>
      <w:r>
        <w:rPr>
          <w:i/>
          <w:iCs/>
          <w:color w:val="222222"/>
          <w:sz w:val="20"/>
          <w:shd w:fill="FFFFFF" w:val="clear"/>
        </w:rPr>
        <w:t>Journal of the American Society of Echocardiography: official publication of the American Society of Echocardiography, 27(2),</w:t>
      </w:r>
      <w:r>
        <w:rPr>
          <w:color w:val="222222"/>
          <w:sz w:val="20"/>
          <w:shd w:fill="FFFFFF" w:val="clear"/>
        </w:rPr>
        <w:t xml:space="preserve"> 111–141.</w:t>
      </w:r>
    </w:p>
    <w:p>
      <w:pPr>
        <w:pStyle w:val="Normal"/>
        <w:widowControl w:val="false"/>
        <w:numPr>
          <w:ilvl w:val="0"/>
          <w:numId w:val="1"/>
        </w:numPr>
        <w:snapToGrid w:val="false"/>
        <w:spacing w:before="120" w:after="60"/>
        <w:ind w:left="426" w:hanging="426"/>
        <w:rPr>
          <w:color w:val="222222"/>
          <w:sz w:val="20"/>
          <w:highlight w:val="white"/>
        </w:rPr>
      </w:pPr>
      <w:r>
        <w:rPr>
          <w:color w:val="222222"/>
          <w:sz w:val="20"/>
          <w:shd w:fill="FFFFFF" w:val="clear"/>
          <w:lang w:val="de-CH"/>
        </w:rPr>
        <w:t xml:space="preserve">Dellas, C., Kammerer, L., Gravenhorst, V., Lotz, J., Paul, T., Steinmetz, M. (2018). </w:t>
      </w:r>
      <w:r>
        <w:rPr>
          <w:color w:val="222222"/>
          <w:sz w:val="20"/>
          <w:shd w:fill="FFFFFF" w:val="clear"/>
        </w:rPr>
        <w:t>Quantification of pulmonary regurgitation and prediction of pulmonary valve replacement by echocardiography in patients with congenital heart defects in comparison to cardiac magnetic resonance imaging.</w:t>
      </w:r>
      <w:r>
        <w:rPr>
          <w:rFonts w:cs="Segoe UI" w:ascii="Segoe UI" w:hAnsi="Segoe UI"/>
          <w:i/>
          <w:iCs/>
          <w:color w:val="212121"/>
          <w:shd w:fill="FFFFFF" w:val="clear"/>
        </w:rPr>
        <w:t xml:space="preserve"> </w:t>
      </w:r>
      <w:r>
        <w:rPr>
          <w:i/>
          <w:iCs/>
          <w:color w:val="222222"/>
          <w:sz w:val="20"/>
          <w:shd w:fill="FFFFFF" w:val="clear"/>
        </w:rPr>
        <w:t>The international journal of cardiovascular imaging</w:t>
      </w:r>
      <w:r>
        <w:rPr>
          <w:i/>
          <w:iCs/>
          <w:color w:val="222222"/>
          <w:sz w:val="20"/>
          <w:shd w:fill="FFFFFF" w:val="clear"/>
          <w:lang w:val="de-CH"/>
        </w:rPr>
        <w:t>, 34(4),</w:t>
      </w:r>
      <w:r>
        <w:rPr>
          <w:color w:val="222222"/>
          <w:sz w:val="20"/>
          <w:shd w:fill="FFFFFF" w:val="clear"/>
          <w:lang w:val="de-CH"/>
        </w:rPr>
        <w:t xml:space="preserve"> 607–613.</w:t>
      </w:r>
    </w:p>
    <w:sectPr>
      <w:headerReference w:type="even" r:id="rId11"/>
      <w:headerReference w:type="default" r:id="rId12"/>
      <w:footerReference w:type="even" r:id="rId13"/>
      <w:footerReference w:type="default" r:id="rId14"/>
      <w:type w:val="nextPage"/>
      <w:pgSz w:w="12240" w:h="15840"/>
      <w:pgMar w:left="1440" w:right="1440" w:header="283" w:top="1440" w:footer="283" w:bottom="1440" w:gutter="0"/>
      <w:pgNumType w:fmt="decimal"/>
      <w:formProt w:val="false"/>
      <w:textDirection w:val="lrTb"/>
      <w:docGrid w:type="default" w:linePitch="299"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egoe UI">
    <w:charset w:val="01"/>
    <w:family w:val="roman"/>
    <w:pitch w:val="variable"/>
  </w:font>
  <w:font w:name="CMR9">
    <w:charset w:val="01"/>
    <w:family w:val="roman"/>
    <w:pitch w:val="variable"/>
  </w:font>
  <w:font w:name="Euclid">
    <w:charset w:val="01"/>
    <w:family w:val="roman"/>
    <w:pitch w:val="variable"/>
  </w:font>
  <w:font w:name="Liberation Sans">
    <w:altName w:val="Arial"/>
    <w:charset w:val="01"/>
    <w:family w:val="roman"/>
    <w:pitch w:val="variable"/>
  </w:font>
  <w:font w:name="Palatino Linotype">
    <w:charset w:val="01"/>
    <w:family w:val="roman"/>
    <w:pitch w:val="variable"/>
  </w:font>
  <w:font w:name="Minion pro">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8955" w:type="dxa"/>
      <w:jc w:val="center"/>
      <w:tblInd w:w="0" w:type="dxa"/>
      <w:tblCellMar>
        <w:top w:w="0" w:type="dxa"/>
        <w:left w:w="108" w:type="dxa"/>
        <w:bottom w:w="0" w:type="dxa"/>
        <w:right w:w="108" w:type="dxa"/>
      </w:tblCellMar>
      <w:tblLook w:val="04a0" w:noHBand="0" w:noVBand="1" w:firstColumn="1" w:lastRow="0" w:lastColumn="0" w:firstRow="1"/>
    </w:tblPr>
    <w:tblGrid>
      <w:gridCol w:w="1806"/>
      <w:gridCol w:w="7148"/>
    </w:tblGrid>
    <w:tr>
      <w:trPr>
        <w:trHeight w:val="426" w:hRule="atLeast"/>
      </w:trPr>
      <w:tc>
        <w:tcPr>
          <w:tcW w:w="1806" w:type="dxa"/>
          <w:tcBorders/>
          <w:shd w:color="auto" w:fill="auto" w:val="clear"/>
          <w:vAlign w:val="center"/>
        </w:tcPr>
        <w:p>
          <w:pPr>
            <w:pStyle w:val="Footer"/>
            <w:spacing w:before="0" w:after="60"/>
            <w:rPr>
              <w:bCs/>
              <w:lang w:bidi="en-US"/>
            </w:rPr>
          </w:pPr>
          <w:r>
            <w:rPr/>
            <w:drawing>
              <wp:inline distT="0" distB="0" distL="0" distR="0">
                <wp:extent cx="1000125" cy="361950"/>
                <wp:effectExtent l="0" t="0" r="0" b="0"/>
                <wp:docPr id="5" name="图片 7" descr="copy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copyRight"/>
                        <pic:cNvPicPr>
                          <a:picLocks noChangeAspect="1" noChangeArrowheads="1"/>
                        </pic:cNvPicPr>
                      </pic:nvPicPr>
                      <pic:blipFill>
                        <a:blip r:embed="rId1"/>
                        <a:stretch>
                          <a:fillRect/>
                        </a:stretch>
                      </pic:blipFill>
                      <pic:spPr bwMode="auto">
                        <a:xfrm>
                          <a:off x="0" y="0"/>
                          <a:ext cx="1000125" cy="361950"/>
                        </a:xfrm>
                        <a:prstGeom prst="rect">
                          <a:avLst/>
                        </a:prstGeom>
                      </pic:spPr>
                    </pic:pic>
                  </a:graphicData>
                </a:graphic>
              </wp:inline>
            </w:drawing>
          </w:r>
        </w:p>
      </w:tc>
      <w:tc>
        <w:tcPr>
          <w:tcW w:w="7148" w:type="dxa"/>
          <w:tcBorders/>
          <w:shd w:color="auto" w:fill="auto" w:val="clear"/>
          <w:vAlign w:val="center"/>
        </w:tcPr>
        <w:p>
          <w:pPr>
            <w:pStyle w:val="Footer"/>
            <w:spacing w:before="0" w:after="60"/>
            <w:rPr>
              <w:bCs/>
              <w:sz w:val="18"/>
              <w:szCs w:val="18"/>
              <w:lang w:bidi="en-US"/>
            </w:rPr>
          </w:pPr>
          <w:r>
            <w:rPr>
              <w:sz w:val="18"/>
              <w:szCs w:val="18"/>
              <w:lang w:bidi="en-US"/>
            </w:rPr>
            <w:t>This work is licensed under a Creative Commons Attribution 4.0 International License, which permits unrestricted use, distribution, and reproduction in any medium, provided the original work is properly cited.</w:t>
          </w:r>
        </w:p>
      </w:tc>
    </w:tr>
  </w:tbl>
  <w:p>
    <w:pPr>
      <w:pStyle w:val="Footer"/>
      <w:spacing w:before="0" w:after="6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60"/>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050" w:type="dxa"/>
      <w:jc w:val="center"/>
      <w:tblInd w:w="0" w:type="dxa"/>
      <w:tblCellMar>
        <w:top w:w="0" w:type="dxa"/>
        <w:left w:w="108" w:type="dxa"/>
        <w:bottom w:w="0" w:type="dxa"/>
        <w:right w:w="108" w:type="dxa"/>
      </w:tblCellMar>
      <w:tblLook w:val="04a0" w:noHBand="0" w:noVBand="1" w:firstColumn="1" w:lastRow="0" w:lastColumn="0" w:firstRow="1"/>
    </w:tblPr>
    <w:tblGrid>
      <w:gridCol w:w="1899"/>
      <w:gridCol w:w="7150"/>
    </w:tblGrid>
    <w:tr>
      <w:trPr>
        <w:trHeight w:val="426" w:hRule="atLeast"/>
      </w:trPr>
      <w:tc>
        <w:tcPr>
          <w:tcW w:w="1899" w:type="dxa"/>
          <w:tcBorders/>
          <w:shd w:color="auto" w:fill="auto" w:val="clear"/>
          <w:vAlign w:val="center"/>
        </w:tcPr>
        <w:p>
          <w:pPr>
            <w:pStyle w:val="MDPI71References"/>
            <w:numPr>
              <w:ilvl w:val="0"/>
              <w:numId w:val="0"/>
            </w:numPr>
            <w:ind w:left="-85" w:hanging="0"/>
            <w:rPr>
              <w:rFonts w:eastAsia="宋体"/>
              <w:bCs/>
            </w:rPr>
          </w:pPr>
          <w:r>
            <w:rPr/>
            <w:drawing>
              <wp:inline distT="0" distB="0" distL="0" distR="0">
                <wp:extent cx="1000125" cy="361950"/>
                <wp:effectExtent l="0" t="0" r="0" b="0"/>
                <wp:docPr id="9" name="图片 32" descr="copy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2" descr="copyRight"/>
                        <pic:cNvPicPr>
                          <a:picLocks noChangeAspect="1" noChangeArrowheads="1"/>
                        </pic:cNvPicPr>
                      </pic:nvPicPr>
                      <pic:blipFill>
                        <a:blip r:embed="rId1"/>
                        <a:stretch>
                          <a:fillRect/>
                        </a:stretch>
                      </pic:blipFill>
                      <pic:spPr bwMode="auto">
                        <a:xfrm>
                          <a:off x="0" y="0"/>
                          <a:ext cx="1000125" cy="361950"/>
                        </a:xfrm>
                        <a:prstGeom prst="rect">
                          <a:avLst/>
                        </a:prstGeom>
                      </pic:spPr>
                    </pic:pic>
                  </a:graphicData>
                </a:graphic>
              </wp:inline>
            </w:drawing>
          </w:r>
        </w:p>
      </w:tc>
      <w:tc>
        <w:tcPr>
          <w:tcW w:w="7150" w:type="dxa"/>
          <w:tcBorders/>
          <w:shd w:color="auto" w:fill="auto" w:val="clear"/>
          <w:vAlign w:val="center"/>
        </w:tcPr>
        <w:p>
          <w:pPr>
            <w:pStyle w:val="MDPI71References"/>
            <w:numPr>
              <w:ilvl w:val="0"/>
              <w:numId w:val="0"/>
            </w:numPr>
            <w:spacing w:lineRule="auto" w:line="240"/>
            <w:ind w:left="-85" w:hanging="0"/>
            <w:rPr>
              <w:rFonts w:ascii="Times New Roman" w:hAnsi="Times New Roman" w:eastAsia="宋体"/>
              <w:bCs/>
              <w:szCs w:val="18"/>
            </w:rPr>
          </w:pPr>
          <w:r>
            <w:rPr>
              <w:rFonts w:ascii="Times New Roman" w:hAnsi="Times New Roman"/>
              <w:szCs w:val="18"/>
            </w:rPr>
            <w:t>This work is licensed under a Creative Commons Attribution 4.0 International License, which permits unrestricted use, distribution, and reproduction in any medium, provided the original work is properly cited.</w:t>
          </w:r>
        </w:p>
      </w:tc>
    </w:tr>
  </w:tbl>
  <w:p>
    <w:pPr>
      <w:pStyle w:val="Footer"/>
      <w:spacing w:before="0" w:after="6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6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0"/>
      <w:ind w:left="141" w:hanging="141"/>
      <w:jc w:val="right"/>
      <w:rPr/>
    </w:pPr>
    <w:r>
      <w:rPr/>
      <w:t xml:space="preserve">                                                                 </w:t>
    </w:r>
  </w:p>
  <w:p>
    <w:pPr>
      <w:pStyle w:val="Header"/>
      <w:spacing w:before="0" w:after="0"/>
      <w:jc w:val="left"/>
      <w:rPr/>
    </w:pPr>
    <w:r>
      <w:rPr/>
    </w:r>
  </w:p>
  <w:p>
    <w:pPr>
      <w:pStyle w:val="Normal"/>
      <w:tabs>
        <w:tab w:val="clear" w:pos="719"/>
        <w:tab w:val="left" w:pos="-142" w:leader="none"/>
      </w:tabs>
      <w:spacing w:before="0" w:after="0"/>
      <w:ind w:left="-284" w:hanging="141"/>
      <w:jc w:val="left"/>
      <w:rPr>
        <w:rFonts w:eastAsia="Times New Roman"/>
        <w:b/>
        <w:b/>
        <w:bCs/>
        <w:i/>
        <w:i/>
        <w:iCs/>
        <w:sz w:val="18"/>
        <w:szCs w:val="18"/>
      </w:rPr>
    </w:pPr>
    <w:r>
      <w:drawing>
        <wp:anchor behindDoc="1" distT="0" distB="0" distL="0" distR="0" simplePos="0" locked="0" layoutInCell="1" allowOverlap="1" relativeHeight="5">
          <wp:simplePos x="0" y="0"/>
          <wp:positionH relativeFrom="column">
            <wp:posOffset>4643120</wp:posOffset>
          </wp:positionH>
          <wp:positionV relativeFrom="paragraph">
            <wp:posOffset>130175</wp:posOffset>
          </wp:positionV>
          <wp:extent cx="1287780" cy="192405"/>
          <wp:effectExtent l="0" t="0" r="0" b="0"/>
          <wp:wrapNone/>
          <wp:docPr id="3"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
                  <pic:cNvPicPr>
                    <a:picLocks noChangeAspect="1" noChangeArrowheads="1"/>
                  </pic:cNvPicPr>
                </pic:nvPicPr>
                <pic:blipFill>
                  <a:blip r:embed="rId1"/>
                  <a:stretch>
                    <a:fillRect/>
                  </a:stretch>
                </pic:blipFill>
                <pic:spPr bwMode="auto">
                  <a:xfrm>
                    <a:off x="0" y="0"/>
                    <a:ext cx="1287780" cy="192405"/>
                  </a:xfrm>
                  <a:prstGeom prst="rect">
                    <a:avLst/>
                  </a:prstGeom>
                </pic:spPr>
              </pic:pic>
            </a:graphicData>
          </a:graphic>
        </wp:anchor>
      </w:drawing>
    </w:r>
    <w:r>
      <w:rPr>
        <w:rFonts w:eastAsia="Times New Roman"/>
        <w:b/>
        <w:bCs/>
        <w:i/>
        <w:iCs/>
        <w:sz w:val="18"/>
        <w:szCs w:val="18"/>
      </w:rPr>
      <w:t xml:space="preserve"> </w:t>
    </w:r>
    <w:r>
      <w:rPr>
        <w:rFonts w:eastAsia="Times New Roman"/>
        <w:b/>
        <w:bCs/>
        <w:i/>
        <w:iCs/>
        <w:sz w:val="18"/>
        <w:szCs w:val="18"/>
      </w:rPr>
      <w:t xml:space="preserve">        </w:t>
    </w:r>
    <w:r>
      <w:rPr/>
      <w:drawing>
        <wp:inline distT="0" distB="0" distL="0" distR="0">
          <wp:extent cx="1682115" cy="433705"/>
          <wp:effectExtent l="0" t="0" r="0" b="0"/>
          <wp:docPr id="4"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descr=""/>
                  <pic:cNvPicPr>
                    <a:picLocks noChangeAspect="1" noChangeArrowheads="1"/>
                  </pic:cNvPicPr>
                </pic:nvPicPr>
                <pic:blipFill>
                  <a:blip r:embed="rId2"/>
                  <a:srcRect l="2940" t="0" r="0" b="0"/>
                  <a:stretch>
                    <a:fillRect/>
                  </a:stretch>
                </pic:blipFill>
                <pic:spPr bwMode="auto">
                  <a:xfrm>
                    <a:off x="0" y="0"/>
                    <a:ext cx="1682115" cy="433705"/>
                  </a:xfrm>
                  <a:prstGeom prst="rect">
                    <a:avLst/>
                  </a:prstGeom>
                </pic:spPr>
              </pic:pic>
            </a:graphicData>
          </a:graphic>
        </wp:inline>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sz w:val="20"/>
      </w:rPr>
    </w:pPr>
    <w:r>
      <w:rPr>
        <w:sz w:val="20"/>
      </w:rPr>
    </w:r>
  </w:p>
  <w:p>
    <w:pPr>
      <w:pStyle w:val="Header"/>
      <w:rPr>
        <w:sz w:val="20"/>
      </w:rPr>
    </w:pPr>
    <w:r>
      <w:rPr>
        <w:sz w:val="20"/>
      </w:rPr>
    </w:r>
  </w:p>
  <w:tbl>
    <w:tblPr>
      <w:tblStyle w:val="afa"/>
      <w:tblW w:w="9350" w:type="dxa"/>
      <w:jc w:val="left"/>
      <w:tblInd w:w="0" w:type="dxa"/>
      <w:tblCellMar>
        <w:top w:w="0" w:type="dxa"/>
        <w:left w:w="108" w:type="dxa"/>
        <w:bottom w:w="0" w:type="dxa"/>
        <w:right w:w="108" w:type="dxa"/>
      </w:tblCellMar>
      <w:tblLook w:val="04a0" w:noHBand="0" w:noVBand="1" w:firstColumn="1" w:lastRow="0" w:lastColumn="0" w:firstRow="1"/>
    </w:tblPr>
    <w:tblGrid>
      <w:gridCol w:w="709"/>
      <w:gridCol w:w="8640"/>
    </w:tblGrid>
    <w:tr>
      <w:trPr/>
      <w:tc>
        <w:tcPr>
          <w:tcW w:w="709" w:type="dxa"/>
          <w:tcBorders>
            <w:top w:val="nil"/>
            <w:left w:val="nil"/>
            <w:bottom w:val="nil"/>
            <w:right w:val="nil"/>
          </w:tcBorders>
        </w:tcPr>
        <w:p>
          <w:pPr>
            <w:pStyle w:val="Header"/>
            <w:spacing w:before="0" w:after="60"/>
            <w:ind w:hanging="106"/>
            <w:rPr>
              <w:sz w:val="20"/>
            </w:rPr>
          </w:pPr>
          <w:r>
            <w:rPr>
              <w:sz w:val="20"/>
            </w:rPr>
            <w:fldChar w:fldCharType="begin"/>
          </w:r>
          <w:r>
            <w:rPr>
              <w:sz w:val="20"/>
            </w:rPr>
            <w:instrText> PAGE </w:instrText>
          </w:r>
          <w:r>
            <w:rPr>
              <w:sz w:val="20"/>
            </w:rPr>
            <w:fldChar w:fldCharType="separate"/>
          </w:r>
          <w:r>
            <w:rPr>
              <w:sz w:val="20"/>
            </w:rPr>
            <w:t>2</w:t>
          </w:r>
          <w:r>
            <w:rPr>
              <w:sz w:val="20"/>
            </w:rPr>
            <w:fldChar w:fldCharType="end"/>
          </w:r>
        </w:p>
      </w:tc>
      <w:tc>
        <w:tcPr>
          <w:tcW w:w="8640" w:type="dxa"/>
          <w:tcBorders>
            <w:top w:val="nil"/>
            <w:left w:val="nil"/>
            <w:bottom w:val="nil"/>
            <w:right w:val="nil"/>
          </w:tcBorders>
        </w:tcPr>
        <w:p>
          <w:pPr>
            <w:pStyle w:val="Header"/>
            <w:tabs>
              <w:tab w:val="clear" w:pos="8640"/>
              <w:tab w:val="center" w:pos="4320" w:leader="none"/>
              <w:tab w:val="right" w:pos="8681" w:leader="none"/>
            </w:tabs>
            <w:spacing w:before="0" w:after="60"/>
            <w:ind w:right="-255" w:firstLine="6272"/>
            <w:rPr>
              <w:sz w:val="20"/>
              <w:u w:val="single"/>
            </w:rPr>
          </w:pPr>
          <w:r>
            <w:rPr>
              <w:sz w:val="20"/>
            </w:rPr>
            <w:t>CHD, 2020, vol.XX, no.XX</w:t>
          </w:r>
        </w:p>
      </w:tc>
    </w:tr>
  </w:tbl>
  <w:p>
    <w:pPr>
      <w:pStyle w:val="Header"/>
      <w:rPr>
        <w:i/>
        <w:i/>
        <w:iCs/>
        <w:vanish/>
        <w:u w:val="single"/>
      </w:rPr>
    </w:pPr>
    <w:r>
      <w:rPr>
        <w:b/>
        <w:bCs/>
        <w:i/>
        <w:iCs/>
        <w:u w:val="single"/>
      </w:rPr>
      <w:t xml:space="preserve">    </w:t>
    </w:r>
    <w:r>
      <w:rPr>
        <w:i/>
        <w:iCs/>
        <w:u w:val="single"/>
      </w:rPr>
      <w:t xml:space="preserve">                                                                 </w:t>
    </w:r>
  </w:p>
  <w:p>
    <w:pPr>
      <w:pStyle w:val="Header"/>
      <w:rPr>
        <w:vanish/>
        <w:u w:val="single"/>
      </w:rPr>
    </w:pPr>
    <w:r>
      <w:rPr>
        <w:u w:val="single"/>
      </w:rPr>
      <w:t xml:space="preserve">                                                                                                  </w:t>
    </w:r>
  </w:p>
  <w:p>
    <w:pPr>
      <w:pStyle w:val="Header"/>
      <w:spacing w:before="0" w:after="60"/>
      <w:rPr>
        <w:u w:val="single"/>
      </w:rPr>
    </w:pPr>
    <w:r>
      <w:rPr>
        <w:u w:val="single"/>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sz w:val="20"/>
        <w:u w:val="single"/>
      </w:rPr>
    </w:pPr>
    <w:r>
      <w:rPr>
        <w:sz w:val="20"/>
        <w:u w:val="single"/>
      </w:rPr>
    </w:r>
  </w:p>
  <w:p>
    <w:pPr>
      <w:pStyle w:val="Header"/>
      <w:spacing w:before="0" w:after="0"/>
      <w:rPr>
        <w:sz w:val="20"/>
      </w:rPr>
    </w:pPr>
    <w:r>
      <w:rPr>
        <w:sz w:val="20"/>
      </w:rPr>
    </w:r>
  </w:p>
  <w:p>
    <w:pPr>
      <w:pStyle w:val="Header"/>
      <w:spacing w:before="0" w:after="240"/>
      <w:rPr/>
    </w:pPr>
    <w:r>
      <w:rPr>
        <w:sz w:val="20"/>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90"/>
  <w:defaultTabStop w:val="719"/>
  <w:compat>
    <w:doNotExpandShiftReturn/>
  </w:compat>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US" w:eastAsia="zh-C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qFormat="1"/>
    <w:lsdException w:name="annotation text" w:semiHidden="1" w:unhideWhenUsed="1" w:qFormat="1"/>
    <w:lsdException w:name="header" w:uiPriority="0"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uiPriority="0" w:semiHidden="1" w:qFormat="1"/>
    <w:lsdException w:name="annotation reference" w:semiHidden="1" w:unhideWhenUsed="1" w:qFormat="1"/>
    <w:lsdException w:name="line number" w:semiHidden="1" w:unhideWhenUsed="1"/>
    <w:lsdException w:name="page number" w:uiPriority="0" w:semiHidden="1" w:qFormat="1"/>
    <w:lsdException w:name="endnote reference" w:uiPriority="0" w:semiHidden="1" w:qFormat="1"/>
    <w:lsdException w:name="endnote text" w:uiPriority="0" w:semiHidden="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60"/>
      <w:jc w:val="both"/>
    </w:pPr>
    <w:rPr>
      <w:rFonts w:ascii="Times New Roman" w:hAnsi="Times New Roman" w:eastAsia="宋体" w:cs="Times New Roman"/>
      <w:color w:val="auto"/>
      <w:kern w:val="0"/>
      <w:sz w:val="22"/>
      <w:szCs w:val="20"/>
      <w:lang w:val="en-US" w:eastAsia="zh-CN" w:bidi="ar-SA"/>
    </w:rPr>
  </w:style>
  <w:style w:type="paragraph" w:styleId="Heading1">
    <w:name w:val="Heading 1"/>
    <w:basedOn w:val="Normal"/>
    <w:next w:val="Normal"/>
    <w:qFormat/>
    <w:pPr>
      <w:keepNext w:val="true"/>
      <w:tabs>
        <w:tab w:val="clear" w:pos="719"/>
        <w:tab w:val="left" w:pos="360" w:leader="none"/>
      </w:tabs>
      <w:spacing w:before="260" w:after="140"/>
      <w:outlineLvl w:val="0"/>
    </w:pPr>
    <w:rPr>
      <w:b/>
      <w:kern w:val="2"/>
    </w:rPr>
  </w:style>
  <w:style w:type="paragraph" w:styleId="Heading2">
    <w:name w:val="Heading 2"/>
    <w:basedOn w:val="Normal"/>
    <w:next w:val="Normal"/>
    <w:qFormat/>
    <w:pPr>
      <w:keepNext w:val="true"/>
      <w:tabs>
        <w:tab w:val="clear" w:pos="719"/>
        <w:tab w:val="left" w:pos="450" w:leader="none"/>
      </w:tabs>
      <w:spacing w:before="200" w:after="140"/>
      <w:outlineLvl w:val="1"/>
    </w:pPr>
    <w:rPr>
      <w:b/>
      <w:i/>
    </w:rPr>
  </w:style>
  <w:style w:type="paragraph" w:styleId="Heading3">
    <w:name w:val="Heading 3"/>
    <w:basedOn w:val="Normal"/>
    <w:next w:val="Normal"/>
    <w:qFormat/>
    <w:pPr>
      <w:keepNext w:val="true"/>
      <w:spacing w:before="220" w:after="140"/>
      <w:outlineLvl w:val="2"/>
    </w:pPr>
    <w:rPr>
      <w:i/>
    </w:rPr>
  </w:style>
  <w:style w:type="paragraph" w:styleId="Heading4">
    <w:name w:val="Heading 4"/>
    <w:basedOn w:val="Normal"/>
    <w:next w:val="Normal"/>
    <w:qFormat/>
    <w:pPr>
      <w:keepNext w:val="true"/>
      <w:outlineLvl w:val="3"/>
    </w:pPr>
    <w:rPr>
      <w:b/>
      <w:sz w:val="18"/>
    </w:rPr>
  </w:style>
  <w:style w:type="character" w:styleId="DefaultParagraphFont" w:default="1">
    <w:name w:val="Default Paragraph Font"/>
    <w:uiPriority w:val="1"/>
    <w:semiHidden/>
    <w:unhideWhenUsed/>
    <w:qFormat/>
    <w:rPr/>
  </w:style>
  <w:style w:type="character" w:styleId="Strong">
    <w:name w:val="Strong"/>
    <w:uiPriority w:val="22"/>
    <w:qFormat/>
    <w:rPr>
      <w:b/>
      <w:bCs/>
    </w:rPr>
  </w:style>
  <w:style w:type="character" w:styleId="EndnoteCharacters">
    <w:name w:val="Endnote Characters"/>
    <w:semiHidden/>
    <w:qFormat/>
    <w:rPr>
      <w:vertAlign w:val="superscript"/>
    </w:rPr>
  </w:style>
  <w:style w:type="character" w:styleId="EndnoteAnchor">
    <w:name w:val="Endnote Anchor"/>
    <w:rPr>
      <w:vertAlign w:val="superscript"/>
    </w:rPr>
  </w:style>
  <w:style w:type="character" w:styleId="Pagenumber">
    <w:name w:val="page number"/>
    <w:basedOn w:val="DefaultParagraphFont"/>
    <w:semiHidden/>
    <w:qFormat/>
    <w:rPr/>
  </w:style>
  <w:style w:type="character" w:styleId="VisitedInternetLink">
    <w:name w:val="FollowedHyperlink"/>
    <w:uiPriority w:val="99"/>
    <w:semiHidden/>
    <w:unhideWhenUsed/>
    <w:qFormat/>
    <w:rPr>
      <w:color w:val="954F72"/>
      <w:u w:val="single"/>
    </w:rPr>
  </w:style>
  <w:style w:type="character" w:styleId="InternetLink">
    <w:name w:val="Hyperlink"/>
    <w:uiPriority w:val="99"/>
    <w:unhideWhenUsed/>
    <w:rPr>
      <w:color w:val="0000FF"/>
      <w:u w:val="single"/>
    </w:rPr>
  </w:style>
  <w:style w:type="character" w:styleId="Annotationreference">
    <w:name w:val="annotation reference"/>
    <w:uiPriority w:val="99"/>
    <w:semiHidden/>
    <w:unhideWhenUsed/>
    <w:qFormat/>
    <w:rPr>
      <w:sz w:val="16"/>
      <w:szCs w:val="16"/>
    </w:rPr>
  </w:style>
  <w:style w:type="character" w:styleId="FootnoteCharacters">
    <w:name w:val="Footnote Characters"/>
    <w:semiHidden/>
    <w:qFormat/>
    <w:rPr>
      <w:vertAlign w:val="superscript"/>
    </w:rPr>
  </w:style>
  <w:style w:type="character" w:styleId="FootnoteAnchor">
    <w:name w:val="Footnote Anchor"/>
    <w:rPr>
      <w:vertAlign w:val="superscript"/>
    </w:rPr>
  </w:style>
  <w:style w:type="character" w:styleId="Style10" w:customStyle="1">
    <w:name w:val="页脚 字符"/>
    <w:link w:val="ab"/>
    <w:uiPriority w:val="99"/>
    <w:qFormat/>
    <w:rPr>
      <w:sz w:val="22"/>
    </w:rPr>
  </w:style>
  <w:style w:type="character" w:styleId="Style11" w:customStyle="1">
    <w:name w:val="批注框文本 字符"/>
    <w:link w:val="a9"/>
    <w:uiPriority w:val="99"/>
    <w:semiHidden/>
    <w:qFormat/>
    <w:rPr>
      <w:rFonts w:ascii="Segoe UI" w:hAnsi="Segoe UI" w:cs="Segoe UI"/>
      <w:sz w:val="18"/>
      <w:szCs w:val="18"/>
    </w:rPr>
  </w:style>
  <w:style w:type="character" w:styleId="Style12" w:customStyle="1">
    <w:name w:val="批注文字 字符"/>
    <w:basedOn w:val="DefaultParagraphFont"/>
    <w:link w:val="a4"/>
    <w:uiPriority w:val="99"/>
    <w:semiHidden/>
    <w:qFormat/>
    <w:rPr/>
  </w:style>
  <w:style w:type="character" w:styleId="Style13" w:customStyle="1">
    <w:name w:val="批注主题 字符"/>
    <w:link w:val="af1"/>
    <w:uiPriority w:val="99"/>
    <w:semiHidden/>
    <w:qFormat/>
    <w:rPr>
      <w:b/>
      <w:bCs/>
    </w:rPr>
  </w:style>
  <w:style w:type="character" w:styleId="Style14" w:customStyle="1">
    <w:name w:val="页眉 字符"/>
    <w:link w:val="ad"/>
    <w:qFormat/>
    <w:rPr>
      <w:sz w:val="22"/>
    </w:rPr>
  </w:style>
  <w:style w:type="character" w:styleId="UnresolvedMention1" w:customStyle="1">
    <w:name w:val="Unresolved Mention1"/>
    <w:uiPriority w:val="52"/>
    <w:qFormat/>
    <w:rPr>
      <w:color w:val="808080"/>
      <w:shd w:fill="E6E6E6" w:val="clear"/>
    </w:rPr>
  </w:style>
  <w:style w:type="character" w:styleId="EndNoteBibliographyTitleChar" w:customStyle="1">
    <w:name w:val="EndNote Bibliography Title Char"/>
    <w:link w:val="EndNoteBibliographyTitle"/>
    <w:qFormat/>
    <w:rPr>
      <w:sz w:val="22"/>
    </w:rPr>
  </w:style>
  <w:style w:type="character" w:styleId="EndNoteBibliographyChar" w:customStyle="1">
    <w:name w:val="EndNote Bibliography Char"/>
    <w:link w:val="EndNoteBibliography"/>
    <w:qFormat/>
    <w:rPr>
      <w:sz w:val="22"/>
    </w:rPr>
  </w:style>
  <w:style w:type="character" w:styleId="Fontstyle01" w:customStyle="1">
    <w:name w:val="fontstyle01"/>
    <w:qFormat/>
    <w:rPr>
      <w:rFonts w:ascii="CMR9" w:hAnsi="CMR9"/>
      <w:color w:val="000000"/>
      <w:sz w:val="18"/>
      <w:szCs w:val="18"/>
    </w:rPr>
  </w:style>
  <w:style w:type="character" w:styleId="Style15" w:customStyle="1">
    <w:name w:val="正文文本 字符"/>
    <w:link w:val="a6"/>
    <w:uiPriority w:val="1"/>
    <w:qFormat/>
    <w:rPr>
      <w:rFonts w:ascii="Euclid" w:hAnsi="Euclid" w:cs="Euclid"/>
    </w:rPr>
  </w:style>
  <w:style w:type="character" w:styleId="15" w:customStyle="1">
    <w:name w:val="15"/>
    <w:qFormat/>
    <w:rPr>
      <w:rFonts w:ascii="Times New Roman" w:hAnsi="Times New Roman" w:cs="Times New Roman"/>
      <w:color w:val="0000FF"/>
      <w:u w:val="single"/>
    </w:rPr>
  </w:style>
  <w:style w:type="character" w:styleId="1" w:customStyle="1">
    <w:name w:val="未处理的提及1"/>
    <w:basedOn w:val="DefaultParagraphFont"/>
    <w:uiPriority w:val="99"/>
    <w:semiHidden/>
    <w:unhideWhenUsed/>
    <w:qFormat/>
    <w:rPr>
      <w:color w:val="605E5C"/>
      <w:shd w:fill="E1DFDD" w:val="clear"/>
    </w:rPr>
  </w:style>
  <w:style w:type="character" w:styleId="2" w:customStyle="1">
    <w:name w:val="未处理的提及2"/>
    <w:basedOn w:val="DefaultParagraphFont"/>
    <w:uiPriority w:val="99"/>
    <w:semiHidden/>
    <w:unhideWhenUsed/>
    <w:qFormat/>
    <w:rsid w:val="002a1d54"/>
    <w:rPr>
      <w:color w:val="605E5C"/>
      <w:shd w:fill="E1DFDD" w:val="clear"/>
    </w:rPr>
  </w:style>
  <w:style w:type="character" w:styleId="Emphasis">
    <w:name w:val="Emphasis"/>
    <w:basedOn w:val="DefaultParagraphFont"/>
    <w:uiPriority w:val="20"/>
    <w:qFormat/>
    <w:rsid w:val="00810eef"/>
    <w:rPr>
      <w:i/>
      <w:i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a7"/>
    <w:uiPriority w:val="1"/>
    <w:qFormat/>
    <w:pPr>
      <w:widowControl w:val="false"/>
      <w:spacing w:before="0" w:after="0"/>
      <w:ind w:left="40" w:hanging="0"/>
      <w:jc w:val="left"/>
    </w:pPr>
    <w:rPr>
      <w:rFonts w:ascii="Euclid" w:hAnsi="Euclid" w:cs="Euclid"/>
      <w:sz w:val="20"/>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aption1">
    <w:name w:val="caption"/>
    <w:basedOn w:val="Normal"/>
    <w:next w:val="Normal"/>
    <w:uiPriority w:val="35"/>
    <w:qFormat/>
    <w:pPr>
      <w:keepNext w:val="true"/>
      <w:spacing w:before="120" w:after="120"/>
      <w:jc w:val="center"/>
    </w:pPr>
    <w:rPr>
      <w:b/>
    </w:rPr>
  </w:style>
  <w:style w:type="paragraph" w:styleId="Annotationtext">
    <w:name w:val="annotation text"/>
    <w:basedOn w:val="Normal"/>
    <w:link w:val="a5"/>
    <w:uiPriority w:val="99"/>
    <w:semiHidden/>
    <w:unhideWhenUsed/>
    <w:qFormat/>
    <w:pPr/>
    <w:rPr>
      <w:sz w:val="20"/>
    </w:rPr>
  </w:style>
  <w:style w:type="paragraph" w:styleId="Endnote">
    <w:name w:val="Endnote Text"/>
    <w:basedOn w:val="Normal"/>
    <w:semiHidden/>
    <w:qFormat/>
    <w:pPr/>
    <w:rPr>
      <w:sz w:val="18"/>
    </w:rPr>
  </w:style>
  <w:style w:type="paragraph" w:styleId="BalloonText">
    <w:name w:val="Balloon Text"/>
    <w:basedOn w:val="Normal"/>
    <w:link w:val="aa"/>
    <w:uiPriority w:val="99"/>
    <w:semiHidden/>
    <w:unhideWhenUsed/>
    <w:qFormat/>
    <w:pPr>
      <w:spacing w:before="0" w:after="0"/>
    </w:pPr>
    <w:rPr>
      <w:rFonts w:ascii="Segoe UI" w:hAnsi="Segoe UI" w:cs="Segoe UI"/>
      <w:sz w:val="18"/>
      <w:szCs w:val="18"/>
    </w:rPr>
  </w:style>
  <w:style w:type="paragraph" w:styleId="HeaderandFooter">
    <w:name w:val="Header and Footer"/>
    <w:basedOn w:val="Normal"/>
    <w:qFormat/>
    <w:pPr/>
    <w:rPr/>
  </w:style>
  <w:style w:type="paragraph" w:styleId="Footer">
    <w:name w:val="Footer"/>
    <w:basedOn w:val="Normal"/>
    <w:link w:val="ac"/>
    <w:uiPriority w:val="99"/>
    <w:qFormat/>
    <w:pPr>
      <w:tabs>
        <w:tab w:val="clear" w:pos="719"/>
        <w:tab w:val="center" w:pos="4320" w:leader="none"/>
        <w:tab w:val="right" w:pos="8640" w:leader="none"/>
      </w:tabs>
    </w:pPr>
    <w:rPr/>
  </w:style>
  <w:style w:type="paragraph" w:styleId="Header">
    <w:name w:val="Header"/>
    <w:basedOn w:val="Normal"/>
    <w:link w:val="ae"/>
    <w:qFormat/>
    <w:pPr>
      <w:tabs>
        <w:tab w:val="clear" w:pos="719"/>
        <w:tab w:val="center" w:pos="4320" w:leader="none"/>
        <w:tab w:val="right" w:pos="8640" w:leader="none"/>
      </w:tabs>
    </w:pPr>
    <w:rPr/>
  </w:style>
  <w:style w:type="paragraph" w:styleId="Footnote">
    <w:name w:val="Footnote Text"/>
    <w:basedOn w:val="Normal"/>
    <w:semiHidden/>
    <w:qFormat/>
    <w:pPr/>
    <w:rPr>
      <w:sz w:val="18"/>
    </w:rPr>
  </w:style>
  <w:style w:type="paragraph" w:styleId="NormalWeb">
    <w:name w:val="Normal (Web)"/>
    <w:basedOn w:val="Normal"/>
    <w:uiPriority w:val="99"/>
    <w:unhideWhenUsed/>
    <w:qFormat/>
    <w:pPr>
      <w:spacing w:beforeAutospacing="1" w:afterAutospacing="1"/>
      <w:jc w:val="left"/>
    </w:pPr>
    <w:rPr>
      <w:sz w:val="24"/>
      <w:szCs w:val="24"/>
    </w:rPr>
  </w:style>
  <w:style w:type="paragraph" w:styleId="Annotationsubject">
    <w:name w:val="annotation subject"/>
    <w:basedOn w:val="Annotationtext"/>
    <w:next w:val="Annotationtext"/>
    <w:link w:val="af2"/>
    <w:uiPriority w:val="99"/>
    <w:semiHidden/>
    <w:unhideWhenUsed/>
    <w:qFormat/>
    <w:pPr/>
    <w:rPr>
      <w:b/>
      <w:bCs/>
    </w:rPr>
  </w:style>
  <w:style w:type="paragraph" w:styleId="11" w:customStyle="1">
    <w:name w:val="标题1"/>
    <w:basedOn w:val="Normal"/>
    <w:qFormat/>
    <w:pPr>
      <w:spacing w:before="600" w:after="240"/>
      <w:jc w:val="center"/>
      <w:outlineLvl w:val="0"/>
    </w:pPr>
    <w:rPr>
      <w:b/>
      <w:kern w:val="2"/>
      <w:sz w:val="28"/>
    </w:rPr>
  </w:style>
  <w:style w:type="paragraph" w:styleId="Author" w:customStyle="1">
    <w:name w:val="author"/>
    <w:basedOn w:val="Heading2"/>
    <w:qFormat/>
    <w:pPr>
      <w:spacing w:before="200" w:after="680"/>
      <w:jc w:val="center"/>
    </w:pPr>
    <w:rPr>
      <w:sz w:val="20"/>
    </w:rPr>
  </w:style>
  <w:style w:type="paragraph" w:styleId="Keyword" w:customStyle="1">
    <w:name w:val="keyword"/>
    <w:basedOn w:val="Normal"/>
    <w:qFormat/>
    <w:pPr>
      <w:spacing w:before="280" w:after="60"/>
    </w:pPr>
    <w:rPr/>
  </w:style>
  <w:style w:type="paragraph" w:styleId="Equation" w:customStyle="1">
    <w:name w:val="equation"/>
    <w:basedOn w:val="Normal"/>
    <w:qFormat/>
    <w:pPr>
      <w:tabs>
        <w:tab w:val="clear" w:pos="719"/>
        <w:tab w:val="left" w:pos="4680" w:leader="none"/>
      </w:tabs>
      <w:spacing w:before="100" w:after="100"/>
    </w:pPr>
    <w:rPr/>
  </w:style>
  <w:style w:type="paragraph" w:styleId="EndNoteBibliographyTitle" w:customStyle="1">
    <w:name w:val="EndNote Bibliography Title"/>
    <w:basedOn w:val="Normal"/>
    <w:link w:val="EndNoteBibliographyTitleChar"/>
    <w:qFormat/>
    <w:pPr>
      <w:spacing w:before="0" w:after="0"/>
      <w:jc w:val="center"/>
    </w:pPr>
    <w:rPr/>
  </w:style>
  <w:style w:type="paragraph" w:styleId="EndNoteBibliography" w:customStyle="1">
    <w:name w:val="EndNote Bibliography"/>
    <w:basedOn w:val="Normal"/>
    <w:link w:val="EndNoteBibliographyChar"/>
    <w:qFormat/>
    <w:pPr/>
    <w:rPr/>
  </w:style>
  <w:style w:type="paragraph" w:styleId="MDPI71References" w:customStyle="1">
    <w:name w:val="MDPI_7.1_References"/>
    <w:basedOn w:val="Normal"/>
    <w:qFormat/>
    <w:pPr>
      <w:snapToGrid w:val="false"/>
      <w:spacing w:lineRule="atLeast" w:line="260" w:before="0" w:after="0"/>
      <w:ind w:left="425" w:hanging="425"/>
    </w:pPr>
    <w:rPr>
      <w:rFonts w:ascii="Palatino Linotype" w:hAnsi="Palatino Linotype" w:eastAsia="Times New Roman"/>
      <w:color w:val="000000"/>
      <w:sz w:val="18"/>
      <w:lang w:eastAsia="de-DE" w:bidi="en-US"/>
    </w:rPr>
  </w:style>
  <w:style w:type="paragraph" w:styleId="ListParagraph">
    <w:name w:val="List Paragraph"/>
    <w:basedOn w:val="Normal"/>
    <w:uiPriority w:val="34"/>
    <w:qFormat/>
    <w:rsid w:val="00164af0"/>
    <w:pPr>
      <w:ind w:firstLine="42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fa">
    <w:name w:val="Table Grid"/>
    <w:basedOn w:val="a1"/>
    <w:uiPriority w:val="59"/>
    <w:rsid w:val="00d3296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walter.knirsch@kispi.uzh.ch" TargetMode="External"/><Relationship Id="rId3" Type="http://schemas.openxmlformats.org/officeDocument/2006/relationships/hyperlink" Target="" TargetMode="External"/><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image" Target="media/image4.tif"/><Relationship Id="rId9" Type="http://schemas.openxmlformats.org/officeDocument/2006/relationships/image" Target="media/image5.tif"/><Relationship Id="rId10" Type="http://schemas.openxmlformats.org/officeDocument/2006/relationships/image" Target="media/image6.tif"/><Relationship Id="rId11" Type="http://schemas.openxmlformats.org/officeDocument/2006/relationships/header" Target="header3.xml"/><Relationship Id="rId12" Type="http://schemas.openxmlformats.org/officeDocument/2006/relationships/header" Target="header4.xml"/><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Relationship Id="rId20" Type="http://schemas.openxmlformats.org/officeDocument/2006/relationships/customXml" Target="../customXml/item2.xml"/>
</Relationships>
</file>

<file path=word/_rels/footer2.xml.rels><?xml version="1.0" encoding="UTF-8"?>
<Relationships xmlns="http://schemas.openxmlformats.org/package/2006/relationships"><Relationship Id="rId1" Type="http://schemas.openxmlformats.org/officeDocument/2006/relationships/image" Target="media/image3.png"/>
</Relationships>
</file>

<file path=word/_rels/footer4.xml.rels><?xml version="1.0" encoding="UTF-8"?>
<Relationships xmlns="http://schemas.openxmlformats.org/package/2006/relationships"><Relationship Id="rId1" Type="http://schemas.openxmlformats.org/officeDocument/2006/relationships/image" Target="media/image7.png"/>
</Relationships>
</file>

<file path=word/_rels/header2.xml.rels><?xml version="1.0" encoding="UTF-8"?>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37BBFC7-3720-41D9-AACA-599B4ABCE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Template>
  <TotalTime>65</TotalTime>
  <Application>LibreOffice/6.4.7.2$Linux_X86_64 LibreOffice_project/40$Build-2</Application>
  <Pages>13</Pages>
  <Words>6435</Words>
  <Characters>34707</Characters>
  <CharactersWithSpaces>40799</CharactersWithSpaces>
  <Paragraphs>344</Paragraphs>
  <Company>Dell Computer Corporation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2021-08-26T07:53:00Z</dcterms:created>
  <dc:creator>becky</dc:creator>
  <dc:description/>
  <dc:language>en-US</dc:language>
  <cp:lastModifiedBy/>
  <cp:lastPrinted>2021-03-31T06:01:00Z</cp:lastPrinted>
  <dcterms:modified xsi:type="dcterms:W3CDTF">2024-04-16T10:16:19Z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Dell Computer Corporation</vt:lpwstr>
  </property>
  <property fmtid="{D5CDD505-2E9C-101B-9397-08002B2CF9AE}" pid="4" name="DocSecurity">
    <vt:i4>0</vt:i4>
  </property>
  <property fmtid="{D5CDD505-2E9C-101B-9397-08002B2CF9AE}" pid="5" name="HyperlinksChanged">
    <vt:bool>0</vt:bool>
  </property>
  <property fmtid="{D5CDD505-2E9C-101B-9397-08002B2CF9AE}" pid="6" name="KSOProductBuildVer">
    <vt:lpwstr>2052-11.1.0.9740</vt:lpwstr>
  </property>
  <property fmtid="{D5CDD505-2E9C-101B-9397-08002B2CF9AE}" pid="7" name="LinksUpToDate">
    <vt:bool>0</vt:bool>
  </property>
  <property fmtid="{D5CDD505-2E9C-101B-9397-08002B2CF9AE}" pid="8" name="MTWinEqns">
    <vt:bool>1</vt:bool>
  </property>
  <property fmtid="{D5CDD505-2E9C-101B-9397-08002B2CF9AE}" pid="9" name="ScaleCrop">
    <vt:bool>0</vt:bool>
  </property>
  <property fmtid="{D5CDD505-2E9C-101B-9397-08002B2CF9AE}" pid="10" name="ShareDoc">
    <vt:bool>0</vt:bool>
  </property>
</Properties>
</file>