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6-32"/>
        <w:tblW w:w="5000" w:type="pct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84"/>
        <w:gridCol w:w="886"/>
        <w:gridCol w:w="1030"/>
        <w:gridCol w:w="961"/>
        <w:gridCol w:w="985"/>
        <w:gridCol w:w="2335"/>
        <w:gridCol w:w="2302"/>
      </w:tblGrid>
      <w:tr>
        <w:trPr>
          <w:trHeight w:val="276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Style18"/>
              <w:rPr>
                <w:rFonts w:eastAsia="Adobe 宋体 Std L" w:cs="Times New Roman"/>
                <w:highlight w:val="yellow"/>
              </w:rPr>
            </w:pPr>
            <w:r>
              <w:rPr>
                <w:rFonts w:eastAsia="Adobe 宋体 Std L" w:cs="Times New Roman" w:ascii="等线" w:hAnsi="等线"/>
                <w:b/>
              </w:rPr>
              <w:t>Num</w:t>
            </w:r>
          </w:p>
        </w:tc>
        <w:tc>
          <w:tcPr>
            <w:tcW w:w="886" w:type="dxa"/>
            <w:tcBorders>
              <w:top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Style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宋体 Std L" w:cs="Times New Roman"/>
                <w:highlight w:val="yellow"/>
              </w:rPr>
            </w:pPr>
            <w:r>
              <w:rPr>
                <w:rFonts w:eastAsia="Adobe 宋体 Std L" w:cs="Times New Roman" w:ascii="等线" w:hAnsi="等线"/>
                <w:b/>
              </w:rPr>
              <w:t>Jdet</w:t>
            </w:r>
          </w:p>
        </w:tc>
        <w:tc>
          <w:tcPr>
            <w:tcW w:w="1030" w:type="dxa"/>
            <w:tcBorders>
              <w:top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Style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宋体 Std L" w:cs="Times New Roman"/>
                <w:highlight w:val="yellow"/>
              </w:rPr>
            </w:pPr>
            <w:r>
              <w:rPr>
                <w:rFonts w:eastAsia="Adobe 宋体 Std L" w:cs="Times New Roman" w:ascii="等线" w:hAnsi="等线"/>
                <w:b/>
              </w:rPr>
              <w:t>Cross</w:t>
            </w:r>
          </w:p>
        </w:tc>
        <w:tc>
          <w:tcPr>
            <w:tcW w:w="961" w:type="dxa"/>
            <w:tcBorders>
              <w:top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Style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宋体 Std L" w:cs="Times New Roman"/>
                <w:highlight w:val="yellow"/>
              </w:rPr>
            </w:pPr>
            <w:r>
              <w:rPr>
                <w:rFonts w:eastAsia="Adobe 宋体 Std L" w:cs="Times New Roman" w:ascii="等线" w:hAnsi="等线"/>
                <w:b/>
              </w:rPr>
              <w:t>Cos</w:t>
            </w:r>
          </w:p>
        </w:tc>
        <w:tc>
          <w:tcPr>
            <w:tcW w:w="985" w:type="dxa"/>
            <w:tcBorders>
              <w:top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Style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宋体 Std L" w:cs="Times New Roman"/>
                <w:highlight w:val="yellow"/>
              </w:rPr>
            </w:pPr>
            <w:r>
              <w:rPr>
                <w:rFonts w:eastAsia="Adobe 宋体 Std L" w:cs="Times New Roman" w:ascii="等线" w:hAnsi="等线"/>
                <w:b/>
              </w:rPr>
              <w:t>MSE</w:t>
            </w:r>
          </w:p>
        </w:tc>
        <w:tc>
          <w:tcPr>
            <w:tcW w:w="2335" w:type="dxa"/>
            <w:tcBorders>
              <w:top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Style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宋体 Std L" w:cs="Times New Roman"/>
              </w:rPr>
            </w:pPr>
            <w:r>
              <w:rPr>
                <w:rFonts w:eastAsia="Adobe 宋体 Std L" w:cs="Times New Roman" w:ascii="等线" w:hAnsi="等线"/>
                <w:b/>
              </w:rPr>
              <w:t>Dice</w:t>
            </w:r>
          </w:p>
        </w:tc>
        <w:tc>
          <w:tcPr>
            <w:tcW w:w="2302" w:type="dxa"/>
            <w:tcBorders>
              <w:top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Style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宋体 Std L" w:cs="Times New Roman"/>
                <w:b w:val="false"/>
                <w:b w:val="false"/>
                <w:bCs/>
              </w:rPr>
            </w:pPr>
            <w:r>
              <w:rPr>
                <w:rFonts w:eastAsia="ＭＳ 明朝" w:ascii="等线" w:hAnsi="等线"/>
                <w:b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J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Ф</m:t>
                  </m:r>
                </m:sub>
              </m:sSub>
              <m:r>
                <w:rPr>
                  <w:rFonts w:ascii="Cambria Math" w:hAnsi="Cambria Math"/>
                </w:rPr>
                <m:t xml:space="preserve">≤</m:t>
              </m:r>
              <m:r>
                <w:rPr>
                  <w:rFonts w:ascii="Cambria Math" w:hAnsi="Cambria Math"/>
                </w:rPr>
                <m:t xml:space="preserve">0</m:t>
              </m:r>
            </m:oMath>
            <w:r>
              <w:rPr>
                <w:rFonts w:eastAsia="Adobe 宋体 Std L" w:cs="Times New Roman" w:ascii="等线" w:hAnsi="等线"/>
                <w:b/>
              </w:rPr>
              <w:t>(%</w:t>
            </w:r>
            <w:r>
              <w:rPr>
                <w:rFonts w:eastAsia="Adobe 宋体 Std L" w:cs="Times New Roman" w:ascii="等线" w:hAnsi="等线"/>
                <w:b/>
                <w:sz w:val="16"/>
                <w:szCs w:val="16"/>
              </w:rPr>
              <w:t>)</w:t>
            </w:r>
          </w:p>
        </w:tc>
      </w:tr>
      <w:tr>
        <w:trPr>
          <w:trHeight w:val="276" w:hRule="atLeast"/>
        </w:trPr>
        <w:tc>
          <w:tcPr>
            <w:tcW w:w="8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0"/>
              <w:bottom w:val="nil"/>
            </w:tcBorders>
            <w:shd w:color="auto" w:fill="auto" w:val="clear"/>
            <w:vAlign w:val="center"/>
          </w:tcPr>
          <w:p>
            <w:pPr>
              <w:pStyle w:val="Style18"/>
              <w:rPr>
                <w:rFonts w:eastAsia="Adobe 宋体 Std L" w:cs="Times New Roman"/>
              </w:rPr>
            </w:pPr>
            <w:r>
              <w:rPr>
                <w:rFonts w:eastAsia="Adobe 宋体 Std L" w:cs="Times New Roman" w:ascii="等线" w:hAnsi="等线"/>
                <w:b w:val="false"/>
                <w:bCs/>
              </w:rPr>
              <w:t>1</w:t>
            </w:r>
          </w:p>
        </w:tc>
        <w:tc>
          <w:tcPr>
            <w:tcW w:w="886" w:type="dxa"/>
            <w:tcBorders>
              <w:top w:val="single" w:sz="8" w:space="0" w:color="000000"/>
              <w:bottom w:val="nil"/>
            </w:tcBorders>
            <w:shd w:color="auto" w:fill="auto" w:val="clear"/>
            <w:vAlign w:val="center"/>
          </w:tcPr>
          <w:p>
            <w:pPr>
              <w:pStyle w:val="Style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宋体 Std L" w:cs="Times New Roman"/>
              </w:rPr>
            </w:pPr>
            <w:r>
              <w:rPr>
                <w:rFonts w:eastAsia="Adobe 宋体 Std L" w:cs="Times New Roman" w:ascii="等线" w:hAnsi="等线"/>
              </w:rPr>
            </w:r>
          </w:p>
        </w:tc>
        <w:tc>
          <w:tcPr>
            <w:tcW w:w="1030" w:type="dxa"/>
            <w:tcBorders>
              <w:top w:val="single" w:sz="8" w:space="0" w:color="000000"/>
              <w:bottom w:val="nil"/>
            </w:tcBorders>
            <w:shd w:color="auto" w:fill="auto" w:val="clear"/>
            <w:vAlign w:val="center"/>
          </w:tcPr>
          <w:p>
            <w:pPr>
              <w:pStyle w:val="Style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宋体 Std L" w:cs="Times New Roman"/>
              </w:rPr>
            </w:pPr>
            <w:r>
              <w:rPr>
                <w:rFonts w:eastAsia="Adobe 宋体 Std L" w:cs="Times New Roman" w:ascii="等线" w:hAnsi="等线"/>
              </w:rPr>
            </w:r>
          </w:p>
        </w:tc>
        <w:tc>
          <w:tcPr>
            <w:tcW w:w="961" w:type="dxa"/>
            <w:tcBorders>
              <w:top w:val="single" w:sz="8" w:space="0" w:color="000000"/>
              <w:bottom w:val="nil"/>
            </w:tcBorders>
            <w:shd w:color="auto" w:fill="auto" w:val="clear"/>
            <w:vAlign w:val="center"/>
          </w:tcPr>
          <w:p>
            <w:pPr>
              <w:pStyle w:val="Style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宋体 Std L" w:cs="Times New Roman"/>
              </w:rPr>
            </w:pPr>
            <w:r>
              <w:rPr>
                <w:rFonts w:eastAsia="Adobe 宋体 Std L" w:cs="Times New Roman" w:ascii="等线" w:hAnsi="等线"/>
              </w:rPr>
            </w:r>
          </w:p>
        </w:tc>
        <w:tc>
          <w:tcPr>
            <w:tcW w:w="985" w:type="dxa"/>
            <w:tcBorders>
              <w:top w:val="single" w:sz="8" w:space="0" w:color="000000"/>
              <w:bottom w:val="nil"/>
            </w:tcBorders>
            <w:shd w:color="auto" w:fill="auto" w:val="clear"/>
            <w:vAlign w:val="center"/>
          </w:tcPr>
          <w:p>
            <w:pPr>
              <w:pStyle w:val="Style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宋体 Std L" w:cs="Times New Roman"/>
              </w:rPr>
            </w:pPr>
            <w:r>
              <w:rPr>
                <w:rFonts w:eastAsia="Adobe 宋体 Std L" w:cs="Times New Roman" w:ascii="等线" w:hAnsi="等线"/>
              </w:rPr>
            </w:r>
          </w:p>
        </w:tc>
        <w:tc>
          <w:tcPr>
            <w:tcW w:w="2335" w:type="dxa"/>
            <w:tcBorders>
              <w:top w:val="single" w:sz="8" w:space="0" w:color="000000"/>
              <w:bottom w:val="nil"/>
            </w:tcBorders>
            <w:shd w:color="auto" w:fill="auto" w:val="clear"/>
            <w:vAlign w:val="center"/>
          </w:tcPr>
          <w:p>
            <w:pPr>
              <w:pStyle w:val="Style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宋体 Std L" w:cs="Times New Roman"/>
              </w:rPr>
            </w:pPr>
            <w:r>
              <w:rPr>
                <w:rFonts w:eastAsia="Adobe 宋体 Std L" w:cs="Times New Roman" w:ascii="等线" w:hAnsi="等线"/>
              </w:rPr>
              <w:t>0.581±0.022**</w:t>
            </w:r>
          </w:p>
        </w:tc>
        <w:tc>
          <w:tcPr>
            <w:tcW w:w="2302" w:type="dxa"/>
            <w:tcBorders>
              <w:top w:val="single" w:sz="8" w:space="0" w:color="000000"/>
              <w:bottom w:val="nil"/>
            </w:tcBorders>
            <w:shd w:color="auto" w:fill="auto" w:val="clear"/>
            <w:vAlign w:val="center"/>
          </w:tcPr>
          <w:p>
            <w:pPr>
              <w:pStyle w:val="Style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宋体 Std L" w:cs="Times New Roman"/>
              </w:rPr>
            </w:pPr>
            <w:r>
              <w:rPr>
                <w:rFonts w:eastAsia="Adobe 宋体 Std L" w:cs="Times New Roman" w:ascii="等线" w:hAnsi="等线"/>
              </w:rPr>
              <w:t>0.048±9.806e-3**</w:t>
            </w:r>
          </w:p>
        </w:tc>
      </w:tr>
      <w:tr>
        <w:trPr>
          <w:trHeight w:val="276" w:hRule="atLeast"/>
        </w:trPr>
        <w:tc>
          <w:tcPr>
            <w:tcW w:w="8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</w:tcBorders>
            <w:shd w:color="auto" w:fill="auto" w:val="clear"/>
            <w:vAlign w:val="center"/>
          </w:tcPr>
          <w:p>
            <w:pPr>
              <w:pStyle w:val="Style18"/>
              <w:rPr>
                <w:rFonts w:eastAsia="Adobe 宋体 Std L" w:cs="Times New Roman"/>
                <w:b w:val="false"/>
                <w:b w:val="false"/>
                <w:bCs/>
              </w:rPr>
            </w:pPr>
            <w:r>
              <w:rPr>
                <w:rFonts w:eastAsia="Adobe 宋体 Std L" w:cs="Times New Roman" w:ascii="等线" w:hAnsi="等线"/>
                <w:b w:val="false"/>
                <w:bCs/>
              </w:rPr>
              <w:t>2</w:t>
            </w:r>
          </w:p>
        </w:tc>
        <w:tc>
          <w:tcPr>
            <w:tcW w:w="886" w:type="dxa"/>
            <w:tcBorders>
              <w:top w:val="nil"/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宋体 Std L"/>
                <w:color w:val="000000"/>
              </w:rPr>
            </w:pPr>
            <w:r>
              <w:rPr>
                <w:rFonts w:eastAsia="Adobe 宋体 Std L" w:cs="" w:cstheme="minorBidi" w:ascii="等线" w:hAnsi="等线"/>
                <w:color w:val="000000"/>
                <w:kern w:val="2"/>
                <w:szCs w:val="22"/>
              </w:rPr>
              <w:t>√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宋体 Std L"/>
                <w:color w:val="000000"/>
              </w:rPr>
            </w:pPr>
            <w:r>
              <w:rPr>
                <w:rFonts w:eastAsia="Adobe 宋体 Std L" w:cs="" w:ascii="等线" w:hAnsi="等线"/>
                <w:color w:val="000000"/>
                <w:kern w:val="2"/>
                <w:szCs w:val="22"/>
              </w:rPr>
            </w:r>
          </w:p>
        </w:tc>
        <w:tc>
          <w:tcPr>
            <w:tcW w:w="961" w:type="dxa"/>
            <w:tcBorders>
              <w:top w:val="nil"/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宋体 Std L"/>
                <w:color w:val="000000"/>
              </w:rPr>
            </w:pPr>
            <w:r>
              <w:rPr>
                <w:rFonts w:eastAsia="Adobe 宋体 Std L" w:cs="" w:cstheme="minorBidi" w:ascii="等线" w:hAnsi="等线"/>
                <w:color w:val="000000"/>
                <w:kern w:val="2"/>
                <w:szCs w:val="22"/>
              </w:rPr>
              <w:t>√</w:t>
            </w:r>
          </w:p>
        </w:tc>
        <w:tc>
          <w:tcPr>
            <w:tcW w:w="985" w:type="dxa"/>
            <w:tcBorders>
              <w:top w:val="nil"/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宋体 Std L"/>
                <w:color w:val="000000"/>
              </w:rPr>
            </w:pPr>
            <w:r>
              <w:rPr>
                <w:rFonts w:eastAsia="Adobe 宋体 Std L" w:cs="" w:ascii="等线" w:hAnsi="等线"/>
                <w:color w:val="000000"/>
                <w:kern w:val="2"/>
                <w:szCs w:val="22"/>
              </w:rPr>
            </w:r>
          </w:p>
        </w:tc>
        <w:tc>
          <w:tcPr>
            <w:tcW w:w="2335" w:type="dxa"/>
            <w:tcBorders>
              <w:top w:val="nil"/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宋体 Std L"/>
                <w:color w:val="000000"/>
              </w:rPr>
            </w:pPr>
            <w:r>
              <w:rPr>
                <w:rFonts w:eastAsia="Adobe 宋体 Std L" w:cs="" w:cstheme="minorBidi" w:ascii="等线" w:hAnsi="等线"/>
                <w:color w:val="000000"/>
                <w:kern w:val="2"/>
                <w:szCs w:val="22"/>
              </w:rPr>
              <w:t>0.604±0.020**</w:t>
            </w:r>
          </w:p>
        </w:tc>
        <w:tc>
          <w:tcPr>
            <w:tcW w:w="2302" w:type="dxa"/>
            <w:tcBorders>
              <w:top w:val="nil"/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宋体 Std L"/>
                <w:b/>
                <w:b/>
                <w:bCs/>
                <w:color w:val="000000"/>
              </w:rPr>
            </w:pPr>
            <w:r>
              <w:rPr>
                <w:rFonts w:eastAsia="Adobe 宋体 Std L" w:cs="" w:cstheme="minorBidi" w:ascii="等线" w:hAnsi="等线"/>
                <w:b/>
                <w:bCs/>
                <w:color w:val="000000"/>
                <w:kern w:val="2"/>
                <w:szCs w:val="22"/>
              </w:rPr>
              <w:t>0.044±8.985e-3**</w:t>
            </w:r>
          </w:p>
        </w:tc>
      </w:tr>
      <w:tr>
        <w:trPr>
          <w:trHeight w:val="276" w:hRule="atLeast"/>
        </w:trPr>
        <w:tc>
          <w:tcPr>
            <w:tcW w:w="8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</w:tcBorders>
            <w:shd w:color="auto" w:fill="auto" w:val="clear"/>
            <w:vAlign w:val="center"/>
          </w:tcPr>
          <w:p>
            <w:pPr>
              <w:pStyle w:val="Style18"/>
              <w:rPr>
                <w:rFonts w:eastAsia="Adobe 宋体 Std L" w:cs="Times New Roman"/>
                <w:b w:val="false"/>
                <w:b w:val="false"/>
                <w:bCs/>
              </w:rPr>
            </w:pPr>
            <w:r>
              <w:rPr>
                <w:rFonts w:eastAsia="Adobe 宋体 Std L" w:cs="Times New Roman" w:ascii="等线" w:hAnsi="等线"/>
                <w:b w:val="false"/>
                <w:bCs/>
              </w:rPr>
              <w:t>3</w:t>
            </w:r>
          </w:p>
        </w:tc>
        <w:tc>
          <w:tcPr>
            <w:tcW w:w="886" w:type="dxa"/>
            <w:tcBorders>
              <w:top w:val="nil"/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宋体 Std L"/>
                <w:color w:val="000000"/>
              </w:rPr>
            </w:pPr>
            <w:r>
              <w:rPr>
                <w:rFonts w:eastAsia="Adobe 宋体 Std L" w:cs="" w:cstheme="minorBidi" w:ascii="等线" w:hAnsi="等线"/>
                <w:color w:val="000000"/>
                <w:kern w:val="2"/>
                <w:szCs w:val="22"/>
              </w:rPr>
              <w:t>√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宋体 Std L"/>
                <w:color w:val="000000"/>
              </w:rPr>
            </w:pPr>
            <w:r>
              <w:rPr>
                <w:rFonts w:eastAsia="Adobe 宋体 Std L" w:cs="" w:cstheme="minorBidi" w:ascii="等线" w:hAnsi="等线"/>
                <w:color w:val="000000"/>
                <w:kern w:val="2"/>
                <w:szCs w:val="22"/>
              </w:rPr>
              <w:t>√</w:t>
            </w:r>
          </w:p>
        </w:tc>
        <w:tc>
          <w:tcPr>
            <w:tcW w:w="961" w:type="dxa"/>
            <w:tcBorders>
              <w:top w:val="nil"/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宋体 Std L"/>
                <w:color w:val="000000"/>
              </w:rPr>
            </w:pPr>
            <w:r>
              <w:rPr>
                <w:rFonts w:eastAsia="Adobe 宋体 Std L" w:cs="" w:ascii="等线" w:hAnsi="等线"/>
                <w:color w:val="000000"/>
                <w:kern w:val="2"/>
                <w:szCs w:val="22"/>
              </w:rPr>
            </w:r>
          </w:p>
        </w:tc>
        <w:tc>
          <w:tcPr>
            <w:tcW w:w="985" w:type="dxa"/>
            <w:tcBorders>
              <w:top w:val="nil"/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宋体 Std L"/>
                <w:color w:val="000000"/>
              </w:rPr>
            </w:pPr>
            <w:r>
              <w:rPr>
                <w:rFonts w:eastAsia="Adobe 宋体 Std L" w:cs="" w:ascii="等线" w:hAnsi="等线"/>
                <w:color w:val="000000"/>
                <w:kern w:val="2"/>
                <w:szCs w:val="22"/>
              </w:rPr>
            </w:r>
          </w:p>
        </w:tc>
        <w:tc>
          <w:tcPr>
            <w:tcW w:w="2335" w:type="dxa"/>
            <w:tcBorders>
              <w:top w:val="nil"/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宋体 Std L"/>
                <w:color w:val="000000"/>
              </w:rPr>
            </w:pPr>
            <w:r>
              <w:rPr>
                <w:rFonts w:eastAsia="Adobe 宋体 Std L" w:cs="" w:cstheme="minorBidi" w:ascii="等线" w:hAnsi="等线"/>
                <w:color w:val="000000"/>
                <w:kern w:val="2"/>
                <w:szCs w:val="22"/>
              </w:rPr>
              <w:t>0.641±0.017</w:t>
            </w:r>
          </w:p>
        </w:tc>
        <w:tc>
          <w:tcPr>
            <w:tcW w:w="2302" w:type="dxa"/>
            <w:tcBorders>
              <w:top w:val="nil"/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宋体 Std L"/>
                <w:color w:val="000000"/>
              </w:rPr>
            </w:pPr>
            <w:r>
              <w:rPr>
                <w:rFonts w:eastAsia="Adobe 宋体 Std L" w:cs="" w:cstheme="minorBidi" w:ascii="等线" w:hAnsi="等线"/>
                <w:color w:val="000000"/>
                <w:kern w:val="2"/>
                <w:szCs w:val="22"/>
              </w:rPr>
              <w:t>0.349±0.046**</w:t>
            </w:r>
          </w:p>
        </w:tc>
      </w:tr>
      <w:tr>
        <w:trPr>
          <w:trHeight w:val="276" w:hRule="atLeast"/>
        </w:trPr>
        <w:tc>
          <w:tcPr>
            <w:tcW w:w="8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</w:tcBorders>
            <w:shd w:color="auto" w:fill="auto" w:val="clear"/>
            <w:vAlign w:val="center"/>
          </w:tcPr>
          <w:p>
            <w:pPr>
              <w:pStyle w:val="Style18"/>
              <w:rPr>
                <w:rFonts w:eastAsia="Adobe 宋体 Std L" w:cs="Times New Roman"/>
                <w:b w:val="false"/>
                <w:b w:val="false"/>
                <w:bCs/>
              </w:rPr>
            </w:pPr>
            <w:r>
              <w:rPr>
                <w:rFonts w:eastAsia="Adobe 宋体 Std L" w:cs="Times New Roman" w:ascii="等线" w:hAnsi="等线"/>
                <w:b w:val="false"/>
                <w:bCs/>
              </w:rPr>
              <w:t>4</w:t>
            </w:r>
          </w:p>
        </w:tc>
        <w:tc>
          <w:tcPr>
            <w:tcW w:w="886" w:type="dxa"/>
            <w:tcBorders>
              <w:top w:val="nil"/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宋体 Std L"/>
                <w:color w:val="000000"/>
              </w:rPr>
            </w:pPr>
            <w:r>
              <w:rPr>
                <w:rFonts w:eastAsia="Adobe 宋体 Std L" w:cs="" w:cstheme="minorBidi" w:ascii="等线" w:hAnsi="等线"/>
                <w:color w:val="000000"/>
                <w:kern w:val="2"/>
                <w:szCs w:val="22"/>
              </w:rPr>
              <w:t>√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宋体 Std L"/>
                <w:color w:val="000000"/>
              </w:rPr>
            </w:pPr>
            <w:r>
              <w:rPr>
                <w:rFonts w:eastAsia="Adobe 宋体 Std L" w:cs="" w:cstheme="minorBidi" w:ascii="等线" w:hAnsi="等线"/>
                <w:color w:val="000000"/>
                <w:kern w:val="2"/>
                <w:szCs w:val="22"/>
              </w:rPr>
              <w:t>√</w:t>
            </w:r>
          </w:p>
        </w:tc>
        <w:tc>
          <w:tcPr>
            <w:tcW w:w="961" w:type="dxa"/>
            <w:tcBorders>
              <w:top w:val="nil"/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宋体 Std L"/>
                <w:color w:val="000000"/>
              </w:rPr>
            </w:pPr>
            <w:r>
              <w:rPr>
                <w:rFonts w:eastAsia="Adobe 宋体 Std L" w:cs="" w:cstheme="minorBidi" w:ascii="等线" w:hAnsi="等线"/>
                <w:color w:val="000000"/>
                <w:kern w:val="2"/>
                <w:szCs w:val="22"/>
              </w:rPr>
              <w:t>√</w:t>
            </w:r>
          </w:p>
        </w:tc>
        <w:tc>
          <w:tcPr>
            <w:tcW w:w="985" w:type="dxa"/>
            <w:tcBorders>
              <w:top w:val="nil"/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宋体 Std L"/>
                <w:color w:val="000000"/>
              </w:rPr>
            </w:pPr>
            <w:r>
              <w:rPr>
                <w:rFonts w:eastAsia="Adobe 宋体 Std L" w:cs="" w:ascii="等线" w:hAnsi="等线"/>
                <w:color w:val="000000"/>
                <w:kern w:val="2"/>
                <w:szCs w:val="22"/>
              </w:rPr>
            </w:r>
          </w:p>
        </w:tc>
        <w:tc>
          <w:tcPr>
            <w:tcW w:w="2335" w:type="dxa"/>
            <w:tcBorders>
              <w:top w:val="nil"/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宋体 Std L"/>
                <w:color w:val="000000"/>
              </w:rPr>
            </w:pPr>
            <w:r>
              <w:rPr>
                <w:rFonts w:eastAsia="Adobe 宋体 Std L" w:cs="" w:cstheme="minorBidi" w:ascii="等线" w:hAnsi="等线"/>
                <w:color w:val="000000"/>
                <w:kern w:val="2"/>
                <w:szCs w:val="22"/>
              </w:rPr>
              <w:t>0.643±0.017</w:t>
            </w:r>
          </w:p>
        </w:tc>
        <w:tc>
          <w:tcPr>
            <w:tcW w:w="2302" w:type="dxa"/>
            <w:tcBorders>
              <w:top w:val="nil"/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宋体 Std L"/>
                <w:color w:val="000000"/>
              </w:rPr>
            </w:pPr>
            <w:r>
              <w:rPr>
                <w:rFonts w:eastAsia="Adobe 宋体 Std L" w:cs="" w:cstheme="minorBidi" w:ascii="等线" w:hAnsi="等线"/>
                <w:color w:val="000000"/>
                <w:kern w:val="2"/>
                <w:szCs w:val="22"/>
              </w:rPr>
              <w:t>0.373±0.051**</w:t>
            </w:r>
          </w:p>
        </w:tc>
      </w:tr>
      <w:tr>
        <w:trPr>
          <w:trHeight w:val="276" w:hRule="atLeast"/>
        </w:trPr>
        <w:tc>
          <w:tcPr>
            <w:tcW w:w="8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</w:tcBorders>
            <w:shd w:color="auto" w:fill="auto" w:val="clear"/>
            <w:vAlign w:val="center"/>
          </w:tcPr>
          <w:p>
            <w:pPr>
              <w:pStyle w:val="Style18"/>
              <w:rPr>
                <w:rFonts w:eastAsia="Adobe 宋体 Std L" w:cs="Times New Roman"/>
                <w:b w:val="false"/>
                <w:b w:val="false"/>
                <w:bCs/>
              </w:rPr>
            </w:pPr>
            <w:r>
              <w:rPr>
                <w:rFonts w:eastAsia="Adobe 宋体 Std L" w:cs="Times New Roman" w:ascii="等线" w:hAnsi="等线"/>
                <w:b w:val="false"/>
                <w:bCs/>
              </w:rPr>
              <w:t>5</w:t>
            </w:r>
          </w:p>
        </w:tc>
        <w:tc>
          <w:tcPr>
            <w:tcW w:w="886" w:type="dxa"/>
            <w:tcBorders>
              <w:top w:val="nil"/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宋体 Std L"/>
                <w:color w:val="000000"/>
              </w:rPr>
            </w:pPr>
            <w:r>
              <w:rPr>
                <w:rFonts w:eastAsia="Adobe 宋体 Std L" w:cs="" w:cstheme="minorBidi" w:ascii="等线" w:hAnsi="等线"/>
                <w:color w:val="000000"/>
                <w:kern w:val="2"/>
                <w:szCs w:val="22"/>
              </w:rPr>
              <w:t>√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宋体 Std L"/>
                <w:color w:val="000000"/>
              </w:rPr>
            </w:pPr>
            <w:r>
              <w:rPr>
                <w:rFonts w:eastAsia="Adobe 宋体 Std L" w:cs="" w:cstheme="minorBidi" w:ascii="等线" w:hAnsi="等线"/>
                <w:color w:val="000000"/>
                <w:kern w:val="2"/>
                <w:szCs w:val="22"/>
              </w:rPr>
              <w:t>√</w:t>
            </w:r>
          </w:p>
        </w:tc>
        <w:tc>
          <w:tcPr>
            <w:tcW w:w="961" w:type="dxa"/>
            <w:tcBorders>
              <w:top w:val="nil"/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宋体 Std L"/>
                <w:color w:val="000000"/>
              </w:rPr>
            </w:pPr>
            <w:r>
              <w:rPr>
                <w:rFonts w:eastAsia="Adobe 宋体 Std L" w:cs="" w:ascii="等线" w:hAnsi="等线"/>
                <w:color w:val="000000"/>
                <w:kern w:val="2"/>
                <w:szCs w:val="22"/>
              </w:rPr>
            </w:r>
          </w:p>
        </w:tc>
        <w:tc>
          <w:tcPr>
            <w:tcW w:w="985" w:type="dxa"/>
            <w:tcBorders>
              <w:top w:val="nil"/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宋体 Std L"/>
                <w:color w:val="000000"/>
              </w:rPr>
            </w:pPr>
            <w:r>
              <w:rPr>
                <w:rFonts w:eastAsia="Adobe 宋体 Std L" w:cs="" w:cstheme="minorBidi" w:ascii="等线" w:hAnsi="等线"/>
                <w:color w:val="000000"/>
                <w:kern w:val="2"/>
                <w:szCs w:val="22"/>
              </w:rPr>
              <w:t>√</w:t>
            </w:r>
          </w:p>
        </w:tc>
        <w:tc>
          <w:tcPr>
            <w:tcW w:w="2335" w:type="dxa"/>
            <w:tcBorders>
              <w:top w:val="nil"/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宋体 Std L"/>
                <w:color w:val="000000"/>
              </w:rPr>
            </w:pPr>
            <w:r>
              <w:rPr>
                <w:rFonts w:eastAsia="Adobe 宋体 Std L" w:cs="" w:cstheme="minorBidi" w:ascii="等线" w:hAnsi="等线"/>
                <w:color w:val="000000"/>
                <w:kern w:val="2"/>
                <w:szCs w:val="22"/>
              </w:rPr>
              <w:t>0.612±0.021**</w:t>
            </w:r>
          </w:p>
        </w:tc>
        <w:tc>
          <w:tcPr>
            <w:tcW w:w="2302" w:type="dxa"/>
            <w:tcBorders>
              <w:top w:val="nil"/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宋体 Std L"/>
                <w:color w:val="000000"/>
              </w:rPr>
            </w:pPr>
            <w:r>
              <w:rPr>
                <w:rFonts w:eastAsia="Adobe 宋体 Std L" w:cs="" w:cstheme="minorBidi" w:ascii="等线" w:hAnsi="等线"/>
                <w:color w:val="000000"/>
                <w:kern w:val="2"/>
                <w:szCs w:val="22"/>
              </w:rPr>
              <w:t>0.251±0.036**</w:t>
            </w:r>
          </w:p>
        </w:tc>
      </w:tr>
      <w:tr>
        <w:trPr>
          <w:trHeight w:val="276" w:hRule="atLeast"/>
        </w:trPr>
        <w:tc>
          <w:tcPr>
            <w:tcW w:w="8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Style18"/>
              <w:rPr>
                <w:rFonts w:eastAsia="Adobe 宋体 Std L" w:cs="Times New Roman"/>
                <w:b w:val="false"/>
                <w:b w:val="false"/>
                <w:bCs/>
              </w:rPr>
            </w:pPr>
            <w:r>
              <w:rPr>
                <w:rFonts w:eastAsia="Adobe 宋体 Std L" w:cs="Times New Roman" w:ascii="等线" w:hAnsi="等线"/>
                <w:b w:val="false"/>
                <w:bCs/>
              </w:rPr>
              <w:t>6</w:t>
            </w:r>
          </w:p>
        </w:tc>
        <w:tc>
          <w:tcPr>
            <w:tcW w:w="886" w:type="dxa"/>
            <w:tcBorders>
              <w:top w:val="nil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宋体 Std L"/>
                <w:color w:val="000000"/>
              </w:rPr>
            </w:pPr>
            <w:r>
              <w:rPr>
                <w:rFonts w:eastAsia="Adobe 宋体 Std L" w:cs="" w:ascii="等线" w:hAnsi="等线"/>
                <w:color w:val="000000"/>
                <w:kern w:val="2"/>
                <w:szCs w:val="22"/>
              </w:rPr>
            </w:r>
          </w:p>
        </w:tc>
        <w:tc>
          <w:tcPr>
            <w:tcW w:w="1030" w:type="dxa"/>
            <w:tcBorders>
              <w:top w:val="nil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宋体 Std L"/>
                <w:color w:val="000000"/>
              </w:rPr>
            </w:pPr>
            <w:r>
              <w:rPr>
                <w:rFonts w:eastAsia="Adobe 宋体 Std L" w:cs="" w:cstheme="minorBidi" w:ascii="等线" w:hAnsi="等线"/>
                <w:color w:val="000000"/>
                <w:kern w:val="2"/>
                <w:szCs w:val="22"/>
              </w:rPr>
              <w:t>√</w:t>
            </w:r>
          </w:p>
        </w:tc>
        <w:tc>
          <w:tcPr>
            <w:tcW w:w="961" w:type="dxa"/>
            <w:tcBorders>
              <w:top w:val="nil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宋体 Std L"/>
                <w:color w:val="000000"/>
              </w:rPr>
            </w:pPr>
            <w:r>
              <w:rPr>
                <w:rFonts w:eastAsia="Adobe 宋体 Std L" w:cs="" w:cstheme="minorBidi" w:ascii="等线" w:hAnsi="等线"/>
                <w:color w:val="000000"/>
                <w:kern w:val="2"/>
                <w:szCs w:val="22"/>
              </w:rPr>
              <w:t>√</w:t>
            </w:r>
          </w:p>
        </w:tc>
        <w:tc>
          <w:tcPr>
            <w:tcW w:w="985" w:type="dxa"/>
            <w:tcBorders>
              <w:top w:val="nil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宋体 Std L"/>
                <w:color w:val="000000"/>
              </w:rPr>
            </w:pPr>
            <w:r>
              <w:rPr>
                <w:rFonts w:eastAsia="Adobe 宋体 Std L" w:cs="" w:ascii="等线" w:hAnsi="等线"/>
                <w:color w:val="000000"/>
                <w:kern w:val="2"/>
                <w:szCs w:val="22"/>
              </w:rPr>
            </w:r>
          </w:p>
        </w:tc>
        <w:tc>
          <w:tcPr>
            <w:tcW w:w="2335" w:type="dxa"/>
            <w:tcBorders>
              <w:top w:val="nil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宋体 Std L"/>
                <w:b/>
                <w:b/>
                <w:bCs/>
                <w:color w:val="000000"/>
              </w:rPr>
            </w:pPr>
            <w:r>
              <w:rPr>
                <w:rFonts w:eastAsia="Adobe 宋体 Std L" w:cs="" w:cstheme="minorBidi" w:ascii="等线" w:hAnsi="等线"/>
                <w:b/>
                <w:bCs/>
                <w:color w:val="000000"/>
                <w:kern w:val="2"/>
                <w:szCs w:val="22"/>
              </w:rPr>
              <w:t>0.645±0.017</w:t>
            </w:r>
          </w:p>
        </w:tc>
        <w:tc>
          <w:tcPr>
            <w:tcW w:w="2302" w:type="dxa"/>
            <w:tcBorders>
              <w:top w:val="nil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宋体 Std L"/>
                <w:color w:val="000000"/>
              </w:rPr>
            </w:pPr>
            <w:r>
              <w:rPr>
                <w:rFonts w:eastAsia="Adobe 宋体 Std L" w:cs="" w:cstheme="minorBidi" w:ascii="等线" w:hAnsi="等线"/>
                <w:color w:val="000000"/>
                <w:kern w:val="2"/>
                <w:szCs w:val="22"/>
              </w:rPr>
              <w:t>0.412±0.050**</w:t>
            </w:r>
            <w:bookmarkStart w:id="0" w:name="_Hlk137020441"/>
            <w:bookmarkEnd w:id="0"/>
          </w:p>
        </w:tc>
      </w:tr>
    </w:tbl>
    <w:p>
      <w:pPr>
        <w:pStyle w:val="Normal"/>
        <w:pBdr>
          <w:top w:val="single" w:sz="4" w:space="1" w:color="000000"/>
        </w:pBdr>
        <w:rPr>
          <w:color w:val="000000" w:themeColor="text1"/>
        </w:rPr>
      </w:pPr>
      <w:r>
        <w:rPr>
          <w:rFonts w:cs="Times New Roman" w:ascii="Times New Roman" w:hAnsi="Times New Roman"/>
          <w:color w:val="FF0000"/>
          <w:sz w:val="20"/>
          <w:szCs w:val="20"/>
        </w:rPr>
        <w:fldChar w:fldCharType="begin"/>
      </w:r>
      <w:r>
        <w:rPr>
          <w:sz w:val="20"/>
          <w:szCs w:val="20"/>
          <w:rFonts w:cs="Times New Roman" w:ascii="Times New Roman" w:hAnsi="Times New Roman"/>
          <w:color w:val="FF0000"/>
        </w:rPr>
        <w:instrText> REF _Ref150782475 \h </w:instrText>
      </w:r>
      <w:r>
        <w:rPr>
          <w:sz w:val="20"/>
          <w:szCs w:val="20"/>
          <w:rFonts w:cs="Times New Roman" w:ascii="Times New Roman" w:hAnsi="Times New Roman"/>
          <w:color w:val="FF0000"/>
        </w:rPr>
        <w:fldChar w:fldCharType="separate"/>
      </w:r>
      <w:r>
        <w:rPr>
          <w:sz w:val="20"/>
          <w:szCs w:val="20"/>
          <w:rFonts w:cs="Times New Roman" w:ascii="Times New Roman" w:hAnsi="Times New Roman"/>
          <w:color w:val="FF0000"/>
        </w:rPr>
        <w:t>Error: Reference source not found</w:t>
      </w:r>
      <w:r>
        <w:rPr>
          <w:sz w:val="20"/>
          <w:szCs w:val="20"/>
          <w:rFonts w:cs="Times New Roman" w:ascii="Times New Roman" w:hAnsi="Times New Roman"/>
          <w:color w:val="FF0000"/>
        </w:rPr>
        <w:fldChar w:fldCharType="end"/>
      </w:r>
      <w:r>
        <w:rPr>
          <w:rFonts w:cs="Times New Roman" w:ascii="Times New Roman" w:hAnsi="Times New Roman"/>
          <w:color w:val="000000" w:themeColor="text1"/>
          <w:sz w:val="20"/>
          <w:szCs w:val="20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0"/>
          <w:szCs w:val="20"/>
        </w:rPr>
        <w:t>compares the results of six groups ablation experiments. Based on the Jacobian results obtained</w:t>
      </w:r>
    </w:p>
    <w:sectPr>
      <w:type w:val="nextPage"/>
      <w:pgSz w:w="12240" w:h="15840"/>
      <w:pgMar w:left="1440" w:right="1416" w:header="0" w:top="1440" w:footer="0" w:bottom="1440" w:gutter="0"/>
      <w:lnNumType w:countBy="1" w:restart="newPage" w:distance="283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等线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autoRedefine/>
    <w:qFormat/>
    <w:pPr>
      <w:widowControl/>
      <w:bidi w:val="0"/>
      <w:spacing w:before="0" w:after="0"/>
      <w:jc w:val="left"/>
    </w:pPr>
    <w:rPr>
      <w:rFonts w:ascii="宋体" w:hAnsi="宋体" w:cs="宋体" w:eastAsia="宋体"/>
      <w:color w:val="auto"/>
      <w:kern w:val="0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link w:val="10"/>
    <w:autoRedefine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等线 Light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0"/>
    <w:autoRedefine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等线 Light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30"/>
    <w:autoRedefine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等线 Light" w:cs="" w:asciiTheme="majorHAnsi" w:cstheme="majorBidi" w:eastAsiaTheme="majorEastAsia" w:hAnsiTheme="majorHAnsi"/>
      <w:color w:val="1F3864" w:themeColor="accent1" w:themeShade="8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Linenumber">
    <w:name w:val="line number"/>
    <w:basedOn w:val="DefaultParagraphFont"/>
    <w:uiPriority w:val="99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1" w:customStyle="1">
    <w:name w:val="标题 1 字符"/>
    <w:basedOn w:val="DefaultParagraphFont"/>
    <w:link w:val="1"/>
    <w:uiPriority w:val="9"/>
    <w:qFormat/>
    <w:rPr>
      <w:rFonts w:ascii="Calibri Light" w:hAnsi="Calibri Light" w:eastAsia="等线 Light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2" w:customStyle="1">
    <w:name w:val="标题 2 字符"/>
    <w:basedOn w:val="DefaultParagraphFont"/>
    <w:link w:val="2"/>
    <w:uiPriority w:val="9"/>
    <w:qFormat/>
    <w:rPr>
      <w:rFonts w:ascii="Calibri Light" w:hAnsi="Calibri Light" w:eastAsia="等线 Light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3" w:customStyle="1">
    <w:name w:val="标题 3 字符"/>
    <w:basedOn w:val="DefaultParagraphFont"/>
    <w:link w:val="3"/>
    <w:uiPriority w:val="9"/>
    <w:qFormat/>
    <w:rPr>
      <w:rFonts w:ascii="Calibri Light" w:hAnsi="Calibri Light" w:eastAsia="等线 Light" w:cs="" w:asciiTheme="majorHAnsi" w:cstheme="majorBidi" w:eastAsiaTheme="majorEastAsia" w:hAnsiTheme="majorHAnsi"/>
      <w:color w:val="1F3864" w:themeColor="accent1" w:themeShade="80"/>
      <w:sz w:val="24"/>
      <w:szCs w:val="24"/>
    </w:rPr>
  </w:style>
  <w:style w:type="character" w:styleId="Style11" w:customStyle="1">
    <w:name w:val="批注框文本 字符"/>
    <w:basedOn w:val="DefaultParagraphFont"/>
    <w:link w:val="a8"/>
    <w:uiPriority w:val="99"/>
    <w:semiHidden/>
    <w:qFormat/>
    <w:rPr>
      <w:rFonts w:ascii="Segoe UI" w:hAnsi="Segoe UI" w:eastAsia="宋体" w:cs="Segoe UI"/>
      <w:sz w:val="18"/>
      <w:szCs w:val="18"/>
    </w:rPr>
  </w:style>
  <w:style w:type="character" w:styleId="Text" w:customStyle="1">
    <w:name w:val="text"/>
    <w:basedOn w:val="DefaultParagraphFont"/>
    <w:qFormat/>
    <w:rPr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Mo" w:customStyle="1">
    <w:name w:val="mo"/>
    <w:basedOn w:val="DefaultParagraphFont"/>
    <w:qFormat/>
    <w:rPr/>
  </w:style>
  <w:style w:type="character" w:styleId="Style12" w:customStyle="1">
    <w:name w:val="批注文字 字符"/>
    <w:basedOn w:val="DefaultParagraphFont"/>
    <w:link w:val="a4"/>
    <w:uiPriority w:val="99"/>
    <w:semiHidden/>
    <w:qFormat/>
    <w:rPr>
      <w:rFonts w:ascii="宋体" w:hAnsi="宋体" w:eastAsia="宋体" w:cs="宋体"/>
      <w:sz w:val="20"/>
      <w:szCs w:val="20"/>
    </w:rPr>
  </w:style>
  <w:style w:type="character" w:styleId="Style13" w:customStyle="1">
    <w:name w:val="批注主题 字符"/>
    <w:basedOn w:val="Style12"/>
    <w:link w:val="af0"/>
    <w:uiPriority w:val="99"/>
    <w:semiHidden/>
    <w:qFormat/>
    <w:rPr>
      <w:rFonts w:ascii="宋体" w:hAnsi="宋体" w:eastAsia="宋体" w:cs="宋体"/>
      <w:b/>
      <w:bCs/>
      <w:sz w:val="20"/>
      <w:szCs w:val="20"/>
    </w:rPr>
  </w:style>
  <w:style w:type="character" w:styleId="Titletext" w:customStyle="1">
    <w:name w:val="title-text"/>
    <w:basedOn w:val="DefaultParagraphFont"/>
    <w:qFormat/>
    <w:rPr/>
  </w:style>
  <w:style w:type="character" w:styleId="Style14" w:customStyle="1">
    <w:name w:val="副标题 字符"/>
    <w:basedOn w:val="DefaultParagraphFont"/>
    <w:link w:val="ae"/>
    <w:uiPriority w:val="11"/>
    <w:qFormat/>
    <w:rPr>
      <w:color w:val="595959" w:themeColor="text1" w:themeTint="a6"/>
      <w:spacing w:val="15"/>
    </w:rPr>
  </w:style>
  <w:style w:type="character" w:styleId="Style15" w:customStyle="1">
    <w:name w:val="日期 字符"/>
    <w:basedOn w:val="DefaultParagraphFont"/>
    <w:link w:val="a6"/>
    <w:uiPriority w:val="99"/>
    <w:semiHidden/>
    <w:qFormat/>
    <w:rPr>
      <w:rFonts w:ascii="宋体" w:hAnsi="宋体" w:eastAsia="宋体" w:cs="宋体"/>
      <w:sz w:val="24"/>
      <w:szCs w:val="24"/>
    </w:rPr>
  </w:style>
  <w:style w:type="character" w:styleId="Style16" w:customStyle="1">
    <w:name w:val="页眉 字符"/>
    <w:basedOn w:val="DefaultParagraphFont"/>
    <w:link w:val="ac"/>
    <w:uiPriority w:val="99"/>
    <w:qFormat/>
    <w:rPr>
      <w:rFonts w:ascii="宋体" w:hAnsi="宋体" w:eastAsia="宋体" w:cs="宋体"/>
      <w:sz w:val="24"/>
      <w:szCs w:val="24"/>
    </w:rPr>
  </w:style>
  <w:style w:type="character" w:styleId="FooterChar" w:customStyle="1">
    <w:name w:val="Footer Char"/>
    <w:basedOn w:val="DefaultParagraphFont"/>
    <w:uiPriority w:val="99"/>
    <w:qFormat/>
    <w:rPr>
      <w:rFonts w:ascii="宋体" w:hAnsi="宋体" w:eastAsia="宋体" w:cs="宋体"/>
      <w:sz w:val="24"/>
      <w:szCs w:val="24"/>
    </w:rPr>
  </w:style>
  <w:style w:type="character" w:styleId="Style17" w:customStyle="1">
    <w:name w:val="页脚 字符"/>
    <w:basedOn w:val="DefaultParagraphFont"/>
    <w:link w:val="aa"/>
    <w:uiPriority w:val="99"/>
    <w:qFormat/>
    <w:rPr>
      <w:sz w:val="18"/>
      <w:szCs w:val="18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autoRedefine/>
    <w:uiPriority w:val="35"/>
    <w:unhideWhenUsed/>
    <w:qFormat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nnotationtext">
    <w:name w:val="annotation text"/>
    <w:basedOn w:val="Normal"/>
    <w:link w:val="a5"/>
    <w:autoRedefine/>
    <w:uiPriority w:val="99"/>
    <w:semiHidden/>
    <w:unhideWhenUsed/>
    <w:qFormat/>
    <w:pPr/>
    <w:rPr>
      <w:sz w:val="20"/>
      <w:szCs w:val="20"/>
    </w:rPr>
  </w:style>
  <w:style w:type="paragraph" w:styleId="Date">
    <w:name w:val="Date"/>
    <w:basedOn w:val="Normal"/>
    <w:next w:val="Normal"/>
    <w:link w:val="a7"/>
    <w:autoRedefine/>
    <w:uiPriority w:val="99"/>
    <w:semiHidden/>
    <w:unhideWhenUsed/>
    <w:qFormat/>
    <w:pPr/>
    <w:rPr/>
  </w:style>
  <w:style w:type="paragraph" w:styleId="BalloonText">
    <w:name w:val="Balloon Text"/>
    <w:basedOn w:val="Normal"/>
    <w:link w:val="a9"/>
    <w:autoRedefine/>
    <w:uiPriority w:val="99"/>
    <w:semiHidden/>
    <w:unhideWhenUsed/>
    <w:qFormat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ab"/>
    <w:autoRedefine/>
    <w:uiPriority w:val="99"/>
    <w:unhideWhenUsed/>
    <w:qFormat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Normal"/>
    <w:link w:val="ad"/>
    <w:autoRedefine/>
    <w:uiPriority w:val="99"/>
    <w:unhideWhenUsed/>
    <w:qFormat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Contents1">
    <w:name w:val="TOC 1"/>
    <w:basedOn w:val="Normal"/>
    <w:next w:val="Normal"/>
    <w:autoRedefine/>
    <w:uiPriority w:val="39"/>
    <w:unhideWhenUsed/>
    <w:qFormat/>
    <w:pPr>
      <w:spacing w:before="0" w:after="100"/>
    </w:pPr>
    <w:rPr/>
  </w:style>
  <w:style w:type="paragraph" w:styleId="Subtitle">
    <w:name w:val="Subtitle"/>
    <w:basedOn w:val="Normal"/>
    <w:next w:val="Normal"/>
    <w:link w:val="af"/>
    <w:autoRedefine/>
    <w:uiPriority w:val="11"/>
    <w:qFormat/>
    <w:pPr>
      <w:spacing w:before="0" w:after="160"/>
    </w:pPr>
    <w:rPr>
      <w:rFonts w:ascii="Calibri" w:hAnsi="Calibri" w:eastAsia="等线" w:cs="" w:asciiTheme="minorHAnsi" w:cstheme="minorBidi" w:eastAsiaTheme="minorEastAsia" w:hAnsiTheme="minorHAnsi"/>
      <w:color w:val="595959" w:themeColor="text1" w:themeTint="a6"/>
      <w:spacing w:val="15"/>
      <w:sz w:val="22"/>
      <w:szCs w:val="22"/>
    </w:rPr>
  </w:style>
  <w:style w:type="paragraph" w:styleId="Contents2">
    <w:name w:val="TOC 2"/>
    <w:basedOn w:val="Normal"/>
    <w:next w:val="Normal"/>
    <w:autoRedefine/>
    <w:uiPriority w:val="39"/>
    <w:unhideWhenUsed/>
    <w:qFormat/>
    <w:pPr>
      <w:spacing w:before="0" w:after="100"/>
      <w:ind w:left="240" w:hanging="0"/>
    </w:pPr>
    <w:rPr/>
  </w:style>
  <w:style w:type="paragraph" w:styleId="Annotationsubject">
    <w:name w:val="annotation subject"/>
    <w:basedOn w:val="Annotationtext"/>
    <w:next w:val="Annotationtext"/>
    <w:link w:val="af1"/>
    <w:autoRedefine/>
    <w:uiPriority w:val="99"/>
    <w:semiHidden/>
    <w:unhideWhenUsed/>
    <w:qFormat/>
    <w:pPr/>
    <w:rPr>
      <w:b/>
      <w:bCs/>
    </w:rPr>
  </w:style>
  <w:style w:type="paragraph" w:styleId="TOCHeading1" w:customStyle="1">
    <w:name w:val="TOC Heading1"/>
    <w:basedOn w:val="Heading1"/>
    <w:next w:val="Normal"/>
    <w:autoRedefine/>
    <w:uiPriority w:val="39"/>
    <w:unhideWhenUsed/>
    <w:qFormat/>
    <w:pPr>
      <w:spacing w:lineRule="auto" w:line="259"/>
    </w:pPr>
    <w:rPr>
      <w:lang w:eastAsia="en-US"/>
    </w:rPr>
  </w:style>
  <w:style w:type="paragraph" w:styleId="ListParagraph">
    <w:name w:val="List Paragraph"/>
    <w:basedOn w:val="Normal"/>
    <w:autoRedefine/>
    <w:uiPriority w:val="34"/>
    <w:qFormat/>
    <w:pPr>
      <w:spacing w:before="0" w:after="0"/>
      <w:ind w:left="720" w:hanging="0"/>
      <w:contextualSpacing/>
    </w:pPr>
    <w:rPr/>
  </w:style>
  <w:style w:type="paragraph" w:styleId="Bibliography1" w:customStyle="1">
    <w:name w:val="Bibliography1"/>
    <w:basedOn w:val="Normal"/>
    <w:next w:val="Normal"/>
    <w:autoRedefine/>
    <w:uiPriority w:val="37"/>
    <w:unhideWhenUsed/>
    <w:qFormat/>
    <w:pPr/>
    <w:rPr/>
  </w:style>
  <w:style w:type="paragraph" w:styleId="Revision1" w:customStyle="1">
    <w:name w:val="Revision1"/>
    <w:autoRedefine/>
    <w:uiPriority w:val="99"/>
    <w:semiHidden/>
    <w:qFormat/>
    <w:pPr>
      <w:widowControl/>
      <w:bidi w:val="0"/>
      <w:spacing w:before="0" w:after="0"/>
      <w:jc w:val="left"/>
    </w:pPr>
    <w:rPr>
      <w:rFonts w:ascii="宋体" w:hAnsi="宋体" w:cs="宋体" w:eastAsia="宋体"/>
      <w:color w:val="auto"/>
      <w:kern w:val="0"/>
      <w:sz w:val="24"/>
      <w:szCs w:val="24"/>
      <w:lang w:val="en-US" w:eastAsia="zh-CN" w:bidi="ar-SA"/>
    </w:rPr>
  </w:style>
  <w:style w:type="paragraph" w:styleId="Keyword" w:customStyle="1">
    <w:name w:val="keyword"/>
    <w:basedOn w:val="Normal"/>
    <w:autoRedefine/>
    <w:qFormat/>
    <w:pPr>
      <w:spacing w:before="280" w:after="0"/>
    </w:pPr>
    <w:rPr/>
  </w:style>
  <w:style w:type="paragraph" w:styleId="11" w:customStyle="1">
    <w:name w:val="修订1"/>
    <w:autoRedefine/>
    <w:uiPriority w:val="99"/>
    <w:unhideWhenUsed/>
    <w:qFormat/>
    <w:pPr>
      <w:widowControl/>
      <w:bidi w:val="0"/>
      <w:spacing w:before="0" w:after="0"/>
      <w:jc w:val="left"/>
    </w:pPr>
    <w:rPr>
      <w:rFonts w:ascii="宋体" w:hAnsi="宋体" w:cs="宋体" w:eastAsia="宋体"/>
      <w:color w:val="auto"/>
      <w:kern w:val="0"/>
      <w:sz w:val="24"/>
      <w:szCs w:val="24"/>
      <w:lang w:val="en-US" w:eastAsia="zh-CN" w:bidi="ar-SA"/>
    </w:rPr>
  </w:style>
  <w:style w:type="paragraph" w:styleId="21" w:customStyle="1">
    <w:name w:val="修订2"/>
    <w:autoRedefine/>
    <w:uiPriority w:val="99"/>
    <w:semiHidden/>
    <w:qFormat/>
    <w:pPr>
      <w:widowControl/>
      <w:bidi w:val="0"/>
      <w:spacing w:before="0" w:after="0"/>
      <w:jc w:val="left"/>
    </w:pPr>
    <w:rPr>
      <w:rFonts w:ascii="宋体" w:hAnsi="宋体" w:cs="宋体" w:eastAsia="宋体"/>
      <w:color w:val="auto"/>
      <w:kern w:val="0"/>
      <w:sz w:val="24"/>
      <w:szCs w:val="24"/>
      <w:lang w:val="en-US" w:eastAsia="zh-CN" w:bidi="ar-SA"/>
    </w:rPr>
  </w:style>
  <w:style w:type="paragraph" w:styleId="31" w:customStyle="1">
    <w:name w:val="修订3"/>
    <w:autoRedefine/>
    <w:uiPriority w:val="99"/>
    <w:unhideWhenUsed/>
    <w:qFormat/>
    <w:pPr>
      <w:widowControl/>
      <w:bidi w:val="0"/>
      <w:spacing w:before="0" w:after="0"/>
      <w:jc w:val="left"/>
    </w:pPr>
    <w:rPr>
      <w:rFonts w:ascii="宋体" w:hAnsi="宋体" w:cs="宋体" w:eastAsia="宋体"/>
      <w:color w:val="auto"/>
      <w:kern w:val="0"/>
      <w:sz w:val="24"/>
      <w:szCs w:val="24"/>
      <w:lang w:val="en-US" w:eastAsia="zh-CN" w:bidi="ar-SA"/>
    </w:rPr>
  </w:style>
  <w:style w:type="paragraph" w:styleId="FrameContents">
    <w:name w:val="Frame Contents"/>
    <w:basedOn w:val="Normal"/>
    <w:qFormat/>
    <w:pPr/>
    <w:rPr/>
  </w:style>
  <w:style w:type="paragraph" w:styleId="Style18">
    <w:name w:val="表"/>
    <w:basedOn w:val="Normal"/>
    <w:qFormat/>
    <w:pPr>
      <w:spacing w:before="0" w:after="0"/>
      <w:jc w:val="center"/>
    </w:pPr>
    <w:rPr>
      <w:rFonts w:cs="宋体"/>
      <w:bCs/>
      <w:color w:val="000000"/>
      <w:kern w:val="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1"/>
    <w:uiPriority w:val="39"/>
    <w:qFormat/>
    <w:rPr>
      <w:sz w:val="21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Has04</b:Tag>
    <b:SourceType>JournalArticle</b:SourceType>
    <b:Guid>{4DE1A80C-0D2C-4C58-9064-47AE5B5ED4A4}</b:Guid>
    <b:Title>Numerical implementation of a neural network based material model in finite element analysis.</b:Title>
    <b:Year>2004</b:Year>
    <b:Author>
      <b:Author>
        <b:NameList>
          <b:Person>
            <b:Last>Hashash</b:Last>
            <b:First>Yeee</b:First>
            <b:Middle>Meee Aeee</b:Middle>
          </b:Person>
          <b:Person>
            <b:Last>Jung</b:Last>
            <b:First>Seee</b:First>
          </b:Person>
          <b:Person>
            <b:Last>Ghaboussi</b:Last>
            <b:First>Jeeee</b:First>
          </b:Person>
        </b:NameList>
      </b:Author>
    </b:Author>
    <b:JournalName>Internation Journal for numerical methods in engineering</b:JournalName>
    <b:Pages>989-1005</b:Pages>
    <b:Volume>59</b:Volume>
    <b:Issue>7</b:Issue>
    <b:RefOrder>1</b:RefOrder>
  </b:Source>
  <b:Source>
    <b:Tag>Man05</b:Tag>
    <b:SourceType>JournalArticle</b:SourceType>
    <b:Guid>{3F94B22A-596F-4CB8-BFD0-EA0DFF4007A0}</b:Guid>
    <b:Author>
      <b:Author>
        <b:NameList>
          <b:Person>
            <b:Last>Manevitz</b:Last>
            <b:First>Leee</b:First>
          </b:Person>
          <b:Person>
            <b:Last>Bitar</b:Last>
            <b:First>Aeee</b:First>
          </b:Person>
          <b:Person>
            <b:Last>Givoli</b:Last>
            <b:First>Deee</b:First>
          </b:Person>
        </b:NameList>
      </b:Author>
    </b:Author>
    <b:Title>Neural network time series forecasting of finite-element mesh adaptation.</b:Title>
    <b:JournalName>Neurocomputing</b:JournalName>
    <b:Year>2005</b:Year>
    <b:Pages>447-463</b:Pages>
    <b:Volume>63</b:Volume>
    <b:RefOrder>2</b:RefOrder>
  </b:Source>
  <b:Source>
    <b:Tag>Bis95</b:Tag>
    <b:SourceType>JournalArticle</b:SourceType>
    <b:Guid>{6044A3AC-EAC8-4A26-9556-DA0AC5A88F3C}</b:Guid>
    <b:Author>
      <b:Author>
        <b:NameList>
          <b:Person>
            <b:Last>Bishop</b:Last>
            <b:First>Meee,</b:First>
            <b:Middle>Ceee</b:Middle>
          </b:Person>
        </b:NameList>
      </b:Author>
    </b:Author>
    <b:Title>Neural Networks for Pattern Recognition</b:Title>
    <b:JournalName>Oxford University Press, Oxford</b:JournalName>
    <b:Year>1995</b:Year>
    <b:RefOrder>3</b:RefOrder>
  </b:Source>
  <b:Source>
    <b:Tag>Hay99</b:Tag>
    <b:SourceType>JournalArticle</b:SourceType>
    <b:Guid>{3D2126D7-7405-444A-BB6F-CA9D7300AF49}</b:Guid>
    <b:Author>
      <b:Author>
        <b:NameList>
          <b:Person>
            <b:Last>Haykin</b:Last>
            <b:First>Seee,</b:First>
            <b:Middle>Seee</b:Middle>
          </b:Person>
        </b:NameList>
      </b:Author>
    </b:Author>
    <b:Title>Neural networks: a comprehensive foundation</b:Title>
    <b:JournalName>Prentice Hall</b:JournalName>
    <b:Year>1999</b:Year>
    <b:RefOrder>4</b:RefOrder>
  </b:Source>
  <b:Source>
    <b:Tag>Lev44</b:Tag>
    <b:SourceType>JournalArticle</b:SourceType>
    <b:Guid>{07092D8F-8E69-421D-A805-0B4D3AF90159}</b:Guid>
    <b:Author>
      <b:Author>
        <b:NameList>
          <b:Person>
            <b:Last>Levenberg</b:Last>
            <b:First>Keee</b:First>
          </b:Person>
        </b:NameList>
      </b:Author>
    </b:Author>
    <b:Title>A method for the solution of certain problems in least squares</b:Title>
    <b:JournalName>Quart. Appl. Math</b:JournalName>
    <b:Year>1944</b:Year>
    <b:Pages>164-168</b:Pages>
    <b:Volume>2</b:Volume>
    <b:RefOrder>5</b:RefOrder>
  </b:Source>
  <b:Source>
    <b:Tag>Mar63</b:Tag>
    <b:SourceType>JournalArticle</b:SourceType>
    <b:Guid>{860AE7D2-8DCE-427B-9865-4E3FD89F79D0}</b:Guid>
    <b:Author>
      <b:Author>
        <b:NameList>
          <b:Person>
            <b:Last>Marquardt</b:Last>
            <b:First>Deee:</b:First>
          </b:Person>
        </b:NameList>
      </b:Author>
    </b:Author>
    <b:Title>An algorithm for least-squares estimation of nonlinear parameters</b:Title>
    <b:JournalName>SIAM J. Appl. Math.</b:JournalName>
    <b:Year>1963</b:Year>
    <b:Pages>431-441</b:Pages>
    <b:Volume>11</b:Volume>
    <b:RefOrder>6</b:RefOrder>
  </b:Source>
  <b:Source>
    <b:Tag>Mat18</b:Tag>
    <b:SourceType>JournalArticle</b:SourceType>
    <b:Guid>{5AC212A8-5E6C-4475-A351-659254F0D6F8}</b:Guid>
    <b:Author>
      <b:Author>
        <b:Corporate>Matlab</b:Corporate>
      </b:Author>
    </b:Author>
    <b:Title>Statistics and Machine Learning Toolbox:User's Guide</b:Title>
    <b:JournalName>MathWorks</b:JournalName>
    <b:Year>2018</b:Year>
    <b:RefOrder>7</b:RefOrder>
  </b:Source>
  <b:Source>
    <b:Tag>Ans18</b:Tag>
    <b:SourceType>JournalArticle</b:SourceType>
    <b:Guid>{16D153DA-9B9E-4028-91F5-6758DD9AFD4E}</b:Guid>
    <b:Author>
      <b:Author>
        <b:Corporate>Ansys</b:Corporate>
      </b:Author>
    </b:Author>
    <b:Title>ANSYS Mechanical APDL Theory Reference</b:Title>
    <b:JournalName>Ansys Inc</b:JournalName>
    <b:Year>2018</b:Year>
    <b:RefOrder>8</b:RefOrder>
  </b:Source>
  <b:Source>
    <b:Tag>You12</b:Tag>
    <b:SourceType>JournalArticle</b:SourceType>
    <b:Guid>{D2F28ADB-8F92-4EE7-BA4F-4E2F95F236A5}</b:Guid>
    <b:Author>
      <b:Author>
        <b:NameList>
          <b:Person>
            <b:Last>Young</b:Last>
            <b:First>Weee,</b:First>
            <b:Middle>Ceeee</b:Middle>
          </b:Person>
          <b:Person>
            <b:Last>Budynas</b:Last>
            <b:First>Reee,</b:First>
            <b:Middle>Geee</b:Middle>
          </b:Person>
          <b:Person>
            <b:Last>Sadegh</b:Last>
            <b:First>Aeee,</b:First>
            <b:Middle>Meee</b:Middle>
          </b:Person>
        </b:NameList>
      </b:Author>
    </b:Author>
    <b:Title>Roark's formulas for stress and strain</b:Title>
    <b:JournalName>McGraw-Hill</b:JournalName>
    <b:Year>2012</b:Year>
    <b:RefOrder>9</b:RefOrder>
  </b:Source>
  <b:Source>
    <b:Tag>Kay16</b:Tag>
    <b:SourceType>JournalArticle</b:SourceType>
    <b:Guid>{59CFF521-9531-441A-BC00-885E07DC3963}</b:Guid>
    <b:Author>
      <b:Author>
        <b:NameList>
          <b:Person>
            <b:Last>Kayri</b:Last>
            <b:First>Murat</b:First>
          </b:Person>
        </b:NameList>
      </b:Author>
    </b:Author>
    <b:Title>Predictive Abilities of Bayesian Regularization and Levenberg–Marquardt Algorithms in Artificial Neural Networks: A Comparative Empirical Study on Social Data</b:Title>
    <b:JournalName>Math. Comput. Appl.</b:JournalName>
    <b:Year>2016</b:Year>
    <b:Pages>20</b:Pages>
    <b:Volume>21</b:Volume>
    <b:Issue>2</b:Issue>
    <b:RefOrder>10</b:RefOrder>
  </b:Source>
  <b:Source>
    <b:Tag>Mar93</b:Tag>
    <b:SourceType>JournalArticle</b:SourceType>
    <b:Guid>{494BDCCF-DB7A-4FA7-91D7-41AD9ABF8E4E}</b:Guid>
    <b:Author>
      <b:Author>
        <b:NameList>
          <b:Person>
            <b:Last>Martin</b:Last>
            <b:First>Feee,</b:First>
            <b:Middle>Meee</b:Middle>
          </b:Person>
        </b:NameList>
      </b:Author>
    </b:Author>
    <b:Title>A scaled conjugate gradient algorithm for fast supervised learning</b:Title>
    <b:JournalName>Neural Networks</b:JournalName>
    <b:Year>1993</b:Year>
    <b:Pages>525-533</b:Pages>
    <b:Volume>6</b:Volume>
    <b:Issue>4</b:Issue>
    <b:RefOrder>11</b:RefOrder>
  </b:Source>
  <b:Source>
    <b:Tag>She94</b:Tag>
    <b:SourceType>Report</b:SourceType>
    <b:Guid>{AF07DB06-7F3C-4E98-BEB2-2BFBD2571807}</b:Guid>
    <b:Author>
      <b:Author>
        <b:NameList>
          <b:Person>
            <b:Last>Shewchuk</b:Last>
            <b:First>Jonathan</b:First>
            <b:Middle>Richard</b:Middle>
          </b:Person>
        </b:NameList>
      </b:Author>
    </b:Author>
    <b:Title>An introduction to conjugate gradient method without the agonizing pain</b:Title>
    <b:JournalName>School of Computer Science, Carneige Mellon University</b:JournalName>
    <b:Year>1994</b:Year>
    <b:City>Pittsburgh, PA, USA </b:City>
    <b:Publisher>Carnegie Mellon University </b:Publisher>
    <b:RefOrder>12</b:RefOrder>
  </b:Source>
  <b:Source>
    <b:Tag>For97</b:Tag>
    <b:SourceType>ConferenceProceedings</b:SourceType>
    <b:Guid>{8B2F3641-AF81-47E6-A118-D1E3AAEBDF46}</b:Guid>
    <b:Author>
      <b:Author>
        <b:NameList>
          <b:Person>
            <b:Last>Foresee</b:Last>
            <b:First>Feee,</b:First>
            <b:Middle>Dee</b:Middle>
          </b:Person>
          <b:Person>
            <b:Last>Hagan</b:Last>
            <b:First>Meee,</b:First>
            <b:Middle>Teee</b:Middle>
          </b:Person>
        </b:NameList>
      </b:Author>
    </b:Author>
    <b:Title>Gauss-Newton Approximation to Bayesian Learning</b:Title>
    <b:Year>1997</b:Year>
    <b:ConferenceName>Proceedings of International Conference on Neural Networks</b:ConferenceName>
    <b:RefOrder>13</b:RefOrder>
  </b:Source>
  <b:Source>
    <b:Tag>Gav19</b:Tag>
    <b:SourceType>Report</b:SourceType>
    <b:Guid>{94131DCF-0890-4825-99F8-D7BFC87005EC}</b:Guid>
    <b:Title>The Levenberg-Marquardt algorithm for nonlinear least squares curve-fitting problems</b:Title>
    <b:Year>2019</b:Year>
    <b:Publisher>Department of Civil and Environmental Engineering, Duke University</b:Publisher>
    <b:City>Durham</b:City>
    <b:Author>
      <b:Author>
        <b:NameList>
          <b:Person>
            <b:Last>Gavin</b:Last>
            <b:First>Henri</b:First>
            <b:Middle>P.</b:Middle>
          </b:Person>
        </b:NameList>
      </b:Author>
    </b:Author>
    <b:RefOrder>14</b:RefOrder>
  </b:Source>
  <b:Source>
    <b:Tag>Pre15</b:Tag>
    <b:SourceType>JournalArticle</b:SourceType>
    <b:Guid>{E682BACF-F3EC-48F5-BD9A-A2FEE4AF7987}</b:Guid>
    <b:Author>
      <b:Author>
        <b:NameList>
          <b:Person>
            <b:Last>Prerana</b:Last>
          </b:Person>
          <b:Person>
            <b:Last>Sehgal</b:Last>
            <b:First>Parveen</b:First>
          </b:Person>
          <b:Person>
            <b:Last>Taneja</b:Last>
            <b:First>Khushboo</b:First>
          </b:Person>
        </b:NameList>
      </b:Author>
    </b:Author>
    <b:Title>Comparative Study of GD, LM and SCG Method of Neural Network for Thyroid Disease Diagnosis</b:Title>
    <b:JournalName>International Journal of Applied Research</b:JournalName>
    <b:Year>2015</b:Year>
    <b:Pages>34-39</b:Pages>
    <b:Volume>1</b:Volume>
    <b:Issue>10</b:Issue>
    <b:RefOrder>15</b:RefOrder>
  </b:Source>
  <b:Source>
    <b:Tag>Pil08</b:Tag>
    <b:SourceType>JournalArticle</b:SourceType>
    <b:Guid>{D723EA46-C36B-4857-8600-037FB0C50108}</b:Guid>
    <b:Author>
      <b:Author>
        <b:NameList>
          <b:Person>
            <b:Last>Pilky</b:Last>
            <b:First>Walter</b:First>
            <b:Middle>D.</b:Middle>
          </b:Person>
          <b:Person>
            <b:Last>Pilkey</b:Last>
            <b:First>Deborah</b:First>
            <b:Middle>F.</b:Middle>
          </b:Person>
        </b:NameList>
      </b:Author>
    </b:Author>
    <b:Title>Peterson's stress concentration factors</b:Title>
    <b:JournalName>John Wiley</b:JournalName>
    <b:Year>2008</b:Year>
    <b:RefOrder>16</b:RefOrder>
  </b:Source>
  <b:Source>
    <b:Tag>Mac</b:Tag>
    <b:SourceType>JournalArticle</b:SourceType>
    <b:Guid>{D5A2532E-BF4C-4DE8-94F8-A52E88B5245C}</b:Guid>
    <b:Author>
      <b:Author>
        <b:NameList>
          <b:Person>
            <b:Last>Mackay</b:Last>
            <b:First>D,</b:First>
            <b:Middle>J, C,.</b:Middle>
          </b:Person>
        </b:NameList>
      </b:Author>
    </b:Author>
    <b:Title>Bayesian Interpolation</b:Title>
    <b:JournalName>Neural Computation</b:JournalName>
    <b:Year>1992</b:Year>
    <b:Pages>415-447</b:Pages>
    <b:Volume>4</b:Volume>
    <b:Issue>3</b:Issue>
    <b:RefOrder>17</b:RefOrder>
  </b:Source>
  <b:Source>
    <b:Tag>Meh16</b:Tag>
    <b:SourceType>JournalArticle</b:SourceType>
    <b:Guid>{4145CFFE-856D-4B31-9223-C1E4239CFAFA}</b:Guid>
    <b:Author>
      <b:Author>
        <b:NameList>
          <b:Person>
            <b:Last>Shirangi</b:Last>
            <b:First>Mehrdad</b:First>
            <b:Middle>G.</b:Middle>
          </b:Person>
          <b:Person>
            <b:Last>Emerick</b:Last>
            <b:First>Alexandre</b:First>
            <b:Middle>Anoze</b:Middle>
          </b:Person>
        </b:NameList>
      </b:Author>
    </b:Author>
    <b:Title>An improved TSVD-based Levenberg–Marquardt algorithm for history matching and comparison with Gauss–Newton</b:Title>
    <b:JournalName>Journal of Petroleum Science and Engineering</b:JournalName>
    <b:Year>2016</b:Year>
    <b:Pages>258-271</b:Pages>
    <b:Volume>143</b:Volume>
    <b:RefOrder>18</b:RefOrder>
  </b:Source>
  <b:Source>
    <b:Tag>Tan19</b:Tag>
    <b:SourceType>ConferenceProceedings</b:SourceType>
    <b:Guid>{CBDEA903-ED3B-46A5-A852-AF516C9D93D7}</b:Guid>
    <b:Author>
      <b:Author>
        <b:NameList>
          <b:Person>
            <b:Last>Tan</b:Last>
            <b:First>Hong</b:First>
            <b:Middle>Hui</b:Middle>
          </b:Person>
          <b:Person>
            <b:Last>Lim</b:Last>
            <b:First>King</b:First>
            <b:Middle>Hann</b:Middle>
          </b:Person>
        </b:NameList>
      </b:Author>
    </b:Author>
    <b:Title>Vanishing Gradient Mitigation with Deep Learning Neural Network Optimization</b:Title>
    <b:Year>2019</b:Year>
    <b:ConferenceName>7th International Conference on Smart Computing &amp; Communications (ICSCC)</b:ConferenceName>
    <b:City>Sarawak, Malaysia</b:City>
    <b:RefOrder>19</b:RefOrder>
  </b:Source>
  <b:Source>
    <b:Tag>Nyu</b:Tag>
    <b:SourceType>JournalArticle</b:SourceType>
    <b:Guid>{8825F75F-E908-4603-9270-FE18F902CED3}</b:Guid>
    <b:Author>
      <b:Author>
        <b:NameList>
          <b:Person>
            <b:Last>Nyuyen</b:Last>
            <b:First>D,</b:First>
          </b:Person>
          <b:Person>
            <b:Last>Widrow</b:Last>
            <b:First>B,</b:First>
          </b:Person>
        </b:NameList>
      </b:Author>
    </b:Author>
    <b:Title>Improving the learning speed of 2-layer neural networks by choosing initial values of the adaptive weights</b:Title>
    <b:JournalName>Proceedings of the IJCNN</b:JournalName>
    <b:Year>1990</b:Year>
    <b:Pages>21-26</b:Pages>
    <b:Volume>3</b:Volume>
    <b:RefOrder>20</b:RefOrder>
  </b:Source>
  <b:Source>
    <b:Tag>Hoc98</b:Tag>
    <b:SourceType>JournalArticle</b:SourceType>
    <b:Guid>{42DC1FE4-D28C-4BDC-A228-B05BDDFC60CF}</b:Guid>
    <b:Author>
      <b:Author>
        <b:NameList>
          <b:Person>
            <b:Last>Hochreiter</b:Last>
            <b:First>Sepp</b:First>
          </b:Person>
        </b:NameList>
      </b:Author>
    </b:Author>
    <b:Title>The Vanishing Gradient Problem During Learning Recurrent Neural Nets and Problem Solutions</b:Title>
    <b:JournalName>International Journal of Uncertainty, Fuzziness and Knowledge-Based Systems</b:JournalName>
    <b:Year>1998</b:Year>
    <b:Pages>107-116</b:Pages>
    <b:Volume>6</b:Volume>
    <b:Issue>2</b:Issue>
    <b:RefOrder>21</b:RefOrder>
  </b:Source>
  <b:Source>
    <b:Tag>Nor</b:Tag>
    <b:SourceType>ConferenceProceedings</b:SourceType>
    <b:Guid>{9BAB162E-78FB-4160-A99C-40635631BDBF}</b:Guid>
    <b:Author>
      <b:Author>
        <b:NameList>
          <b:Person>
            <b:Last>Jouppi</b:Last>
            <b:First>Norman</b:First>
            <b:Middle>P.</b:Middle>
          </b:Person>
          <b:Person>
            <b:Last>Young</b:Last>
            <b:First>Cliff</b:First>
          </b:Person>
          <b:Person>
            <b:Last>Patil</b:Last>
            <b:First>Nishant</b:First>
          </b:Person>
          <b:Person>
            <b:Last>Patterson</b:Last>
            <b:First>David</b:First>
          </b:Person>
          <b:Person>
            <b:Last>Agrawal</b:Last>
            <b:First>Gaurav</b:First>
          </b:Person>
          <b:Person>
            <b:Last>Bajwa</b:Last>
            <b:First>Raminder</b:First>
          </b:Person>
          <b:Person>
            <b:Last>Bates</b:Last>
            <b:First>Sarah</b:First>
          </b:Person>
          <b:Person>
            <b:Last>Bhatia</b:Last>
            <b:First>Suresh</b:First>
          </b:Person>
          <b:Person>
            <b:Last>Boden</b:Last>
            <b:First>Nan</b:First>
          </b:Person>
          <b:Person>
            <b:Last>Borchers</b:Last>
            <b:First>Al</b:First>
          </b:Person>
          <b:Person>
            <b:Last>Boyle</b:Last>
            <b:First>Rick</b:First>
          </b:Person>
          <b:Person>
            <b:Last>Cantin</b:Last>
            <b:First>Pierre-luc</b:First>
          </b:Person>
          <b:Person>
            <b:Last>Chao</b:Last>
            <b:First>Clifford</b:First>
          </b:Person>
          <b:Person>
            <b:Last>Clark</b:Last>
            <b:First>Chris</b:First>
          </b:Person>
          <b:Person>
            <b:Last>Coriell</b:Last>
            <b:First>Jeremy</b:First>
          </b:Person>
          <b:Person>
            <b:Last>Daley</b:Last>
            <b:First>Mike</b:First>
          </b:Person>
          <b:Person>
            <b:Last>Dau</b:Last>
            <b:First>Matt</b:First>
          </b:Person>
        </b:NameList>
      </b:Author>
    </b:Author>
    <b:Title>In-Datacenter Performance Analysis of a Tensor Processing Unit</b:Title>
    <b:Year>2017</b:Year>
    <b:ConferenceName>44th International Symposium on Computer Achitecture(ISCA)</b:ConferenceName>
    <b:City>Toronto, Canada</b:City>
    <b:RefOrder>22</b:RefOrder>
  </b:Source>
  <b:Source>
    <b:Tag>Cho19</b:Tag>
    <b:SourceType>BookSection</b:SourceType>
    <b:Guid>{E82CEB04-40F4-4213-BE86-59ADF04A729C}</b:Guid>
    <b:Author>
      <b:Author>
        <b:NameList>
          <b:Person>
            <b:Last>Chow</b:Last>
            <b:First>Wai</b:First>
            <b:Middle>Tuck</b:Middle>
          </b:Person>
        </b:NameList>
      </b:Author>
    </b:Author>
    <b:Title>Supervised Learning for Finite Element Analysis of Holes Under Tensile Load</b:Title>
    <b:ConferenceName>ICCES</b:ConferenceName>
    <b:Publisher>Springer, Cham</b:Publisher>
    <b:BookTitle>Okada H., Atluri S. (eds) Computational and Experimental Simulations in Engineering. ICCES 2019. Mechanisms and Machine Science, vol 75</b:BookTitle>
    <b:Year>2019</b:Year>
    <b:RefOrder>23</b:RefOrder>
  </b:Source>
  <b:Source>
    <b:Tag>Tra10</b:Tag>
    <b:SourceType>JournalArticle</b:SourceType>
    <b:Guid>{D62F0B36-FE1D-470D-BDA5-CE82E3C9986B}</b:Guid>
    <b:Title>Why are nonlinear fits to data so challenging?</b:Title>
    <b:Author>
      <b:Author>
        <b:NameList>
          <b:Person>
            <b:Last>Transtrum</b:Last>
            <b:First>Mark</b:First>
            <b:Middle>K</b:Middle>
          </b:Person>
          <b:Person>
            <b:Last>Machta</b:Last>
            <b:First>Benjamin</b:First>
            <b:Middle>B</b:Middle>
          </b:Person>
          <b:Person>
            <b:Last>Sethna</b:Last>
            <b:First>James</b:First>
            <b:Middle>P</b:Middle>
          </b:Person>
        </b:NameList>
      </b:Author>
    </b:Author>
    <b:JournalName>Physical review letters</b:JournalName>
    <b:Year>2010</b:Year>
    <b:Pages>060201</b:Pages>
    <b:Volume>104</b:Volume>
    <b:Issue>6</b:Issue>
    <b:RefOrder>24</b:RefOrder>
  </b:Source>
  <b:Source>
    <b:Tag>Lou05</b:Tag>
    <b:SourceType>Report</b:SourceType>
    <b:Guid>{82E11422-FEF9-45BE-BA47-81884379A5AF}</b:Guid>
    <b:Author>
      <b:Author>
        <b:NameList>
          <b:Person>
            <b:Last>Lourakis</b:Last>
            <b:First>M,</b:First>
            <b:Middle>I, A,</b:Middle>
          </b:Person>
        </b:NameList>
      </b:Author>
    </b:Author>
    <b:Title>A brief description of the Levenberg-Marquardt algorithm implemeneted by levmar</b:Title>
    <b:Year>2005</b:Year>
    <b:Publisher>Institute of Computer Science, Foundation for Research and Technology-Hellas</b:Publisher>
    <b:RefOrder>25</b:RefOrder>
  </b:Source>
  <b:Source>
    <b:Tag>Mad</b:Tag>
    <b:SourceType>Report</b:SourceType>
    <b:Guid>{1F951763-8A29-4DA0-A1E5-8B41E1309DA9}</b:Guid>
    <b:Author>
      <b:Author>
        <b:NameList>
          <b:Person>
            <b:Last>Madsen</b:Last>
            <b:First>K,</b:First>
          </b:Person>
          <b:Person>
            <b:Last>Nielson</b:Last>
            <b:First>H,B,</b:First>
          </b:Person>
          <b:Person>
            <b:Last>Tingleff</b:Last>
          </b:Person>
        </b:NameList>
      </b:Author>
    </b:Author>
    <b:Title>Methods For Non-Linear LEast Squares Problems</b:Title>
    <b:Year>2004</b:Year>
    <b:Publisher>Informatics and MAthematical Modelling, Technical University of Denmark</b:Publisher>
    <b:RefOrder>26</b:RefOrder>
  </b:Source>
  <b:Source>
    <b:Tag>Nie</b:Tag>
    <b:SourceType>Report</b:SourceType>
    <b:Guid>{76461AA2-D59B-425A-ABF8-900F14E5EAA6}</b:Guid>
    <b:Author>
      <b:Author>
        <b:NameList>
          <b:Person>
            <b:Last>Nielson</b:Last>
            <b:First>H,</b:First>
            <b:Middle>B,</b:Middle>
          </b:Person>
        </b:NameList>
      </b:Author>
    </b:Author>
    <b:Title>Damping Parameter In Marquardt's Method</b:Title>
    <b:Year>1999</b:Year>
    <b:Publisher>Dept. of Mathematical Modelling, Technical University Denmark</b:Publisher>
    <b:RefOrder>27</b:RefOrder>
  </b:Source>
  <b:Source>
    <b:Tag>Bra93</b:Tag>
    <b:SourceType>ConferenceProceedings</b:SourceType>
    <b:Guid>{1753DC13-F51D-4B28-93C9-46D7FF38BC69}</b:Guid>
    <b:Author>
      <b:Author>
        <b:NameList>
          <b:Person>
            <b:Last>Braun</b:Last>
            <b:First>H,</b:First>
          </b:Person>
          <b:Person>
            <b:Last>Riedmiller</b:Last>
            <b:First>M,</b:First>
          </b:Person>
        </b:NameList>
      </b:Author>
    </b:Author>
    <b:Title>Rprop: A fast and robust backpropagation learning strategy</b:Title>
    <b:Year>1993</b:Year>
    <b:ConferenceName>Proceedings of the ACNN</b:ConferenceName>
    <b:City>pp. 598-591</b:City>
    <b:RefOrder>28</b:RefOrder>
  </b:Source>
  <b:Source>
    <b:Tag>Alm91</b:Tag>
    <b:SourceType>ConferenceProceedings</b:SourceType>
    <b:Guid>{649F219C-41A8-48C3-84A5-5263228DAAD7}</b:Guid>
    <b:Title>Learning with many irrelevant features</b:Title>
    <b:Year>1991</b:Year>
    <b:ConferenceName>Proceedings of the Ninth National Conference on Artificial Intelligence</b:ConferenceName>
    <b:Author>
      <b:Author>
        <b:NameList>
          <b:Person>
            <b:Last>Almuallim</b:Last>
            <b:First>H,</b:First>
          </b:Person>
          <b:Person>
            <b:Last>Dietterich</b:Last>
            <b:First>T,</b:First>
          </b:Person>
        </b:NameList>
      </b:Author>
    </b:Author>
    <b:RefOrder>29</b:RefOrder>
  </b:Source>
  <b:Source>
    <b:Tag>Dia95</b:Tag>
    <b:SourceType>JournalArticle</b:SourceType>
    <b:Guid>{F609C74D-EFDD-4A9C-A091-628B1BFBCFA7}</b:Guid>
    <b:Title>Evaluation and Selection of Biases in Machine Learning</b:Title>
    <b:Year>1995</b:Year>
    <b:Author>
      <b:Author>
        <b:NameList>
          <b:Person>
            <b:Last>Gordon</b:Last>
            <b:First>Diana</b:First>
            <b:Middle>F.</b:Middle>
          </b:Person>
          <b:Person>
            <b:Last>Desjardins</b:Last>
            <b:First>Marie</b:First>
          </b:Person>
        </b:NameList>
      </b:Author>
    </b:Author>
    <b:JournalName>Machine Learning</b:JournalName>
    <b:Pages>5-22</b:Pages>
    <b:Volume>20</b:Volume>
    <b:Issue>1-2</b:Issue>
    <b:RefOrder>30</b:RefOrder>
  </b:Source>
  <b:Source>
    <b:Tag>Way18</b:Tag>
    <b:SourceType>ConferenceProceedings</b:SourceType>
    <b:Guid>{37DACC94-07DA-4B01-AB16-3E6FC467F677}</b:Guid>
    <b:Title>Initialization of the Nguyen-widrow and Kohonen Algorithm on the Backpropagation Method in the Classifying PRocess of Temperature Data in Medan</b:Title>
    <b:Year>2018</b:Year>
    <b:Author>
      <b:Author>
        <b:NameList>
          <b:Person>
            <b:Last>Wayahdi</b:Last>
            <b:First>M,</b:First>
            <b:Middle>R,</b:Middle>
          </b:Person>
          <b:Person>
            <b:Last>Zarlis</b:Last>
            <b:First>M,</b:First>
          </b:Person>
          <b:Person>
            <b:Last>Putra</b:Last>
            <b:First>P,</b:First>
            <b:Middle>H,</b:Middle>
          </b:Person>
        </b:NameList>
      </b:Author>
    </b:Author>
    <b:ConferenceName>The 3rd International Conference on Computing and Applied Informatics 2018</b:ConferenceName>
    <b:RefOrder>31</b:RefOrder>
  </b:Source>
  <b:Source>
    <b:Tag>Pav04</b:Tag>
    <b:SourceType>ConferenceProceedings</b:SourceType>
    <b:Guid>{E082EE02-1022-437D-A34C-E3CD069B2CE4}</b:Guid>
    <b:Title>Algorithms for initialization of neural network weights</b:Title>
    <b:Year>2004</b:Year>
    <b:ConferenceName>Proceedings of the Conference Technical Computing 2004</b:ConferenceName>
    <b:Author>
      <b:Author>
        <b:NameList>
          <b:Person>
            <b:Last>Pavelka</b:Last>
            <b:First>Ales</b:First>
          </b:Person>
          <b:Person>
            <b:Last>Procházka</b:Last>
            <b:First>Aleš</b:First>
          </b:Person>
        </b:NameList>
      </b:Author>
    </b:Author>
    <b:RefOrder>32</b:RefOrder>
  </b:Source>
  <b:Source>
    <b:Tag>Mat</b:Tag>
    <b:SourceType>JournalArticle</b:SourceType>
    <b:Guid>{E449F8CB-9441-47C8-8F3D-0F9922551CDA}</b:Guid>
    <b:Title>Nguyen-Widrow layer intialization function</b:Title>
    <b:Author>
      <b:Author>
        <b:Corporate>Matlab</b:Corporate>
      </b:Author>
    </b:Author>
    <b:JournalName>Mathworks</b:JournalName>
    <b:Year>2018</b:Year>
    <b:RefOrder>33</b:RefOrder>
  </b:Source>
  <b:Source>
    <b:Tag>Lun07</b:Tag>
    <b:SourceType>ConferenceProceedings</b:SourceType>
    <b:Guid>{35082299-CE5D-46BC-BFBC-2C88A4CDCD4B}</b:Guid>
    <b:Title>Scaled Conjugate Gradient Method for Radar Pulse Modulation Estimation</b:Title>
    <b:Year>2007</b:Year>
    <b:Author>
      <b:Author>
        <b:NameList>
          <b:Person>
            <b:Last>Lundun</b:Last>
            <b:First>J,</b:First>
          </b:Person>
          <b:Person>
            <b:Last>Koivunen</b:Last>
            <b:First>V</b:First>
          </b:Person>
        </b:NameList>
      </b:Author>
    </b:Author>
    <b:ConferenceName>2007 IEEE International Conference on Acoustics, Speech and Signal PRocessing - ICASSP</b:ConferenceName>
    <b:RefOrder>34</b:RefOrder>
  </b:Source>
</b:Sourc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F585879-511F-4971-87B8-4A1F66BF89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Application>LibreOffice/6.4.7.2$Linux_X86_64 LibreOffice_project/40$Build-2</Application>
  <Pages>1</Pages>
  <Words>53</Words>
  <Characters>287</Characters>
  <CharactersWithSpaces>302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2024-01-13T01:39:00Z</dcterms:created>
  <dc:creator>jia tai lau</dc:creator>
  <dc:description/>
  <dc:language>en-US</dc:language>
  <cp:lastModifiedBy/>
  <dcterms:modified xsi:type="dcterms:W3CDTF">2024-04-09T16:36:53Z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GrammarlyDocumentId">
    <vt:lpwstr>e19f3c224c4ed73fd0b330994d80da93c5e91f99baf351a6e2f975b7302d393b</vt:lpwstr>
  </property>
  <property fmtid="{D5CDD505-2E9C-101B-9397-08002B2CF9AE}" pid="5" name="HyperlinksChanged">
    <vt:bool>0</vt:bool>
  </property>
  <property fmtid="{D5CDD505-2E9C-101B-9397-08002B2CF9AE}" pid="6" name="ICV">
    <vt:lpwstr>58BECCF6CAE24EFD9A818F60C4ED521A_12</vt:lpwstr>
  </property>
  <property fmtid="{D5CDD505-2E9C-101B-9397-08002B2CF9AE}" pid="7" name="KSOProductBuildVer">
    <vt:lpwstr>2052-12.1.0.16399</vt:lpwstr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