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before="0" w:after="0"/>
        <w:jc w:val="left"/>
        <w:rPr>
          <w:rFonts w:ascii="Minion Pro" w:hAnsi="Minion Pro"/>
          <w:color w:val="000000" w:themeColor="text1"/>
          <w:sz w:val="14"/>
          <w:szCs w:val="14"/>
        </w:rPr>
      </w:pPr>
      <w:r>
        <w:rPr>
          <w:rFonts w:ascii="Minion Pro" w:hAnsi="Minion Pro"/>
          <w:color w:val="000000" w:themeColor="text1"/>
          <w:sz w:val="14"/>
          <w:szCs w:val="14"/>
        </w:rPr>
        <w:tab/>
        <w:t>DOI: 10.32604/fdmp.202x.0xxxxx</w:t>
      </w:r>
    </w:p>
    <w:p>
      <w:pPr>
        <w:pStyle w:val="Normal"/>
        <w:spacing w:before="0" w:after="0"/>
        <w:jc w:val="left"/>
        <w:rPr>
          <w:rFonts w:ascii="Minion Pro" w:hAnsi="Minion Pro"/>
          <w:color w:val="000000" w:themeColor="text1"/>
          <w:sz w:val="18"/>
          <w:szCs w:val="18"/>
        </w:rPr>
      </w:pPr>
      <w:r>
        <w:rPr>
          <w:rFonts w:ascii="Minion Pro" w:hAnsi="Minion Pro"/>
          <w:color w:val="000000" w:themeColor="text1"/>
          <w:sz w:val="18"/>
          <w:szCs w:val="18"/>
        </w:rPr>
      </w:r>
    </w:p>
    <w:p>
      <w:pPr>
        <w:pStyle w:val="Normal"/>
        <w:widowControl w:val="false"/>
        <w:tabs>
          <w:tab w:val="clear" w:pos="306"/>
          <w:tab w:val="left" w:pos="440" w:leader="none"/>
        </w:tabs>
        <w:snapToGrid w:val="false"/>
        <w:spacing w:before="0" w:after="0"/>
        <w:jc w:val="left"/>
        <w:rPr>
          <w:rFonts w:ascii="Minion Pro" w:hAnsi="Minion Pro" w:cs="等线" w:cstheme="minorHAnsi"/>
          <w:color w:val="000000" w:themeColor="text1"/>
          <w:sz w:val="18"/>
          <w:szCs w:val="18"/>
        </w:rPr>
      </w:pPr>
      <w:r>
        <w:rPr>
          <w:rFonts w:cs="等线" w:ascii="Minion Pro" w:hAnsi="Minion Pro" w:cstheme="minorHAnsi"/>
          <w:b/>
          <w:bCs/>
          <w:color w:val="000000" w:themeColor="text1"/>
          <w:sz w:val="18"/>
          <w:szCs w:val="18"/>
          <w:u w:val="single"/>
        </w:rPr>
        <w:t>ARTICLE</w:t>
      </w:r>
    </w:p>
    <w:p>
      <w:pPr>
        <w:pStyle w:val="Normal"/>
        <w:spacing w:before="120" w:after="120"/>
        <w:jc w:val="left"/>
        <w:rPr>
          <w:rFonts w:ascii="Minion Pro" w:hAnsi="Minion Pro"/>
          <w:b/>
          <w:b/>
          <w:color w:val="000000" w:themeColor="text1"/>
          <w:kern w:val="2"/>
          <w:sz w:val="28"/>
          <w:szCs w:val="28"/>
        </w:rPr>
      </w:pPr>
      <w:r>
        <w:rPr>
          <w:rFonts w:ascii="Minion Pro" w:hAnsi="Minion Pro"/>
          <w:b/>
          <w:color w:val="000000" w:themeColor="text1"/>
          <w:kern w:val="2"/>
          <w:sz w:val="28"/>
          <w:szCs w:val="28"/>
        </w:rPr>
        <w:t>Natural convection of a the power-law nanofluid in a square cavity with a vertical fin</w:t>
      </w:r>
      <w:bookmarkStart w:id="0" w:name="_Hlk54099856"/>
      <w:bookmarkEnd w:id="0"/>
    </w:p>
    <w:p>
      <w:pPr>
        <w:pStyle w:val="Author"/>
        <w:keepNext w:val="false"/>
        <w:widowControl w:val="false"/>
        <w:snapToGrid w:val="false"/>
        <w:spacing w:before="0" w:after="240"/>
        <w:jc w:val="left"/>
        <w:rPr>
          <w:rFonts w:ascii="Minion Pro" w:hAnsi="Minion Pro"/>
          <w:i w:val="false"/>
          <w:i w:val="false"/>
          <w:color w:val="000000" w:themeColor="text1"/>
          <w:sz w:val="22"/>
          <w:szCs w:val="22"/>
          <w:vertAlign w:val="superscript"/>
        </w:rPr>
      </w:pPr>
      <w:r>
        <w:rPr>
          <w:rFonts w:ascii="Minion Pro" w:hAnsi="Minion Pro"/>
          <w:i w:val="false"/>
          <w:color w:val="000000" w:themeColor="text1"/>
          <w:sz w:val="22"/>
          <w:szCs w:val="22"/>
        </w:rPr>
        <w:t>Amira M’hadbi</w:t>
      </w:r>
      <w:r>
        <w:rPr>
          <w:rFonts w:ascii="Minion Pro" w:hAnsi="Minion Pro"/>
          <w:i w:val="false"/>
          <w:color w:val="5B9BD5" w:themeColor="accent5"/>
          <w:sz w:val="22"/>
          <w:szCs w:val="22"/>
          <w:vertAlign w:val="superscript"/>
        </w:rPr>
        <w:t>1</w:t>
      </w:r>
      <w:r>
        <w:rPr>
          <w:rFonts w:ascii="Minion Pro" w:hAnsi="Minion Pro"/>
          <w:i w:val="false"/>
          <w:color w:val="000000" w:themeColor="text1"/>
          <w:sz w:val="22"/>
          <w:szCs w:val="22"/>
          <w:vertAlign w:val="superscript"/>
        </w:rPr>
        <w:t xml:space="preserve">, </w:t>
      </w:r>
      <w:r>
        <w:rPr>
          <w:rFonts w:ascii="Minion Pro" w:hAnsi="Minion Pro"/>
          <w:i w:val="false"/>
          <w:color w:val="5B9BD5" w:themeColor="accent5"/>
          <w:sz w:val="22"/>
          <w:szCs w:val="22"/>
          <w:vertAlign w:val="superscript"/>
        </w:rPr>
        <w:t>2*</w:t>
      </w:r>
      <w:r>
        <w:rPr>
          <w:rFonts w:ascii="Minion Pro" w:hAnsi="Minion Pro"/>
          <w:i w:val="false"/>
          <w:color w:val="000000" w:themeColor="text1"/>
          <w:sz w:val="22"/>
          <w:szCs w:val="22"/>
        </w:rPr>
        <w:t>, Mohammed El Ganaoui</w:t>
      </w:r>
      <w:r>
        <w:rPr>
          <w:rFonts w:ascii="Minion Pro" w:hAnsi="Minion Pro"/>
          <w:i w:val="false"/>
          <w:color w:val="5B9BD5" w:themeColor="accent5"/>
          <w:sz w:val="22"/>
          <w:szCs w:val="22"/>
          <w:vertAlign w:val="superscript"/>
        </w:rPr>
        <w:t>1</w:t>
      </w:r>
      <w:r>
        <w:rPr>
          <w:rFonts w:ascii="Minion Pro" w:hAnsi="Minion Pro"/>
          <w:i w:val="false"/>
          <w:color w:val="000000" w:themeColor="text1"/>
          <w:sz w:val="22"/>
          <w:szCs w:val="22"/>
        </w:rPr>
        <w:t>, Haïkel Ben Hamed</w:t>
      </w:r>
      <w:r>
        <w:rPr>
          <w:rFonts w:ascii="Minion Pro" w:hAnsi="Minion Pro"/>
          <w:i w:val="false"/>
          <w:color w:val="5B9BD5" w:themeColor="accent5"/>
          <w:sz w:val="22"/>
          <w:szCs w:val="22"/>
          <w:vertAlign w:val="superscript"/>
        </w:rPr>
        <w:t>3</w:t>
      </w:r>
      <w:r>
        <w:rPr>
          <w:rFonts w:ascii="Minion Pro" w:hAnsi="Minion Pro"/>
          <w:i w:val="false"/>
          <w:color w:val="000000" w:themeColor="text1"/>
          <w:sz w:val="22"/>
          <w:szCs w:val="22"/>
        </w:rPr>
        <w:t>, Amenallah Guizani</w:t>
      </w:r>
      <w:r>
        <w:rPr>
          <w:rFonts w:ascii="Minion Pro" w:hAnsi="Minion Pro"/>
          <w:i w:val="false"/>
          <w:color w:val="5B9BD5" w:themeColor="accent5"/>
          <w:sz w:val="22"/>
          <w:szCs w:val="22"/>
          <w:vertAlign w:val="superscript"/>
        </w:rPr>
        <w:t>2</w:t>
      </w:r>
      <w:r>
        <w:rPr>
          <w:rFonts w:ascii="Minion Pro" w:hAnsi="Minion Pro"/>
          <w:i w:val="false"/>
          <w:color w:val="000000" w:themeColor="text1"/>
          <w:sz w:val="22"/>
          <w:szCs w:val="22"/>
        </w:rPr>
        <w:t>, and Khalid Chtaibi</w:t>
      </w:r>
      <w:r>
        <w:rPr>
          <w:rFonts w:ascii="Minion Pro" w:hAnsi="Minion Pro"/>
          <w:i w:val="false"/>
          <w:color w:val="5B9BD5" w:themeColor="accent5"/>
          <w:sz w:val="22"/>
          <w:szCs w:val="22"/>
          <w:vertAlign w:val="superscript"/>
        </w:rPr>
        <w:t>3</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1</w:t>
      </w:r>
      <w:r>
        <w:rPr>
          <w:rFonts w:ascii="Minion Pro" w:hAnsi="Minion Pro"/>
          <w:color w:val="000000" w:themeColor="text1"/>
          <w:sz w:val="18"/>
          <w:szCs w:val="18"/>
        </w:rPr>
        <w:t xml:space="preserve"> LERMAB, Department of Transition and Energy Efficiency Professions, IUT H Poincaré de Longwy, University of Lorraine, Longwy, 54400, France</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2</w:t>
      </w:r>
      <w:r>
        <w:rPr>
          <w:rFonts w:ascii="Minion Pro" w:hAnsi="Minion Pro"/>
          <w:color w:val="000000" w:themeColor="text1"/>
          <w:sz w:val="18"/>
          <w:szCs w:val="18"/>
        </w:rPr>
        <w:t xml:space="preserve"> LPT, Center for Energy Research and Technologies (Borj Cedria, 2084), University of Tunis El Manar, Tunis, 1068, Tunisia</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3</w:t>
      </w:r>
      <w:r>
        <w:rPr>
          <w:rFonts w:ascii="Minion Pro" w:hAnsi="Minion Pro"/>
          <w:color w:val="000000" w:themeColor="text1"/>
          <w:sz w:val="18"/>
          <w:szCs w:val="18"/>
        </w:rPr>
        <w:t>LTI, Department of Mechanical Engineering and Production, IUT, University of Picardie Jules-Verne, Amiens, 80025, France</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rPr>
      </w:r>
    </w:p>
    <w:p>
      <w:pPr>
        <w:pStyle w:val="Normal"/>
        <w:widowControl w:val="false"/>
        <w:snapToGrid w:val="false"/>
        <w:jc w:val="left"/>
        <w:rPr>
          <w:rStyle w:val="InternetLink"/>
          <w:rFonts w:ascii="Minion Pro" w:hAnsi="Minion Pro"/>
          <w:color w:val="000000" w:themeColor="text1"/>
          <w:sz w:val="18"/>
          <w:szCs w:val="18"/>
          <w:u w:val="none"/>
        </w:rPr>
      </w:pPr>
      <w:r>
        <w:rPr>
          <w:rFonts w:ascii="Minion Pro" w:hAnsi="Minion Pro"/>
          <w:color w:val="000000" w:themeColor="text1"/>
          <w:sz w:val="18"/>
          <w:szCs w:val="18"/>
          <w:vertAlign w:val="superscript"/>
        </w:rPr>
        <w:t>*</w:t>
      </w:r>
      <w:r>
        <w:rPr>
          <w:rFonts w:ascii="Minion Pro" w:hAnsi="Minion Pro"/>
          <w:color w:val="000000" w:themeColor="text1"/>
          <w:sz w:val="18"/>
          <w:szCs w:val="18"/>
        </w:rPr>
        <w:t>Corresponding Author: Amira M’hadbi; Email: Amira.m-hadbi@univ-lorraine.fr</w:t>
      </w:r>
      <w:r>
        <w:rPr>
          <w:rStyle w:val="InternetLink"/>
          <w:rFonts w:ascii="Minion Pro" w:hAnsi="Minion Pro"/>
          <w:color w:val="000000" w:themeColor="text1"/>
          <w:sz w:val="18"/>
          <w:szCs w:val="18"/>
          <w:u w:val="none"/>
        </w:rPr>
        <w:t xml:space="preserve"> </w:t>
      </w:r>
    </w:p>
    <w:p>
      <w:pPr>
        <w:pStyle w:val="Normal"/>
        <w:widowControl w:val="false"/>
        <w:snapToGrid w:val="false"/>
        <w:spacing w:before="0" w:after="240"/>
        <w:jc w:val="left"/>
        <w:rPr>
          <w:rStyle w:val="InternetLink"/>
          <w:rFonts w:ascii="Minion Pro" w:hAnsi="Minion Pro"/>
          <w:color w:val="000000" w:themeColor="text1"/>
          <w:sz w:val="18"/>
          <w:szCs w:val="18"/>
        </w:rPr>
      </w:pPr>
      <w:r>
        <w:rPr>
          <w:rFonts w:ascii="Minion Pro" w:hAnsi="Minion Pro"/>
          <w:color w:val="000000" w:themeColor="text1"/>
          <w:sz w:val="18"/>
          <w:szCs w:val="18"/>
        </w:rPr>
        <w:t>Received: 17 February 2024    Accepted: 17 May 2024</w:t>
      </w:r>
    </w:p>
    <w:p>
      <w:pPr>
        <w:pStyle w:val="Normal"/>
        <w:widowControl w:val="false"/>
        <w:snapToGrid w:val="false"/>
        <w:jc w:val="left"/>
        <w:rPr>
          <w:rStyle w:val="InternetLink"/>
          <w:color w:val="000000" w:themeColor="text1"/>
          <w:sz w:val="18"/>
          <w:szCs w:val="18"/>
        </w:rPr>
      </w:pPr>
      <w:r>
        <w:rPr/>
        <mc:AlternateContent>
          <mc:Choice Requires="wps">
            <w:drawing>
              <wp:inline distT="0" distB="0" distL="0" distR="6350" wp14:anchorId="601C7EEA">
                <wp:extent cx="5547995" cy="4319270"/>
                <wp:effectExtent l="0" t="0" r="6350" b="0"/>
                <wp:docPr id="1" name="Shape1"/>
                <a:graphic xmlns:a="http://schemas.openxmlformats.org/drawingml/2006/main">
                  <a:graphicData uri="http://schemas.microsoft.com/office/word/2010/wordprocessingShape">
                    <wps:wsp>
                      <wps:cNvSpPr/>
                      <wps:spPr>
                        <a:xfrm>
                          <a:off x="0" y="0"/>
                          <a:ext cx="5547240" cy="4318560"/>
                        </a:xfrm>
                        <a:prstGeom prst="rect">
                          <a:avLst/>
                        </a:prstGeom>
                        <a:solidFill>
                          <a:schemeClr val="bg1">
                            <a:lumMod val="95000"/>
                          </a:schemeClr>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behavior of non-Newtonian power-law nanofluids under free convection heat transfer conditions in a cooled square enclosure equipped with a heated fin is investigated numerically. In particular, the impact of nanofluids, composed of water and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Cu</m:t>
                              </m:r>
                            </m:oMath>
                            <w:r>
                              <w:rPr>
                                <w:rFonts w:ascii="Minion Pro" w:hAnsi="Minion Pro"/>
                                <w:color w:val="000000"/>
                                <w:spacing w:val="-3"/>
                                <w:sz w:val="20"/>
                              </w:rPr>
                              <w:t xml:space="preserve"> nanoparticles, on heat transfer enhancement is examined. The aim of this research is also to analyze the influence of different parameters, including the Rayleigh number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ascii="Minion Pro" w:hAnsi="Minion Pro"/>
                                <w:color w:val="000000"/>
                                <w:spacing w:val="-3"/>
                                <w:sz w:val="20"/>
                              </w:rPr>
                              <w:t>), nanoparticle volume fraction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w:r>
                              <w:rPr>
                                <w:rFonts w:ascii="Minion Pro" w:hAnsi="Minion Pro"/>
                                <w:color w:val="000000"/>
                                <w:spacing w:val="-3"/>
                                <w:sz w:val="20"/>
                              </w:rPr>
                              <w:t>), non-Newtonian power-law indexes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rFonts w:ascii="Minion Pro" w:hAnsi="Minion Pro"/>
                                <w:color w:val="000000"/>
                                <w:spacing w:val="-3"/>
                                <w:sz w:val="20"/>
                              </w:rPr>
                              <w:t>), and fin dimensions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r>
                              <w:rPr>
                                <w:rFonts w:ascii="Minion Pro" w:hAnsi="Minion Pro"/>
                                <w:color w:val="000000"/>
                                <w:spacing w:val="-3"/>
                                <w:sz w:val="20"/>
                              </w:rPr>
                              <w:t xml:space="preserve">,0.5, and 0.7). Streamlines and isotherms are used to depict flow and related heat transfer characteristics. Results indicate that thermal performance improves with increasing Rayleigh number, regardless of the nanoparticle type or nanofluid rheological behavior. This suggests that the buoyancy force has a significant impact on heat transfer, particularly near the heat source. The Nusselt number is more sensitive to variations in Cu nanoparticle volume fractions compared to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Moreover, the average Nusselt numbers for power-law nanofluids with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rFonts w:ascii="Minion Pro" w:hAnsi="Minion Pro"/>
                                <w:color w:val="000000"/>
                                <w:spacing w:val="-3"/>
                                <w:sz w:val="20"/>
                              </w:rPr>
                              <w:t>) are greater (smaller) than for Newtonian fluids due to the decrease (increase) in viscosity with increasing (decreasing) shear rate, at the same values of Rayleigh number Ra owing to the amplification (attenuation) of the convective transfer. Notably, the most substantial enhancement is observed with Cu-water shear-thinning nanofluid, where the Nusselt number increases by 136% when changing from Newtonian to shear thinning behavior and by 154.9% when adding 16% nanoparticle volume fraction. Moreover, an even larger increase of 57% in the average Nusselt number is obtained on increasing the fin length from 0.3 to 0.7</w:t>
                            </w:r>
                            <w:r>
                              <w:rPr>
                                <w:rFonts w:ascii="Minion Pro" w:hAnsi="Minion Pro"/>
                                <w:color w:val="000000"/>
                                <w:sz w:val="20"/>
                              </w:rPr>
                              <w:t>.</w:t>
                            </w:r>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Heat DDA transfer; nanofluid; non-Newtonian fluid; natural DMA convection</w:t>
                            </w:r>
                          </w:p>
                        </w:txbxContent>
                      </wps:txbx>
                      <wps:bodyPr>
                        <a:spAutoFit/>
                      </wps:bodyPr>
                    </wps:wsp>
                  </a:graphicData>
                </a:graphic>
              </wp:inline>
            </w:drawing>
          </mc:Choice>
          <mc:Fallback>
            <w:pict>
              <v:rect id="shape_0" ID="Shape1" fillcolor="#f2f2f2" stroked="f" style="position:absolute;margin-left:0pt;margin-top:-340.1pt;width:436.75pt;height:340pt;mso-position-vertical:top" wp14:anchorId="601C7EEA">
                <w10:wrap type="square"/>
                <v:fill o:detectmouseclick="t" type="solid" color2="#0d0d0d"/>
                <v:stroke color="#3465a4" weight="9360" joinstyle="round" endcap="flat"/>
                <v:textbo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behavior of non-Newtonian power-law nanofluids under free convection heat transfer conditions in a cooled square enclosure equipped with a heated fin is investigated numerically. In particular, the impact of nanofluids, composed of water and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Cu</m:t>
                        </m:r>
                      </m:oMath>
                      <w:r>
                        <w:rPr>
                          <w:rFonts w:ascii="Minion Pro" w:hAnsi="Minion Pro"/>
                          <w:color w:val="000000"/>
                          <w:spacing w:val="-3"/>
                          <w:sz w:val="20"/>
                        </w:rPr>
                        <w:t xml:space="preserve"> nanoparticles, on heat transfer enhancement is examined. The aim of this research is also to analyze the influence of different parameters, including the Rayleigh number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ascii="Minion Pro" w:hAnsi="Minion Pro"/>
                          <w:color w:val="000000"/>
                          <w:spacing w:val="-3"/>
                          <w:sz w:val="20"/>
                        </w:rPr>
                        <w:t>), nanoparticle volume fraction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w:r>
                        <w:rPr>
                          <w:rFonts w:ascii="Minion Pro" w:hAnsi="Minion Pro"/>
                          <w:color w:val="000000"/>
                          <w:spacing w:val="-3"/>
                          <w:sz w:val="20"/>
                        </w:rPr>
                        <w:t>), non-Newtonian power-law indexes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rFonts w:ascii="Minion Pro" w:hAnsi="Minion Pro"/>
                          <w:color w:val="000000"/>
                          <w:spacing w:val="-3"/>
                          <w:sz w:val="20"/>
                        </w:rPr>
                        <w:t>), and fin dimensions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r>
                        <w:rPr>
                          <w:rFonts w:ascii="Minion Pro" w:hAnsi="Minion Pro"/>
                          <w:color w:val="000000"/>
                          <w:spacing w:val="-3"/>
                          <w:sz w:val="20"/>
                        </w:rPr>
                        <w:t xml:space="preserve">,0.5, and 0.7). Streamlines and isotherms are used to depict flow and related heat transfer characteristics. Results indicate that thermal performance improves with increasing Rayleigh number, regardless of the nanoparticle type or nanofluid rheological behavior. This suggests that the buoyancy force has a significant impact on heat transfer, particularly near the heat source. The Nusselt number is more sensitive to variations in Cu nanoparticle volume fractions compared to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Moreover, the average Nusselt numbers for power-law nanofluids with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rFonts w:ascii="Minion Pro" w:hAnsi="Minion Pro"/>
                          <w:color w:val="000000"/>
                          <w:spacing w:val="-3"/>
                          <w:sz w:val="20"/>
                        </w:rPr>
                        <w:t>) are greater (smaller) than for Newtonian fluids due to the decrease (increase) in viscosity with increasing (decreasing) shear rate, at the same values of Rayleigh number Ra owing to the amplification (attenuation) of the convective transfer. Notably, the most substantial enhancement is observed with Cu-water shear-thinning nanofluid, where the Nusselt number increases by 136% when changing from Newtonian to shear thinning behavior and by 154.9% when adding 16% nanoparticle volume fraction. Moreover, an even larger increase of 57% in the average Nusselt number is obtained on increasing the fin length from 0.3 to 0.7</w:t>
                      </w:r>
                      <w:r>
                        <w:rPr>
                          <w:rFonts w:ascii="Minion Pro" w:hAnsi="Minion Pro"/>
                          <w:color w:val="000000"/>
                          <w:sz w:val="20"/>
                        </w:rPr>
                        <w:t>.</w:t>
                      </w:r>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Heat DDA transfer; nanofluid; non-Newtonian fluid; natural DMA convection</w:t>
                      </w:r>
                    </w:p>
                  </w:txbxContent>
                </v:textbox>
              </v:rect>
            </w:pict>
          </mc:Fallback>
        </mc:AlternateContent>
      </w:r>
      <w:bookmarkStart w:id="1" w:name="_Hlk92447203"/>
    </w:p>
    <w:tbl>
      <w:tblPr>
        <w:tblW w:w="8721" w:type="dxa"/>
        <w:jc w:val="left"/>
        <w:tblInd w:w="112" w:type="dxa"/>
        <w:tblCellMar>
          <w:top w:w="0" w:type="dxa"/>
          <w:left w:w="108" w:type="dxa"/>
          <w:bottom w:w="0" w:type="dxa"/>
          <w:right w:w="108" w:type="dxa"/>
        </w:tblCellMar>
        <w:tblLook w:val="04a0" w:noHBand="0" w:noVBand="1" w:firstColumn="1" w:lastRow="0" w:lastColumn="0" w:firstRow="1"/>
      </w:tblPr>
      <w:tblGrid>
        <w:gridCol w:w="8721"/>
      </w:tblGrid>
      <w:tr>
        <w:trPr>
          <w:trHeight w:val="127" w:hRule="atLeast"/>
        </w:trPr>
        <w:tc>
          <w:tcPr>
            <w:tcW w:w="8721" w:type="dxa"/>
            <w:tcBorders>
              <w:top w:val="single" w:sz="4" w:space="0" w:color="000000"/>
            </w:tcBorders>
          </w:tcPr>
          <w:p>
            <w:pPr>
              <w:pStyle w:val="Normal"/>
              <w:widowControl w:val="false"/>
              <w:snapToGrid w:val="false"/>
              <w:spacing w:before="0" w:after="60"/>
              <w:jc w:val="left"/>
              <w:rPr>
                <w:rStyle w:val="InternetLink"/>
                <w:color w:val="000000" w:themeColor="text1"/>
                <w:sz w:val="18"/>
                <w:szCs w:val="18"/>
              </w:rPr>
            </w:pPr>
            <w:r>
              <w:rPr>
                <w:color w:val="000000" w:themeColor="text1"/>
                <w:sz w:val="18"/>
                <w:szCs w:val="18"/>
              </w:rPr>
            </w:r>
          </w:p>
        </w:tc>
      </w:tr>
    </w:tbl>
    <w:p>
      <w:pPr>
        <w:pStyle w:val="Normal"/>
        <w:widowControl w:val="false"/>
        <w:snapToGrid w:val="false"/>
        <w:jc w:val="left"/>
        <w:rPr>
          <w:rStyle w:val="InternetLink"/>
          <w:color w:val="000000" w:themeColor="text1"/>
          <w:sz w:val="18"/>
          <w:szCs w:val="18"/>
        </w:rPr>
      </w:pPr>
      <w:r>
        <w:rPr>
          <w:color w:val="000000" w:themeColor="text1"/>
          <w:sz w:val="18"/>
          <w:szCs w:val="18"/>
        </w:rPr>
      </w:r>
    </w:p>
    <w:p>
      <w:pPr>
        <w:pStyle w:val="Normal"/>
        <w:ind w:right="1418" w:hanging="0"/>
        <w:rPr>
          <w:b/>
          <w:b/>
          <w:bCs/>
          <w:color w:val="000000" w:themeColor="text1"/>
        </w:rPr>
      </w:pPr>
      <w:bookmarkEnd w:id="1"/>
      <w:r>
        <w:rPr>
          <w:b/>
          <w:bCs/>
          <w:color w:val="000000" w:themeColor="text1"/>
        </w:rPr>
        <w:t>Nomenclature</w:t>
      </w:r>
    </w:p>
    <w:p>
      <w:pPr>
        <w:pStyle w:val="Normal"/>
        <w:ind w:right="1418" w:hanging="0"/>
        <w:rPr>
          <w:rFonts w:cs="" w:asciiTheme="majorBidi" w:cstheme="majorBidi" w:hAnsiTheme="majorBidi"/>
        </w:rPr>
      </w:pPr>
      <w:r>
        <w:rPr/>
      </w:r>
      <m:oMath xmlns:m="http://schemas.openxmlformats.org/officeDocument/2006/math">
        <m:r>
          <w:rPr>
            <w:rFonts w:ascii="Cambria Math" w:hAnsi="Cambria Math"/>
          </w:rPr>
          <m:t xml:space="preserve">Ar</m:t>
        </m:r>
      </m:oMath>
      <w:r>
        <w:rPr/>
        <w:t xml:space="preserve">      </w:t>
      </w:r>
      <w:r>
        <w:rPr/>
        <w:t>Aspect ratio</w:t>
      </w:r>
      <w:bookmarkStart w:id="2" w:name="_Hlk165366474"/>
      <w:bookmarkEnd w:id="2"/>
    </w:p>
    <w:p>
      <w:pPr>
        <w:pStyle w:val="Normal"/>
        <w:ind w:right="1418" w:hanging="0"/>
        <w:rPr>
          <w:color w:val="000000" w:themeColor="text1"/>
        </w:rPr>
      </w:pPr>
      <w:r>
        <w:rPr/>
      </w:r>
      <m:oMath xmlns:m="http://schemas.openxmlformats.org/officeDocument/2006/math">
        <m:r>
          <w:rPr>
            <w:rFonts w:ascii="Cambria Math" w:hAnsi="Cambria Math"/>
          </w:rPr>
          <m:t xml:space="preserve">b</m:t>
        </m:r>
      </m:oMath>
      <w:r>
        <w:rPr>
          <w:color w:val="000000" w:themeColor="text1"/>
        </w:rPr>
        <w:t xml:space="preserve">      </w:t>
      </w:r>
      <w:r>
        <w:rPr>
          <w:color w:val="000000" w:themeColor="text1"/>
        </w:rPr>
        <w:t>Fin’s dimension</w:t>
      </w:r>
      <w:r>
        <w:rPr>
          <w:rFonts w:cs="" w:cstheme="majorBidi"/>
        </w:rPr>
        <w:t xml:space="preserve">, </w:t>
      </w:r>
      <w:r>
        <w:rPr/>
      </w:r>
      <m:oMath xmlns:m="http://schemas.openxmlformats.org/officeDocument/2006/math">
        <m:d>
          <m:dPr>
            <m:begChr m:val="("/>
            <m:sep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e>
            <m:r>
              <w:rPr>
                <w:rFonts w:ascii="Cambria Math" w:hAnsi="Cambria Math"/>
              </w:rPr>
              <m:t xml:space="preserve">−</m:t>
            </m:r>
            <m:r>
              <w:rPr>
                <w:rFonts w:ascii="Cambria Math" w:hAnsi="Cambria Math"/>
              </w:rPr>
              <m:t xml:space="preserve">2</m:t>
            </m:r>
          </m:e>
        </m:d>
      </m:oMath>
    </w:p>
    <w:p>
      <w:pPr>
        <w:pStyle w:val="Normal"/>
        <w:ind w:right="1418" w:hanging="0"/>
        <w:rPr>
          <w:color w:val="000000" w:themeColor="text1"/>
        </w:rPr>
      </w:pPr>
      <w:r>
        <w:rPr/>
      </w:r>
      <m:oMath xmlns:m="http://schemas.openxmlformats.org/officeDocument/2006/math">
        <m:sSub>
          <m:e>
            <m:r>
              <w:rPr>
                <w:rFonts w:ascii="Cambria Math" w:hAnsi="Cambria Math"/>
              </w:rPr>
              <m:t xml:space="preserve">c</m:t>
            </m:r>
          </m:e>
          <m:sub>
            <m:r>
              <w:rPr>
                <w:rFonts w:ascii="Cambria Math" w:hAnsi="Cambria Math"/>
              </w:rPr>
              <m:t xml:space="preserve">p</m:t>
            </m:r>
          </m:sub>
        </m:sSub>
      </m:oMath>
      <w:r>
        <w:rPr>
          <w:color w:val="000000" w:themeColor="text1"/>
        </w:rPr>
        <w:t xml:space="preserve">     </w:t>
      </w:r>
      <w:r>
        <w:rPr/>
        <w:t>Specific heat at constant pressure</w:t>
      </w:r>
      <w:r>
        <w:rPr>
          <w:rFonts w:cs="" w:cstheme="majorBidi"/>
        </w:rPr>
        <w:t xml:space="preserve">, </w:t>
      </w:r>
      <w:r>
        <w:rPr/>
      </w:r>
      <m:oMath xmlns:m="http://schemas.openxmlformats.org/officeDocument/2006/math"/>
      <w:r>
        <w:rPr>
          <w:rFonts w:cs="" w:cstheme="majorBidi"/>
        </w:rPr>
        <w:t>·</w:t>
      </w:r>
      <w:r>
        <w:rPr/>
      </w:r>
      <m:oMath xmlns:m="http://schemas.openxmlformats.org/officeDocument/2006/math">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cs="" w:cstheme="majorBidi"/>
        </w:rPr>
        <w:t>)</w:t>
      </w:r>
    </w:p>
    <w:p>
      <w:pPr>
        <w:pStyle w:val="Normal"/>
        <w:ind w:right="1418" w:hanging="0"/>
        <w:rPr>
          <w:color w:val="000000" w:themeColor="text1"/>
        </w:rPr>
      </w:pPr>
      <w:r>
        <w:rPr/>
      </w:r>
      <m:oMath xmlns:m="http://schemas.openxmlformats.org/officeDocument/2006/math">
        <m:r>
          <w:rPr>
            <w:rFonts w:ascii="Cambria Math" w:hAnsi="Cambria Math"/>
          </w:rPr>
          <m:t xml:space="preserve">g</m:t>
        </m:r>
      </m:oMath>
      <w:r>
        <w:rPr>
          <w:color w:val="000000" w:themeColor="text1"/>
        </w:rPr>
        <w:t xml:space="preserve">      </w:t>
      </w:r>
      <w:r>
        <w:rPr>
          <w:rFonts w:cs="" w:cstheme="majorBidi"/>
        </w:rPr>
        <w:t xml:space="preserve">Gravitational acceleration, </w:t>
      </w:r>
      <w:r>
        <w:rPr/>
      </w:r>
      <m:oMath xmlns:m="http://schemas.openxmlformats.org/officeDocument/2006/math">
        <m:d>
          <m:dPr>
            <m:begChr m:val="("/>
            <m:sep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e>
            <m:r>
              <w:rPr>
                <w:rFonts w:ascii="Cambria Math" w:hAnsi="Cambria Math"/>
              </w:rPr>
              <m:t xml:space="preserve">−</m:t>
            </m:r>
            <m:r>
              <w:rPr>
                <w:rFonts w:ascii="Cambria Math" w:hAnsi="Cambria Math"/>
              </w:rPr>
              <m:t xml:space="preserve">2</m:t>
            </m:r>
          </m:e>
        </m:d>
      </m:oMath>
    </w:p>
    <w:p>
      <w:pPr>
        <w:pStyle w:val="Normal"/>
        <w:ind w:right="1418" w:hanging="0"/>
        <w:rPr>
          <w:color w:val="000000" w:themeColor="text1"/>
        </w:rPr>
      </w:pPr>
      <w:r>
        <w:rPr/>
      </w:r>
      <m:oMath xmlns:m="http://schemas.openxmlformats.org/officeDocument/2006/math">
        <m:r>
          <w:rPr>
            <w:rFonts w:ascii="Cambria Math" w:hAnsi="Cambria Math"/>
          </w:rPr>
          <m:t xml:space="preserve">k</m:t>
        </m:r>
      </m:oMath>
      <w:r>
        <w:rPr>
          <w:color w:val="000000" w:themeColor="text1"/>
        </w:rPr>
        <w:t xml:space="preserve">      </w:t>
      </w:r>
      <w:r>
        <w:rPr>
          <w:rFonts w:cs="" w:cstheme="majorBidi"/>
        </w:rPr>
        <w:t xml:space="preserve">Thermal conductivity, </w:t>
      </w:r>
      <w:r>
        <w:rPr/>
      </w:r>
      <m:oMath xmlns:m="http://schemas.openxmlformats.org/officeDocument/2006/math">
        <m:d>
          <m:dPr>
            <m:begChr m:val="("/>
            <m:sepChr m:val="|"/>
            <m:endChr m:val=")"/>
          </m:dPr>
          <m:e>
            <m:r>
              <w:rPr>
                <w:rFonts w:ascii="Cambria Math" w:hAnsi="Cambria Math"/>
              </w:rPr>
              <m:t xml:space="preserve">W</m:t>
            </m:r>
            <m:r>
              <w:rPr>
                <w:rFonts w:ascii="Cambria Math" w:hAnsi="Cambria Math"/>
              </w:rPr>
              <m:t xml:space="preserve">.</m:t>
            </m:r>
            <m:r>
              <w:rPr>
                <w:rFonts w:ascii="Cambria Math" w:hAnsi="Cambria Math"/>
              </w:rPr>
              <m:t xml:space="preserve">m</m:t>
            </m:r>
          </m:e>
          <m:e>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e>
        </m:d>
      </m:oMath>
    </w:p>
    <w:p>
      <w:pPr>
        <w:pStyle w:val="Normal"/>
        <w:ind w:right="1418" w:hanging="0"/>
        <w:rPr>
          <w:color w:val="000000" w:themeColor="text1"/>
        </w:rPr>
      </w:pPr>
      <w:r>
        <w:rPr/>
      </w:r>
      <m:oMath xmlns:m="http://schemas.openxmlformats.org/officeDocument/2006/math">
        <m:r>
          <w:rPr>
            <w:rFonts w:ascii="Cambria Math" w:hAnsi="Cambria Math"/>
          </w:rPr>
          <m:t xml:space="preserve">L</m:t>
        </m:r>
      </m:oMath>
      <w:bookmarkStart w:id="3" w:name="_Hlk165295235"/>
      <w:r>
        <w:rPr>
          <w:color w:val="000000" w:themeColor="text1"/>
        </w:rPr>
        <w:t xml:space="preserve">      </w:t>
      </w:r>
      <w:bookmarkEnd w:id="3"/>
      <w:r>
        <w:rPr>
          <w:color w:val="000000" w:themeColor="text1"/>
        </w:rPr>
        <w:t xml:space="preserve">Cavity length, </w:t>
      </w:r>
      <w:r>
        <w:rPr/>
      </w:r>
      <m:oMath xmlns:m="http://schemas.openxmlformats.org/officeDocument/2006/math">
        <m:d>
          <m:dPr>
            <m:begChr m:val="("/>
            <m:endChr m:val=")"/>
          </m:dPr>
          <m:e>
            <m:r>
              <w:rPr>
                <w:rFonts w:ascii="Cambria Math" w:hAnsi="Cambria Math"/>
              </w:rPr>
              <m:t xml:space="preserve">m</m:t>
            </m:r>
          </m:e>
        </m:d>
      </m:oMath>
    </w:p>
    <w:p>
      <w:pPr>
        <w:pStyle w:val="Normal"/>
        <w:ind w:right="1418" w:hanging="0"/>
        <w:rPr/>
      </w:pPr>
      <w:r>
        <w:rPr/>
        <w:t>M</w:t>
      </w:r>
      <w:r>
        <w:rPr>
          <w:color w:val="000000" w:themeColor="text1"/>
        </w:rPr>
        <w:t xml:space="preserve">     </w:t>
      </w:r>
      <w:r>
        <w:rPr/>
        <w:t>The consistency coefficient</w:t>
      </w:r>
    </w:p>
    <w:p>
      <w:pPr>
        <w:pStyle w:val="Normal"/>
        <w:ind w:right="1418" w:hanging="0"/>
        <w:rPr/>
      </w:pPr>
      <w:r>
        <w:rPr/>
      </w:r>
      <m:oMath xmlns:m="http://schemas.openxmlformats.org/officeDocument/2006/math">
        <m:r>
          <w:rPr>
            <w:rFonts w:ascii="Cambria Math" w:hAnsi="Cambria Math"/>
          </w:rPr>
          <m:t xml:space="preserve">n</m:t>
        </m:r>
      </m:oMath>
      <w:r>
        <w:rPr>
          <w:color w:val="000000" w:themeColor="text1"/>
        </w:rPr>
        <w:t xml:space="preserve">      </w:t>
      </w:r>
      <w:r>
        <w:rPr/>
        <w:t>Power law index</w:t>
      </w:r>
    </w:p>
    <w:p>
      <w:pPr>
        <w:pStyle w:val="Normal"/>
        <w:ind w:right="1418" w:hanging="0"/>
        <w:rPr/>
      </w:pPr>
      <w:r>
        <w:rPr/>
        <w:t>Nu</w:t>
      </w:r>
      <w:r>
        <w:rPr>
          <w:color w:val="000000" w:themeColor="text1"/>
        </w:rPr>
        <w:t xml:space="preserve">     </w:t>
      </w:r>
      <w:r>
        <w:rPr/>
        <w:t xml:space="preserve">Nusselt number </w:t>
      </w:r>
    </w:p>
    <w:p>
      <w:pPr>
        <w:pStyle w:val="Normal"/>
        <w:ind w:right="1418" w:hanging="0"/>
        <w:rPr/>
      </w:pP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w:t>
      </w:r>
      <w:r>
        <w:rPr/>
        <w:t>Mean Nusselt number</w:t>
      </w:r>
    </w:p>
    <w:p>
      <w:pPr>
        <w:pStyle w:val="Normal"/>
        <w:ind w:right="1418" w:hanging="0"/>
        <w:rPr/>
      </w:pPr>
      <w:r>
        <w:rPr/>
        <w:t>P</w:t>
      </w:r>
      <w:r>
        <w:rPr>
          <w:color w:val="000000" w:themeColor="text1"/>
        </w:rPr>
        <w:t xml:space="preserve">      </w:t>
      </w:r>
      <w:r>
        <w:rPr/>
        <w:t>Dimensionless pressure</w:t>
      </w:r>
    </w:p>
    <w:p>
      <w:pPr>
        <w:pStyle w:val="Normal"/>
        <w:ind w:right="1418" w:hanging="0"/>
        <w:rPr/>
      </w:pPr>
      <w:r>
        <w:rPr/>
        <w:t>p</w:t>
      </w:r>
      <w:r>
        <w:rPr>
          <w:color w:val="000000" w:themeColor="text1"/>
        </w:rPr>
        <w:t xml:space="preserve">      </w:t>
      </w:r>
      <w:r>
        <w:rPr/>
        <w:t xml:space="preserve">Pressure, </w:t>
      </w:r>
      <w:r>
        <w:rPr/>
      </w:r>
      <m:oMath xmlns:m="http://schemas.openxmlformats.org/officeDocument/2006/math">
        <m:d>
          <m:dPr>
            <m:begChr m:val="("/>
            <m:endChr m:val=")"/>
          </m:dPr>
          <m:e>
            <m:r>
              <w:rPr>
                <w:rFonts w:ascii="Cambria Math" w:hAnsi="Cambria Math"/>
              </w:rPr>
              <m:t xml:space="preserve">Pa</m:t>
            </m:r>
          </m:e>
        </m:d>
      </m:oMath>
    </w:p>
    <w:p>
      <w:pPr>
        <w:pStyle w:val="Normal"/>
        <w:ind w:right="1418" w:hanging="0"/>
        <w:rPr/>
      </w:pPr>
      <w:r>
        <w:rPr/>
        <w:t>Ra</w:t>
      </w:r>
      <w:r>
        <w:rPr>
          <w:color w:val="000000" w:themeColor="text1"/>
        </w:rPr>
        <w:t xml:space="preserve">     </w:t>
      </w:r>
      <w:r>
        <w:rPr/>
        <w:t>Rayleigh number</w:t>
      </w:r>
    </w:p>
    <w:p>
      <w:pPr>
        <w:pStyle w:val="Normal"/>
        <w:ind w:right="1418" w:hanging="0"/>
        <w:rPr/>
      </w:pPr>
      <w:r>
        <w:rPr/>
        <w:t>Pr</w:t>
      </w:r>
      <w:r>
        <w:rPr>
          <w:color w:val="000000" w:themeColor="text1"/>
        </w:rPr>
        <w:t xml:space="preserve">     </w:t>
      </w:r>
      <w:r>
        <w:rPr/>
        <w:t>Prandtl number</w:t>
      </w:r>
    </w:p>
    <w:p>
      <w:pPr>
        <w:pStyle w:val="Normal"/>
        <w:ind w:right="1418" w:hanging="0"/>
        <w:rPr/>
      </w:pPr>
      <w:r>
        <w:rPr/>
        <w:t>T</w:t>
      </w:r>
      <w:r>
        <w:rPr>
          <w:color w:val="000000" w:themeColor="text1"/>
        </w:rPr>
        <w:t xml:space="preserve">      </w:t>
      </w:r>
      <w:r>
        <w:rPr/>
        <w:t xml:space="preserve">Temperature, </w:t>
      </w:r>
      <w:r>
        <w:rPr/>
      </w:r>
      <m:oMath xmlns:m="http://schemas.openxmlformats.org/officeDocument/2006/math">
        <m:d>
          <m:dPr>
            <m:begChr m:val="("/>
            <m:endChr m:val=")"/>
          </m:dPr>
          <m:e>
            <m:r>
              <w:rPr>
                <w:rFonts w:ascii="Cambria Math" w:hAnsi="Cambria Math"/>
              </w:rPr>
              <m:t xml:space="preserve">K</m:t>
            </m:r>
          </m:e>
        </m:d>
      </m:oMath>
    </w:p>
    <w:p>
      <w:pPr>
        <w:pStyle w:val="Normal"/>
        <w:ind w:right="1418" w:hanging="0"/>
        <w:rPr>
          <w:rFonts w:eastAsia="" w:eastAsiaTheme="minorEastAsia"/>
          <w:i/>
          <w:i/>
          <w:szCs w:val="22"/>
        </w:rPr>
      </w:pPr>
      <w:r>
        <w:rPr/>
        <w:t>u,v</w:t>
      </w:r>
      <w:r>
        <w:rPr>
          <w:color w:val="000000" w:themeColor="text1"/>
        </w:rPr>
        <w:t xml:space="preserve">     </w:t>
      </w:r>
      <w:r>
        <w:rPr/>
        <w:t xml:space="preserve">Velocity components,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d>
      </m:oMath>
    </w:p>
    <w:p>
      <w:pPr>
        <w:pStyle w:val="Normal"/>
        <w:ind w:right="1418" w:hanging="0"/>
        <w:rPr/>
      </w:pPr>
      <w:r>
        <w:rPr/>
        <w:t>U,V</w:t>
      </w:r>
      <w:r>
        <w:rPr>
          <w:color w:val="000000" w:themeColor="text1"/>
        </w:rPr>
        <w:t xml:space="preserve">    </w:t>
      </w:r>
      <w:r>
        <w:rPr/>
        <w:t>Dimensionless velocity components</w:t>
      </w:r>
    </w:p>
    <w:p>
      <w:pPr>
        <w:pStyle w:val="Normal"/>
        <w:ind w:right="1418" w:hanging="0"/>
        <w:rPr/>
      </w:pPr>
      <w:r>
        <w:rPr/>
        <w:t>x,y</w:t>
      </w:r>
      <w:r>
        <w:rPr>
          <w:color w:val="000000" w:themeColor="text1"/>
        </w:rPr>
        <w:t xml:space="preserve">     </w:t>
      </w:r>
      <w:r>
        <w:rPr/>
        <w:t xml:space="preserve">Cartesian coordinates, </w:t>
      </w:r>
      <w:r>
        <w:rPr/>
      </w:r>
      <m:oMath xmlns:m="http://schemas.openxmlformats.org/officeDocument/2006/math">
        <m:d>
          <m:dPr>
            <m:begChr m:val="("/>
            <m:endChr m:val=")"/>
          </m:dPr>
          <m:e>
            <m:r>
              <w:rPr>
                <w:rFonts w:ascii="Cambria Math" w:hAnsi="Cambria Math"/>
              </w:rPr>
              <m:t xml:space="preserve">m</m:t>
            </m:r>
          </m:e>
        </m:d>
      </m:oMath>
    </w:p>
    <w:p>
      <w:pPr>
        <w:pStyle w:val="Normal"/>
        <w:ind w:right="1418" w:hanging="0"/>
        <w:rPr/>
      </w:pPr>
      <w:r>
        <w:rPr/>
        <w:t>X,Y</w:t>
      </w:r>
      <w:r>
        <w:rPr>
          <w:color w:val="000000" w:themeColor="text1"/>
        </w:rPr>
        <w:t xml:space="preserve">    </w:t>
      </w:r>
      <w:r>
        <w:rPr/>
        <w:t>Dimensionless Cartesian coordinates</w:t>
      </w:r>
      <w:bookmarkStart w:id="4" w:name="_Hlk150844677"/>
      <w:bookmarkEnd w:id="4"/>
    </w:p>
    <w:p>
      <w:pPr>
        <w:pStyle w:val="Normal"/>
        <w:ind w:right="1418" w:hanging="0"/>
        <w:rPr>
          <w:rFonts w:eastAsia="Calibri" w:cs="" w:asciiTheme="majorBidi" w:cstheme="majorBidi" w:hAnsiTheme="majorBidi"/>
          <w:b/>
          <w:b/>
          <w:bCs/>
        </w:rPr>
      </w:pPr>
      <w:r>
        <w:rPr>
          <w:rFonts w:eastAsia="Calibri" w:cs="" w:cstheme="majorBidi"/>
          <w:b/>
          <w:bCs/>
        </w:rPr>
        <w:t>Greek letters</w:t>
      </w:r>
    </w:p>
    <w:p>
      <w:pPr>
        <w:pStyle w:val="Normal"/>
        <w:ind w:right="1418" w:hanging="0"/>
        <w:rPr>
          <w:rFonts w:eastAsia="Calibri" w:cs="" w:asciiTheme="majorBidi" w:cstheme="majorBidi" w:hAnsiTheme="majorBidi"/>
        </w:rPr>
      </w:pPr>
      <w:r>
        <w:rPr>
          <w:rFonts w:eastAsia="Calibri" w:cs="" w:cstheme="majorBidi"/>
          <w:i/>
          <w:iCs/>
        </w:rPr>
        <w:t>φ</w:t>
      </w:r>
      <w:r>
        <w:rPr>
          <w:color w:val="000000" w:themeColor="text1"/>
        </w:rPr>
        <w:t xml:space="preserve">       </w:t>
      </w:r>
      <w:r>
        <w:rPr>
          <w:rFonts w:eastAsia="Calibri" w:cs="" w:cstheme="majorBidi"/>
        </w:rPr>
        <w:t>Nanoparticle volume fraction</w:t>
      </w:r>
    </w:p>
    <w:p>
      <w:pPr>
        <w:pStyle w:val="Normal"/>
        <w:ind w:right="1418" w:hanging="0"/>
        <w:rPr>
          <w:rFonts w:eastAsia="Calibri" w:cs="" w:asciiTheme="majorBidi" w:cstheme="majorBidi" w:hAnsiTheme="majorBidi"/>
        </w:rPr>
      </w:pPr>
      <w:r>
        <w:rPr>
          <w:rFonts w:eastAsia="Calibri" w:cs="" w:cstheme="majorBidi"/>
          <w:i/>
          <w:iCs/>
        </w:rPr>
        <w:t>β</w:t>
      </w:r>
      <w:r>
        <w:rPr>
          <w:color w:val="000000" w:themeColor="text1"/>
        </w:rPr>
        <w:t xml:space="preserve">       </w:t>
      </w:r>
      <w:r>
        <w:rPr>
          <w:rFonts w:eastAsia="Calibri" w:cs="" w:cstheme="majorBidi"/>
        </w:rPr>
        <w:t xml:space="preserve">Coefficient of volume expansion, </w:t>
      </w:r>
      <w:r>
        <w:rPr/>
      </w:r>
      <m:oMath xmlns:m="http://schemas.openxmlformats.org/officeDocument/2006/math">
        <m:r>
          <w:rPr>
            <w:rFonts w:ascii="Cambria Math" w:hAnsi="Cambria Math"/>
          </w:rPr>
          <m:t xml:space="preserve">1.</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ind w:right="1418" w:hanging="0"/>
        <w:rPr>
          <w:rFonts w:eastAsia="Calibri" w:cs="" w:asciiTheme="majorBidi" w:cstheme="majorBidi" w:hAnsiTheme="majorBidi"/>
        </w:rPr>
      </w:pPr>
      <w:r>
        <w:rPr>
          <w:rFonts w:eastAsia="Calibri" w:cs="" w:cstheme="majorBidi"/>
          <w:i/>
          <w:iCs/>
        </w:rPr>
        <w:t>τ</w:t>
      </w:r>
      <w:r>
        <w:rPr>
          <w:color w:val="000000" w:themeColor="text1"/>
        </w:rPr>
        <w:t xml:space="preserve">       </w:t>
      </w:r>
      <w:r>
        <w:rPr>
          <w:rFonts w:eastAsia="Calibri" w:cs="" w:cstheme="majorBidi"/>
        </w:rPr>
        <w:t>Shear stress, Pa</w:t>
      </w:r>
    </w:p>
    <w:p>
      <w:pPr>
        <w:pStyle w:val="Normal"/>
        <w:ind w:right="1418" w:hanging="0"/>
        <w:rPr>
          <w:rFonts w:eastAsia="Calibri" w:cs="" w:asciiTheme="majorBidi" w:cstheme="majorBidi" w:hAnsiTheme="majorBidi"/>
        </w:rPr>
      </w:pPr>
      <w:r>
        <w:rPr>
          <w:rFonts w:eastAsia="Calibri" w:cs="" w:cstheme="majorBidi"/>
          <w:i/>
          <w:iCs/>
        </w:rPr>
        <w:t>ρ</w:t>
      </w:r>
      <w:r>
        <w:rPr>
          <w:color w:val="000000" w:themeColor="text1"/>
        </w:rPr>
        <w:t xml:space="preserve">       </w:t>
      </w:r>
      <w:r>
        <w:rPr>
          <w:rFonts w:eastAsia="Calibri" w:cs="" w:cstheme="majorBidi"/>
        </w:rPr>
        <w:t xml:space="preserve">Density, </w:t>
      </w:r>
      <w:r>
        <w:rPr/>
      </w:r>
      <m:oMath xmlns:m="http://schemas.openxmlformats.org/officeDocument/2006/math">
        <m:sSup>
          <m:e>
            <m:r>
              <w:rPr>
                <w:rFonts w:ascii="Cambria Math" w:hAnsi="Cambria Math"/>
              </w:rPr>
              <m:t xml:space="preserve">kg</m:t>
            </m:r>
            <m:r>
              <w:rPr>
                <w:rFonts w:ascii="Cambria Math" w:hAnsi="Cambria Math"/>
              </w:rPr>
              <m:t xml:space="preserve">.</m:t>
            </m:r>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ind w:right="1418" w:hanging="0"/>
        <w:rPr>
          <w:rFonts w:eastAsia="Calibri" w:cs="" w:asciiTheme="majorBidi" w:cstheme="majorBidi" w:hAnsiTheme="majorBidi"/>
        </w:rPr>
      </w:pPr>
      <w:r>
        <w:rPr>
          <w:rFonts w:eastAsia="Calibri" w:cs="" w:cstheme="majorBidi"/>
          <w:i/>
          <w:iCs/>
        </w:rPr>
        <w:t xml:space="preserve">α </w:t>
      </w:r>
      <w:r>
        <w:rPr>
          <w:color w:val="000000" w:themeColor="text1"/>
        </w:rPr>
        <w:t xml:space="preserve">      </w:t>
      </w:r>
      <w:r>
        <w:rPr>
          <w:rFonts w:eastAsia="Calibri" w:cs="" w:cstheme="majorBidi"/>
        </w:rPr>
        <w:t xml:space="preserve">Thermal diffusivity, </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ind w:right="1418" w:hanging="0"/>
        <w:rPr>
          <w:rFonts w:eastAsia="Calibri" w:cs="" w:asciiTheme="majorBidi" w:cstheme="majorBidi" w:hAnsiTheme="majorBidi"/>
        </w:rPr>
      </w:pPr>
      <w:r>
        <w:rPr>
          <w:rFonts w:eastAsia="Calibri" w:cs="" w:cstheme="majorBidi"/>
          <w:i/>
          <w:iCs/>
        </w:rPr>
        <w:t>µ</w:t>
      </w:r>
      <w:r>
        <w:rPr>
          <w:color w:val="000000" w:themeColor="text1"/>
        </w:rPr>
        <w:t xml:space="preserve">       </w:t>
      </w:r>
      <w:r>
        <w:rPr>
          <w:rFonts w:eastAsia="Calibri" w:cs="" w:cstheme="majorBidi"/>
        </w:rPr>
        <w:t xml:space="preserve">Dynamic viscosity, </w:t>
      </w:r>
      <w:r>
        <w:rPr/>
      </w:r>
      <m:oMath xmlns:m="http://schemas.openxmlformats.org/officeDocument/2006/math">
        <m:sSup>
          <m:e>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ind w:right="1418" w:hanging="0"/>
        <w:rPr>
          <w:rFonts w:eastAsia="Calibri" w:cs="" w:asciiTheme="majorBidi" w:cstheme="majorBidi" w:hAnsiTheme="majorBidi"/>
        </w:rPr>
      </w:pPr>
      <w:r>
        <w:rPr>
          <w:rFonts w:eastAsia="Calibri" w:cs="" w:cstheme="majorBidi"/>
          <w:i/>
          <w:iCs/>
        </w:rPr>
        <w:t>Ѳ</w:t>
      </w:r>
      <w:r>
        <w:rPr>
          <w:color w:val="000000" w:themeColor="text1"/>
        </w:rPr>
        <w:t xml:space="preserve">       </w:t>
      </w:r>
      <w:r>
        <w:rPr>
          <w:rFonts w:eastAsia="Calibri" w:cs="" w:cstheme="majorBidi"/>
        </w:rPr>
        <w:t xml:space="preserve">Dimensionless temperature </w:t>
      </w:r>
    </w:p>
    <w:p>
      <w:pPr>
        <w:pStyle w:val="Normal"/>
        <w:ind w:right="1418" w:hanging="0"/>
        <w:rPr>
          <w:rFonts w:eastAsia="Calibri" w:cs="" w:asciiTheme="majorBidi" w:cstheme="majorBidi" w:hAnsiTheme="majorBidi"/>
        </w:rPr>
      </w:pP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δ</m:t>
            </m:r>
          </m:e>
          <m:sub>
            <m:r>
              <w:rPr>
                <w:rFonts w:ascii="Cambria Math" w:hAnsi="Cambria Math"/>
              </w:rPr>
              <m:t xml:space="preserve">th</m:t>
            </m:r>
          </m:sub>
        </m:sSub>
      </m:oMath>
      <w:r>
        <w:rPr>
          <w:color w:val="000000" w:themeColor="text1"/>
        </w:rPr>
        <w:t xml:space="preserve">    </w:t>
      </w:r>
      <w:r>
        <w:rPr>
          <w:rFonts w:eastAsia="Calibri" w:cs="" w:cstheme="majorBidi"/>
        </w:rPr>
        <w:t>Velocity and thermal boundary-layer thickness, m</w:t>
      </w:r>
    </w:p>
    <w:p>
      <w:pPr>
        <w:pStyle w:val="Normal"/>
        <w:ind w:right="1418" w:hanging="0"/>
        <w:rPr>
          <w:rFonts w:eastAsia="Calibri" w:cs="" w:asciiTheme="majorBidi" w:cstheme="majorBidi" w:hAnsiTheme="majorBidi"/>
        </w:rPr>
      </w:pPr>
      <w:r>
        <w:rPr>
          <w:rFonts w:eastAsia="Calibri" w:cs="" w:cstheme="majorBidi"/>
          <w:i/>
          <w:iCs/>
        </w:rPr>
        <w:t>ψ</w:t>
      </w:r>
      <w:r>
        <w:rPr>
          <w:color w:val="000000" w:themeColor="text1"/>
        </w:rPr>
        <w:t xml:space="preserve">       </w:t>
      </w:r>
      <w:r>
        <w:rPr>
          <w:rFonts w:eastAsia="Calibri" w:cs="" w:cstheme="majorBidi"/>
        </w:rPr>
        <w:t>Dimensionless stream function</w:t>
      </w:r>
    </w:p>
    <w:p>
      <w:pPr>
        <w:pStyle w:val="Normal"/>
        <w:ind w:right="1418" w:hanging="0"/>
        <w:rPr>
          <w:rFonts w:eastAsia="Calibri" w:cs="" w:asciiTheme="majorBidi" w:cstheme="majorBidi" w:hAnsiTheme="majorBidi"/>
          <w:b/>
          <w:b/>
          <w:bCs/>
        </w:rPr>
      </w:pPr>
      <w:r>
        <w:rPr>
          <w:rFonts w:eastAsia="Calibri" w:cs="" w:cstheme="majorBidi"/>
          <w:b/>
          <w:bCs/>
        </w:rPr>
        <w:t>Greek letters</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c</m:t>
        </m:r>
      </m:oMath>
      <w:r>
        <w:rPr>
          <w:color w:val="000000" w:themeColor="text1"/>
        </w:rPr>
        <w:t xml:space="preserve">       </w:t>
      </w:r>
      <w:r>
        <w:rPr>
          <w:rFonts w:eastAsia="Calibri" w:cs="" w:cstheme="majorBidi"/>
          <w:szCs w:val="22"/>
        </w:rPr>
        <w:t>cold</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h</m:t>
        </m:r>
      </m:oMath>
      <w:r>
        <w:rPr>
          <w:color w:val="000000" w:themeColor="text1"/>
        </w:rPr>
        <w:t xml:space="preserve">       </w:t>
      </w:r>
      <w:r>
        <w:rPr>
          <w:rFonts w:eastAsia="Calibri" w:cs="" w:cstheme="majorBidi"/>
          <w:szCs w:val="22"/>
        </w:rPr>
        <w:t>hot</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eff</m:t>
        </m:r>
      </m:oMath>
      <w:r>
        <w:rPr>
          <w:color w:val="000000" w:themeColor="text1"/>
        </w:rPr>
        <w:t xml:space="preserve">     </w:t>
      </w:r>
      <w:r>
        <w:rPr>
          <w:rFonts w:eastAsia="Calibri" w:cs="" w:cstheme="majorBidi"/>
          <w:szCs w:val="22"/>
        </w:rPr>
        <w:t>effective</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f</m:t>
        </m:r>
      </m:oMath>
      <w:r>
        <w:rPr>
          <w:color w:val="000000" w:themeColor="text1"/>
        </w:rPr>
        <w:t xml:space="preserve">       </w:t>
      </w:r>
      <w:r>
        <w:rPr>
          <w:rFonts w:eastAsia="Calibri" w:cs="" w:cstheme="majorBidi"/>
          <w:szCs w:val="22"/>
        </w:rPr>
        <w:t>fluid</w:t>
      </w:r>
    </w:p>
    <w:p>
      <w:pPr>
        <w:pStyle w:val="Normal"/>
        <w:ind w:right="1418" w:hanging="0"/>
        <w:rPr>
          <w:color w:val="000000" w:themeColor="text1"/>
        </w:rPr>
      </w:pPr>
      <w:r>
        <w:rPr/>
      </w:r>
      <m:oMath xmlns:m="http://schemas.openxmlformats.org/officeDocument/2006/math">
        <m:r>
          <w:rPr>
            <w:rFonts w:ascii="Cambria Math" w:hAnsi="Cambria Math"/>
          </w:rPr>
          <m:t xml:space="preserve">p</m:t>
        </m:r>
      </m:oMath>
      <w:r>
        <w:rPr>
          <w:color w:val="000000" w:themeColor="text1"/>
        </w:rPr>
        <w:t xml:space="preserve">       </w:t>
      </w:r>
      <w:r>
        <w:rPr>
          <w:color w:val="000000" w:themeColor="text1"/>
        </w:rPr>
        <w:t>Particle</w:t>
      </w:r>
    </w:p>
    <w:p>
      <w:pPr>
        <w:pStyle w:val="Normal"/>
        <w:ind w:right="1418" w:hanging="0"/>
        <w:rPr>
          <w:color w:val="000000" w:themeColor="text1"/>
        </w:rPr>
      </w:pPr>
      <w:r>
        <w:rPr/>
      </w:r>
      <m:oMath xmlns:m="http://schemas.openxmlformats.org/officeDocument/2006/math">
        <m:r>
          <w:rPr>
            <w:rFonts w:ascii="Cambria Math" w:hAnsi="Cambria Math"/>
          </w:rPr>
          <m:t xml:space="preserve">nf</m:t>
        </m:r>
      </m:oMath>
      <w:r>
        <w:rPr>
          <w:i/>
          <w:iCs/>
          <w:color w:val="000000" w:themeColor="text1"/>
        </w:rPr>
        <w:t xml:space="preserve"> </w:t>
      </w:r>
      <w:r>
        <w:rPr>
          <w:color w:val="000000" w:themeColor="text1"/>
        </w:rPr>
        <w:t xml:space="preserve">     </w:t>
      </w:r>
      <w:r>
        <w:rPr>
          <w:color w:val="000000" w:themeColor="text1"/>
        </w:rPr>
        <w:t>nanofluid</w:t>
      </w:r>
      <w:bookmarkStart w:id="5" w:name="_Hlk92382004"/>
      <w:bookmarkEnd w:id="5"/>
    </w:p>
    <w:p>
      <w:pPr>
        <w:pStyle w:val="Keyword"/>
        <w:widowControl w:val="false"/>
        <w:snapToGrid w:val="false"/>
        <w:spacing w:before="312" w:after="60"/>
        <w:rPr>
          <w:b/>
          <w:b/>
          <w:color w:val="000000" w:themeColor="text1"/>
          <w:szCs w:val="22"/>
        </w:rPr>
      </w:pPr>
      <w:r>
        <w:rPr>
          <w:b/>
          <w:color w:val="000000" w:themeColor="text1"/>
          <w:szCs w:val="22"/>
        </w:rPr>
        <w:t>1 Introduction</w:t>
      </w:r>
    </w:p>
    <w:p>
      <w:pPr>
        <w:pStyle w:val="Normal"/>
        <w:ind w:firstLine="440"/>
        <w:rPr>
          <w:color w:val="000000" w:themeColor="text1"/>
          <w:szCs w:val="22"/>
        </w:rPr>
      </w:pPr>
      <w:r>
        <w:rPr>
          <w:color w:val="000000" w:themeColor="text1"/>
          <w:szCs w:val="22"/>
        </w:rPr>
        <w:t xml:space="preserve">Free </w:t>
      </w:r>
      <w:r>
        <w:rPr>
          <w:color w:val="000000" w:themeColor="text1"/>
          <w:szCs w:val="22"/>
        </w:rPr>
        <w:t xml:space="preserve">Figs. 7a,7aa,7ab and 7b </w:t>
      </w:r>
      <w:r>
        <w:rPr>
          <w:color w:val="000000" w:themeColor="text1"/>
          <w:szCs w:val="22"/>
        </w:rPr>
        <w:t xml:space="preserve">convection </w:t>
      </w:r>
      <w:r>
        <w:rPr>
          <w:color w:val="000000" w:themeColor="text1"/>
          <w:szCs w:val="22"/>
        </w:rPr>
        <w:t>Figs. 3-5</w:t>
      </w:r>
      <w:r>
        <w:rPr>
          <w:color w:val="000000" w:themeColor="text1"/>
          <w:szCs w:val="22"/>
        </w:rPr>
        <w:t xml:space="preserve"> heat </w:t>
      </w:r>
      <w:r>
        <w:rPr>
          <w:color w:val="000000" w:themeColor="text1"/>
          <w:szCs w:val="22"/>
        </w:rPr>
        <w:t>Fig. 1</w:t>
      </w:r>
      <w:r>
        <w:rPr>
          <w:color w:val="000000" w:themeColor="text1"/>
          <w:szCs w:val="22"/>
        </w:rPr>
        <w:t xml:space="preserve"> transfer in square enclosures is largely used in numerous engineering applications such as heat exchangers, buildings, built-in-storage solar collectors and thermal management of electronics </w:t>
      </w:r>
      <w:sdt>
        <w:sdtPr>
          <w:id w:val="1104800098"/>
        </w:sdtPr>
        <w:sdtContent>
          <w:r>
            <w:rPr>
              <w:color w:val="000000"/>
              <w:szCs w:val="22"/>
            </w:rPr>
            <w:t>[</w:t>
          </w:r>
          <w:r>
            <w:rPr>
              <w:color w:val="5B9BD5" w:themeColor="accent5"/>
              <w:szCs w:val="22"/>
            </w:rPr>
            <w:t>1</w:t>
          </w:r>
          <w:r>
            <w:rPr>
              <w:color w:val="000000"/>
              <w:szCs w:val="22"/>
            </w:rPr>
            <w:t>]</w:t>
          </w:r>
        </w:sdtContent>
      </w:sdt>
      <w:r>
        <w:rPr>
          <w:color w:val="000000" w:themeColor="text1"/>
          <w:szCs w:val="22"/>
        </w:rPr>
        <w:t>.</w:t>
      </w:r>
      <w:r>
        <w:rPr>
          <w:color w:val="000000" w:themeColor="text1"/>
          <w:szCs w:val="22"/>
        </w:rPr>
        <w:t xml:space="preserve">ref Researchers have expressed significant concern regarding the enhancement of heat transfer in free convection due to its inherently low heat transfer coefficient refs. Consequently, they actively explored diverse techniques and concepts to improve the ref heat transfer in this process. One of those techniques that researchers frequently focus on is adding nanoparticles to the conventional working fluid. The addition of nanoparticles enhances the thermophysical properties of the base fluid, particularly thermal conductivity, a pivotal parameter that improves the heat transfer mechanisms </w:t>
      </w:r>
      <w:sdt>
        <w:sdtPr>
          <w:id w:val="447564308"/>
        </w:sdtPr>
        <w:sdtContent>
          <w:r>
            <w:rPr>
              <w:color w:val="000000"/>
              <w:szCs w:val="22"/>
            </w:rPr>
            <w:t>[</w:t>
          </w:r>
          <w:r>
            <w:rPr>
              <w:color w:val="5B9BD5" w:themeColor="accent5"/>
              <w:szCs w:val="22"/>
            </w:rPr>
            <w:t>2</w:t>
          </w:r>
          <w:r>
            <w:rPr>
              <w:color w:val="000000"/>
              <w:szCs w:val="22"/>
            </w:rPr>
            <w:t>,</w:t>
          </w:r>
          <w:r>
            <w:rPr>
              <w:color w:val="5B9BD5" w:themeColor="accent5"/>
              <w:szCs w:val="22"/>
            </w:rPr>
            <w:t>3</w:t>
          </w:r>
          <w:r>
            <w:rPr>
              <w:color w:val="000000"/>
              <w:szCs w:val="22"/>
            </w:rPr>
            <w:t>,</w:t>
          </w:r>
          <w:r>
            <w:rPr>
              <w:color w:val="5B9BD5" w:themeColor="accent5"/>
              <w:szCs w:val="22"/>
            </w:rPr>
            <w:t>4</w:t>
          </w:r>
          <w:r>
            <w:rPr>
              <w:color w:val="000000"/>
              <w:szCs w:val="22"/>
            </w:rPr>
            <w:t>,</w:t>
          </w:r>
          <w:r>
            <w:rPr>
              <w:color w:val="5B9BD5" w:themeColor="accent5"/>
              <w:szCs w:val="22"/>
            </w:rPr>
            <w:t>5</w:t>
          </w:r>
          <w:r>
            <w:rPr>
              <w:color w:val="000000"/>
              <w:szCs w:val="22"/>
            </w:rPr>
            <w:t>,</w:t>
          </w:r>
          <w:r>
            <w:rPr>
              <w:color w:val="5B9BD5" w:themeColor="accent5"/>
              <w:szCs w:val="22"/>
            </w:rPr>
            <w:t>6</w:t>
          </w:r>
          <w:r>
            <w:rPr>
              <w:color w:val="000000"/>
              <w:szCs w:val="22"/>
            </w:rPr>
            <w:t>]</w:t>
          </w:r>
        </w:sdtContent>
      </w:sdt>
      <w:r>
        <w:rPr>
          <w:color w:val="000000" w:themeColor="text1"/>
          <w:szCs w:val="22"/>
        </w:rPr>
        <w:t xml:space="preserve">. Therefore, the single-phase model was largely employed due to its simplicity and computational efficiency, making it suitable for diluting nanofluids with low nanoparticle concentrations. However, its simplicity may lead to inaccuracies, as it oversimplifies complex nanofluid behavior and neglects nanoparticle interactions </w:t>
      </w:r>
      <w:sdt>
        <w:sdtPr>
          <w:id w:val="814903519"/>
        </w:sdtPr>
        <w:sdtContent>
          <w:r>
            <w:rPr>
              <w:color w:val="000000"/>
              <w:szCs w:val="22"/>
            </w:rPr>
            <w:t>[</w:t>
          </w:r>
          <w:r>
            <w:rPr>
              <w:color w:val="5B9BD5" w:themeColor="accent5"/>
              <w:szCs w:val="22"/>
            </w:rPr>
            <w:t>7</w:t>
          </w:r>
          <w:r>
            <w:rPr>
              <w:color w:val="000000"/>
              <w:szCs w:val="22"/>
            </w:rPr>
            <w:t>]</w:t>
          </w:r>
        </w:sdtContent>
      </w:sdt>
      <w:r>
        <w:rPr>
          <w:color w:val="000000" w:themeColor="text1"/>
          <w:szCs w:val="22"/>
        </w:rPr>
        <w:t>. The two-phase model</w:t>
      </w:r>
      <w:r>
        <w:rPr>
          <w:color w:val="000000" w:themeColor="text1"/>
          <w:szCs w:val="22"/>
        </w:rPr>
        <w:t xml:space="preserve">, initiated in 2006 by Buongiorno, offered a deeper insight into the movement of nanoparticles into the base fluid. Alsabery et al. </w:t>
      </w:r>
      <w:sdt>
        <w:sdtPr>
          <w:id w:val="318541316"/>
        </w:sdtPr>
        <w:sdtContent>
          <w:r>
            <w:rPr>
              <w:color w:val="000000"/>
              <w:szCs w:val="22"/>
            </w:rPr>
            <w:t>[</w:t>
          </w:r>
          <w:r>
            <w:rPr>
              <w:color w:val="5B9BD5" w:themeColor="accent5"/>
              <w:szCs w:val="22"/>
            </w:rPr>
            <w:t>8</w:t>
          </w:r>
          <w:r>
            <w:rPr>
              <w:color w:val="000000"/>
              <w:szCs w:val="22"/>
            </w:rPr>
            <w:t>]</w:t>
          </w:r>
        </w:sdtContent>
      </w:sdt>
      <w:r>
        <w:rPr>
          <w:color w:val="000000" w:themeColor="text1"/>
          <w:szCs w:val="22"/>
        </w:rPr>
        <w:t xml:space="preserve"> have concluded in their review that the high computational cost of the two-phase models has limited the adoption of the model of single-phase among researchers. As a result, only 19% of nanofluid studies have opted for the two-phase approach</w:t>
      </w:r>
      <w:r>
        <w:rPr>
          <w:color w:val="000000" w:themeColor="text1"/>
          <w:szCs w:val="22"/>
        </w:rPr>
        <w:t>.</w:t>
      </w:r>
    </w:p>
    <w:p>
      <w:pPr>
        <w:pStyle w:val="Normal"/>
        <w:widowControl w:val="false"/>
        <w:snapToGrid w:val="false"/>
        <w:spacing w:before="240" w:after="60"/>
        <w:rPr>
          <w:b/>
          <w:b/>
          <w:color w:val="000000" w:themeColor="text1"/>
          <w:szCs w:val="22"/>
        </w:rPr>
      </w:pPr>
      <w:r>
        <w:rPr>
          <w:b/>
          <w:color w:val="000000" w:themeColor="text1"/>
          <w:szCs w:val="22"/>
        </w:rPr>
        <w:t>2 Modelling and mathematical formulation</w:t>
      </w:r>
    </w:p>
    <w:p>
      <w:pPr>
        <w:pStyle w:val="Normal"/>
        <w:widowControl w:val="false"/>
        <w:snapToGrid w:val="false"/>
        <w:ind w:firstLine="426"/>
        <w:rPr>
          <w:color w:val="000000" w:themeColor="text1"/>
          <w:szCs w:val="22"/>
        </w:rPr>
      </w:pPr>
      <w:r>
        <w:rPr>
          <w:color w:val="000000" w:themeColor="text1"/>
          <w:szCs w:val="22"/>
        </w:rPr>
        <w:t xml:space="preserve">The square cavity </w:t>
      </w:r>
      <w:r>
        <w:rPr>
          <w:color w:val="5B9BD5" w:themeColor="accent5"/>
          <w:szCs w:val="22"/>
        </w:rPr>
        <w:t xml:space="preserve">Fig. 1 </w:t>
      </w:r>
      <w:r>
        <w:rPr>
          <w:color w:val="000000" w:themeColor="text1"/>
          <w:szCs w:val="22"/>
        </w:rPr>
        <w:t xml:space="preserve">is enclosed by two vertical walls cooled to a temperature of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r>
        <w:rPr>
          <w:color w:val="000000" w:themeColor="text1"/>
          <w:szCs w:val="22"/>
        </w:rPr>
        <w:t xml:space="preserve"> and two horizontal walls that are adiabatic. A heated fin with dimensionless variable length (</w:t>
      </w:r>
      <w:r>
        <w:rPr/>
      </w:r>
      <m:oMath xmlns:m="http://schemas.openxmlformats.org/officeDocument/2006/math">
        <m:r>
          <w:rPr>
            <w:rFonts w:ascii="Cambria Math" w:hAnsi="Cambria Math"/>
          </w:rPr>
          <m:t xml:space="preserve">Ar</m:t>
        </m:r>
        <m:r>
          <w:rPr>
            <w:rFonts w:ascii="Cambria Math" w:hAnsi="Cambria Math"/>
          </w:rPr>
          <m:t xml:space="preserve">=</m:t>
        </m:r>
        <m:f>
          <m:num>
            <m:r>
              <w:rPr>
                <w:rFonts w:ascii="Cambria Math" w:hAnsi="Cambria Math"/>
              </w:rPr>
              <m:t xml:space="preserve">b</m:t>
            </m:r>
          </m:num>
          <m:den>
            <m:r>
              <w:rPr>
                <w:rFonts w:ascii="Cambria Math" w:hAnsi="Cambria Math"/>
              </w:rPr>
              <m:t xml:space="preserve">L</m:t>
            </m:r>
          </m:den>
        </m:f>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m:t>
        </m:r>
        <m:r>
          <w:rPr>
            <w:rFonts w:ascii="Cambria Math" w:hAnsi="Cambria Math"/>
          </w:rPr>
          <m:t xml:space="preserve">0.7</m:t>
        </m:r>
      </m:oMath>
      <w:r>
        <w:rPr>
          <w:color w:val="000000" w:themeColor="text1"/>
          <w:szCs w:val="22"/>
        </w:rPr>
        <w:t xml:space="preserve">) is vertically positioned at the cavity’s midpoint, kept at an elevated temperature </w:t>
      </w:r>
      <w:r>
        <w:rPr/>
      </w:r>
      <m:oMath xmlns:m="http://schemas.openxmlformats.org/officeDocument/2006/math">
        <m:sSub>
          <m:e>
            <m:r>
              <w:rPr>
                <w:rFonts w:ascii="Cambria Math" w:hAnsi="Cambria Math"/>
              </w:rPr>
              <m:t xml:space="preserve">T</m:t>
            </m:r>
          </m:e>
          <m:sub>
            <m:r>
              <w:rPr>
                <w:rFonts w:ascii="Cambria Math" w:hAnsi="Cambria Math"/>
              </w:rPr>
              <m:t xml:space="preserve">h</m:t>
            </m:r>
          </m:sub>
        </m:sSub>
      </m:oMath>
      <w:r>
        <w:rPr>
          <w:color w:val="000000" w:themeColor="text1"/>
          <w:szCs w:val="22"/>
        </w:rPr>
        <w:t xml:space="preserve">. The enclosure contains water-based nanofluid incorporating nanoparticles of </w:t>
      </w:r>
      <w:r>
        <w:rPr/>
      </w:r>
      <m:oMath xmlns:m="http://schemas.openxmlformats.org/officeDocument/2006/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color w:val="000000" w:themeColor="text1"/>
          <w:szCs w:val="22"/>
        </w:rPr>
        <w:t xml:space="preserve">, </w:t>
      </w:r>
      <w:r>
        <w:rPr/>
      </w:r>
      <m:oMath xmlns:m="http://schemas.openxmlformats.org/officeDocument/2006/math">
        <m:r>
          <w:rPr>
            <w:rFonts w:ascii="Cambria Math" w:hAnsi="Cambria Math"/>
          </w:rPr>
          <m:t xml:space="preserve">Ti</m:t>
        </m:r>
        <m:sSub>
          <m:e>
            <m:r>
              <w:rPr>
                <w:rFonts w:ascii="Cambria Math" w:hAnsi="Cambria Math"/>
              </w:rPr>
              <m:t xml:space="preserve">O</m:t>
            </m:r>
          </m:e>
          <m:sub>
            <m:r>
              <w:rPr>
                <w:rFonts w:ascii="Cambria Math" w:hAnsi="Cambria Math"/>
              </w:rPr>
              <m:t xml:space="preserve">2</m:t>
            </m:r>
          </m:sub>
        </m:sSub>
      </m:oMath>
      <w:r>
        <w:rPr>
          <w:color w:val="000000" w:themeColor="text1"/>
          <w:szCs w:val="22"/>
        </w:rPr>
        <w:t xml:space="preserve">, or </w:t>
      </w:r>
      <w:r>
        <w:rPr/>
      </w:r>
      <m:oMath xmlns:m="http://schemas.openxmlformats.org/officeDocument/2006/math">
        <m:r>
          <w:rPr>
            <w:rFonts w:ascii="Cambria Math" w:hAnsi="Cambria Math"/>
          </w:rPr>
          <m:t xml:space="preserve">Cu</m:t>
        </m:r>
      </m:oMath>
      <w:r>
        <w:rPr>
          <w:color w:val="000000" w:themeColor="text1"/>
          <w:szCs w:val="22"/>
        </w:rPr>
        <w:t>, assumed as a laminar and incompressible Boussinesq power law model, with a Prandtl number (</w:t>
      </w:r>
      <w:r>
        <w:rPr/>
      </w:r>
      <m:oMath xmlns:m="http://schemas.openxmlformats.org/officeDocument/2006/math">
        <m:r>
          <w:rPr>
            <w:rFonts w:ascii="Cambria Math" w:hAnsi="Cambria Math"/>
          </w:rPr>
          <m:t xml:space="preserve">Pr</m:t>
        </m:r>
      </m:oMath>
      <w:r>
        <w:rPr>
          <w:color w:val="000000" w:themeColor="text1"/>
          <w:szCs w:val="22"/>
        </w:rPr>
        <w:t xml:space="preserve">) set at 6.2. Assuming thermal stability between the water-based fluid and nanoparticles, with no slip occurring due to their thermophysical properties as listed in </w:t>
      </w:r>
      <w:r>
        <w:rPr>
          <w:color w:val="5B9BD5" w:themeColor="accent5"/>
          <w:szCs w:val="22"/>
        </w:rPr>
        <w:t>Table 1</w:t>
      </w:r>
      <w:r>
        <w:rPr>
          <w:color w:val="000000" w:themeColor="text1"/>
          <w:szCs w:val="22"/>
        </w:rPr>
        <w:t xml:space="preserve">. Under these conditions and according to the nanofluid model suggested by Tiwari and Das </w:t>
      </w:r>
      <w:sdt>
        <w:sdtPr>
          <w:id w:val="1942152224"/>
        </w:sdtPr>
        <w:sdtContent>
          <w:r>
            <w:rPr>
              <w:color w:val="000000"/>
              <w:szCs w:val="22"/>
            </w:rPr>
            <w:t>[</w:t>
          </w:r>
          <w:r>
            <w:rPr>
              <w:color w:val="5B9BD5" w:themeColor="accent5"/>
              <w:szCs w:val="22"/>
            </w:rPr>
            <w:t>29</w:t>
          </w:r>
          <w:r>
            <w:rPr>
              <w:color w:val="000000"/>
              <w:szCs w:val="22"/>
            </w:rPr>
            <w:t>,</w:t>
          </w:r>
        </w:sdtContent>
      </w:sdt>
      <w:sdt>
        <w:sdtPr>
          <w:id w:val="766537785"/>
        </w:sdtPr>
        <w:sdtContent>
          <w:r>
            <w:rPr>
              <w:color w:val="5B9BD5" w:themeColor="accent5"/>
              <w:szCs w:val="22"/>
            </w:rPr>
            <w:t>30</w:t>
          </w:r>
          <w:r>
            <w:rPr>
              <w:color w:val="000000"/>
              <w:szCs w:val="22"/>
            </w:rPr>
            <w:t>]</w:t>
          </w:r>
        </w:sdtContent>
      </w:sdt>
      <w:r>
        <w:rPr>
          <w:color w:val="000000" w:themeColor="text1"/>
          <w:szCs w:val="22"/>
        </w:rPr>
        <w:t xml:space="preserve">, </w:t>
      </w:r>
      <w:r>
        <w:rPr>
          <w:color w:val="000000" w:themeColor="text1"/>
          <w:szCs w:val="22"/>
        </w:rPr>
        <w:t xml:space="preserve">continuity, momentum, and energy equations, in laminar incompressible nanofluid may be expressed in their nondimensional form for the numerical solution as follows </w:t>
      </w:r>
      <w:sdt>
        <w:sdtPr>
          <w:id w:val="1909465279"/>
        </w:sdtPr>
        <w:sdtContent>
          <w:r>
            <w:rPr>
              <w:color w:val="000000"/>
              <w:szCs w:val="22"/>
            </w:rPr>
            <w:t>[</w:t>
          </w:r>
          <w:r>
            <w:rPr>
              <w:color w:val="5B9BD5" w:themeColor="accent5"/>
              <w:szCs w:val="22"/>
            </w:rPr>
            <w:t>24</w:t>
          </w:r>
          <w:r>
            <w:rPr>
              <w:color w:val="000000"/>
              <w:szCs w:val="22"/>
            </w:rPr>
            <w:t xml:space="preserve">, </w:t>
          </w:r>
          <w:r>
            <w:rPr>
              <w:color w:val="5B9BD5" w:themeColor="accent5"/>
              <w:szCs w:val="22"/>
            </w:rPr>
            <w:t>27</w:t>
          </w:r>
          <w:r>
            <w:rPr>
              <w:color w:val="000000"/>
              <w:szCs w:val="22"/>
            </w:rPr>
            <w:t>,</w:t>
          </w:r>
          <w:r>
            <w:rPr>
              <w:color w:val="5B9BD5" w:themeColor="accent5"/>
              <w:szCs w:val="22"/>
            </w:rPr>
            <w:t>28</w:t>
          </w:r>
          <w:r>
            <w:rPr>
              <w:color w:val="000000"/>
              <w:szCs w:val="22"/>
            </w:rPr>
            <w:t>,</w:t>
          </w:r>
          <w:r>
            <w:rPr>
              <w:color w:val="5B9BD5" w:themeColor="accent5"/>
              <w:szCs w:val="22"/>
            </w:rPr>
            <w:t>31</w:t>
          </w:r>
          <w:r>
            <w:rPr>
              <w:color w:val="000000"/>
              <w:szCs w:val="22"/>
            </w:rPr>
            <w:t>,</w:t>
          </w:r>
          <w:r>
            <w:rPr>
              <w:color w:val="5B9BD5" w:themeColor="accent5"/>
              <w:szCs w:val="22"/>
            </w:rPr>
            <w:t>32</w:t>
          </w:r>
          <w:r>
            <w:rPr>
              <w:color w:val="000000"/>
              <w:szCs w:val="22"/>
            </w:rPr>
            <w:t>]</w:t>
          </w:r>
        </w:sdtContent>
      </w:sdt>
      <w:r>
        <w:rPr>
          <w:color w:val="000000" w:themeColor="text1"/>
          <w:szCs w:val="22"/>
        </w:rPr>
        <w:t>.</w:t>
      </w:r>
    </w:p>
    <w:p>
      <w:pPr>
        <w:pStyle w:val="Caption1"/>
        <w:keepNext w:val="false"/>
        <w:widowControl w:val="false"/>
        <w:snapToGrid w:val="false"/>
        <w:spacing w:before="156" w:after="120"/>
        <w:rPr>
          <w:color w:val="000000" w:themeColor="text1"/>
          <w:szCs w:val="22"/>
        </w:rPr>
      </w:pPr>
      <w:r>
        <w:rPr/>
        <w:drawing>
          <wp:inline distT="0" distB="0" distL="0" distR="0">
            <wp:extent cx="3044825" cy="254444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44825" cy="2544445"/>
                    </a:xfrm>
                    <a:prstGeom prst="rect">
                      <a:avLst/>
                    </a:prstGeom>
                  </pic:spPr>
                </pic:pic>
              </a:graphicData>
            </a:graphic>
          </wp:inline>
        </w:drawing>
      </w:r>
    </w:p>
    <w:p>
      <w:pPr>
        <w:pStyle w:val="Caption1"/>
        <w:keepNext w:val="false"/>
        <w:widowControl w:val="false"/>
        <w:snapToGrid w:val="false"/>
        <w:spacing w:before="0" w:after="60"/>
        <w:rPr>
          <w:color w:val="000000" w:themeColor="text1"/>
          <w:szCs w:val="22"/>
        </w:rPr>
      </w:pPr>
      <w:r>
        <w:rPr>
          <w:color w:val="000000" w:themeColor="text1"/>
          <w:szCs w:val="22"/>
        </w:rPr>
        <w:t xml:space="preserve">Figure 1: </w:t>
      </w:r>
      <w:r>
        <w:rPr>
          <w:b w:val="false"/>
          <w:color w:val="000000" w:themeColor="text1"/>
          <w:szCs w:val="22"/>
        </w:rPr>
        <w:t>Some functions DDA of</w:t>
      </w:r>
      <w:r>
        <w:rPr>
          <w:color w:val="000000" w:themeColor="text1"/>
          <w:szCs w:val="22"/>
        </w:rPr>
        <w:t xml:space="preserve"> </w:t>
      </w:r>
      <w:r>
        <w:rPr/>
      </w:r>
      <m:oMath xmlns:m="http://schemas.openxmlformats.org/officeDocument/2006/math">
        <m:r>
          <w:rPr>
            <w:rFonts w:ascii="Cambria Math" w:hAnsi="Cambria Math"/>
          </w:rPr>
          <m:t xml:space="preserve">x</m:t>
        </m:r>
      </m:oMath>
    </w:p>
    <w:p>
      <w:pPr>
        <w:pStyle w:val="Normal"/>
        <w:rPr/>
      </w:pPr>
      <w:r>
        <w:rPr/>
      </w:r>
    </w:p>
    <w:p>
      <w:pPr>
        <w:pStyle w:val="Normal"/>
        <w:suppressAutoHyphens w:val="true"/>
        <w:overflowPunct w:val="true"/>
        <w:spacing w:before="0" w:after="0"/>
        <w:jc w:val="left"/>
        <w:textAlignment w:val="baseline"/>
        <w:rPr>
          <w:rFonts w:eastAsia="Times New Roman"/>
          <w:iCs/>
          <w:kern w:val="2"/>
          <w:szCs w:val="22"/>
          <w:lang w:eastAsia="en-US"/>
        </w:rPr>
      </w:pPr>
      <w:r>
        <w:rPr>
          <w:rFonts w:eastAsia="Times New Roman"/>
          <w:iCs/>
          <w:kern w:val="2"/>
          <w:szCs w:val="22"/>
          <w:lang w:eastAsia="en-US"/>
        </w:rPr>
      </w:r>
    </w:p>
    <w:p>
      <w:pPr>
        <w:pStyle w:val="Normal"/>
        <w:widowControl w:val="false"/>
        <w:snapToGrid w:val="false"/>
        <w:ind w:firstLine="426"/>
        <w:rPr>
          <w:color w:val="000000" w:themeColor="text1"/>
          <w:szCs w:val="22"/>
        </w:rPr>
      </w:pPr>
      <w:r>
        <w:rPr>
          <w:color w:val="000000" w:themeColor="text1"/>
          <w:szCs w:val="22"/>
        </w:rPr>
        <w:t>Some relationships are conducted to clarify how Rayleigh number, Prandtl number, and power-law index influence the Nusselt number for the model of power-law fluids [</w:t>
      </w:r>
      <w:r>
        <w:rPr>
          <w:color w:val="5B9BD5" w:themeColor="accent5"/>
          <w:szCs w:val="22"/>
        </w:rPr>
        <w:t>18</w:t>
      </w:r>
      <w:r>
        <w:rPr>
          <w:color w:val="000000" w:themeColor="text1"/>
          <w:szCs w:val="22"/>
        </w:rPr>
        <w:t>].</w:t>
      </w:r>
    </w:p>
    <w:p>
      <w:pPr>
        <w:pStyle w:val="Normal"/>
        <w:widowControl w:val="false"/>
        <w:snapToGrid w:val="false"/>
        <w:ind w:firstLine="426"/>
        <w:rPr>
          <w:color w:val="000000" w:themeColor="text1"/>
          <w:szCs w:val="22"/>
        </w:rPr>
      </w:pPr>
      <w:r>
        <w:rPr>
          <w:color w:val="000000" w:themeColor="text1"/>
          <w:szCs w:val="22"/>
        </w:rPr>
        <w:t xml:space="preserve">where the hydrodynamic and thermal boundary-layer thicknesses, </w:t>
      </w:r>
      <w:r>
        <w:rPr/>
      </w:r>
      <m:oMath xmlns:m="http://schemas.openxmlformats.org/officeDocument/2006/math">
        <m:r>
          <w:rPr>
            <w:rFonts w:ascii="Cambria Math" w:hAnsi="Cambria Math"/>
          </w:rPr>
          <m:t xml:space="preserve">δ</m:t>
        </m:r>
      </m:oMath>
      <w:r>
        <w:rPr>
          <w:color w:val="000000" w:themeColor="text1"/>
          <w:szCs w:val="22"/>
        </w:rPr>
        <w:t xml:space="preserve"> and </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h</m:t>
            </m:r>
          </m:sub>
        </m:sSub>
      </m:oMath>
      <w:r>
        <w:rPr>
          <w:color w:val="000000" w:themeColor="text1"/>
          <w:szCs w:val="22"/>
        </w:rPr>
        <w:t xml:space="preserve">, are related by this expression: </w:t>
      </w:r>
      <w:r>
        <w:rPr/>
      </w:r>
      <m:oMath xmlns:m="http://schemas.openxmlformats.org/officeDocument/2006/math">
        <m:f>
          <m:fPr>
            <m:type m:val="lin"/>
          </m:fPr>
          <m:num>
            <m:r>
              <w:rPr>
                <w:rFonts w:ascii="Cambria Math" w:hAnsi="Cambria Math"/>
              </w:rPr>
              <m:t xml:space="preserve">δ</m:t>
            </m:r>
          </m:num>
          <m:den>
            <m:sSub>
              <m:e>
                <m:r>
                  <w:rPr>
                    <w:rFonts w:ascii="Cambria Math" w:hAnsi="Cambria Math"/>
                  </w:rPr>
                  <m:t xml:space="preserve">δ</m:t>
                </m:r>
              </m:e>
              <m:sub>
                <m:r>
                  <w:rPr>
                    <w:rFonts w:ascii="Cambria Math" w:hAnsi="Cambria Math"/>
                  </w:rPr>
                  <m:t xml:space="preserve">t</m:t>
                </m:r>
                <m:r>
                  <w:rPr>
                    <w:rFonts w:ascii="Cambria Math" w:hAnsi="Cambria Math"/>
                  </w:rPr>
                  <m:t xml:space="preserve">h</m:t>
                </m:r>
              </m:sub>
            </m:sSub>
          </m:den>
        </m:f>
        <m:r>
          <w:rPr>
            <w:rFonts w:ascii="Cambria Math" w:hAnsi="Cambria Math"/>
          </w:rPr>
          <m:t xml:space="preserve">f</m:t>
        </m:r>
        <m:d>
          <m:dPr>
            <m:begChr m:val="("/>
            <m:endChr m:val=")"/>
          </m:dPr>
          <m:e>
            <m:r>
              <w:rPr>
                <w:rFonts w:ascii="Cambria Math" w:hAnsi="Cambria Math"/>
              </w:rPr>
              <m:t xml:space="preserve">Ra</m:t>
            </m:r>
            <m:r>
              <w:rPr>
                <w:rFonts w:ascii="Cambria Math" w:hAnsi="Cambria Math"/>
              </w:rPr>
              <m:t xml:space="preserve">,</m:t>
            </m:r>
            <m:r>
              <w:rPr>
                <w:rFonts w:ascii="Cambria Math" w:hAnsi="Cambria Math"/>
              </w:rPr>
              <m:t xml:space="preserve">Pr</m:t>
            </m:r>
            <m:r>
              <w:rPr>
                <w:rFonts w:ascii="Cambria Math" w:hAnsi="Cambria Math"/>
              </w:rPr>
              <m:t xml:space="preserve">,</m:t>
            </m:r>
            <m:r>
              <w:rPr>
                <w:rFonts w:ascii="Cambria Math" w:hAnsi="Cambria Math"/>
              </w:rPr>
              <m:t xml:space="preserve">n</m:t>
            </m:r>
          </m:e>
        </m:d>
      </m:oMath>
      <w:r>
        <w:rPr>
          <w:color w:val="000000" w:themeColor="text1"/>
          <w:szCs w:val="22"/>
        </w:rPr>
        <w:t xml:space="preserve"> in which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Ra</m:t>
            </m:r>
            <m:r>
              <w:rPr>
                <w:rFonts w:ascii="Cambria Math" w:hAnsi="Cambria Math"/>
              </w:rPr>
              <m:t xml:space="preserve">,</m:t>
            </m:r>
            <m:r>
              <w:rPr>
                <w:rFonts w:ascii="Cambria Math" w:hAnsi="Cambria Math"/>
              </w:rPr>
              <m:t xml:space="preserve">Pr</m:t>
            </m:r>
            <m:r>
              <w:rPr>
                <w:rFonts w:ascii="Cambria Math" w:hAnsi="Cambria Math"/>
              </w:rPr>
              <m:t xml:space="preserve">,</m:t>
            </m:r>
            <m:r>
              <w:rPr>
                <w:rFonts w:ascii="Cambria Math" w:hAnsi="Cambria Math"/>
              </w:rPr>
              <m:t xml:space="preserve">n</m:t>
            </m:r>
          </m:e>
        </m:d>
      </m:oMath>
      <w:r>
        <w:rPr>
          <w:color w:val="000000" w:themeColor="text1"/>
          <w:szCs w:val="22"/>
        </w:rPr>
        <w:t xml:space="preserve"> denotes a function of Rayleigh number, Prandtl number, and power-law index. A positive correlation with increasing Prandtl number is expected.</w:t>
      </w:r>
    </w:p>
    <w:p>
      <w:pPr>
        <w:pStyle w:val="Normal"/>
        <w:widowControl w:val="false"/>
        <w:snapToGrid w:val="false"/>
        <w:spacing w:before="240" w:after="60"/>
        <w:rPr>
          <w:b/>
          <w:b/>
          <w:i/>
          <w:i/>
          <w:color w:val="000000" w:themeColor="text1"/>
          <w:szCs w:val="22"/>
        </w:rPr>
      </w:pPr>
      <w:r>
        <w:rPr>
          <w:b/>
          <w:color w:val="000000" w:themeColor="text1"/>
          <w:szCs w:val="22"/>
        </w:rPr>
        <w:t xml:space="preserve">3 </w:t>
      </w:r>
      <w:r>
        <w:rPr>
          <w:b/>
          <w:bCs/>
          <w:szCs w:val="22"/>
        </w:rPr>
        <w:t>Numerical methodology and validation</w:t>
      </w:r>
    </w:p>
    <w:p>
      <w:pPr>
        <w:pStyle w:val="Normal"/>
        <w:ind w:firstLine="440"/>
        <w:rPr>
          <w:color w:val="000000" w:themeColor="text1"/>
        </w:rPr>
      </w:pPr>
      <w:r>
        <w:rPr>
          <w:color w:val="000000" w:themeColor="text1"/>
        </w:rPr>
        <w:t xml:space="preserve">Numerical solutions for the </w:t>
      </w:r>
      <w:r>
        <w:rPr>
          <w:color w:val="5B9BD5" w:themeColor="accent5"/>
        </w:rPr>
        <w:t>Eqs</w:t>
      </w:r>
      <w:r>
        <w:rPr>
          <w:color w:val="000000" w:themeColor="text1"/>
        </w:rPr>
        <w:t xml:space="preserve">. </w:t>
      </w:r>
      <w:r>
        <w:rPr>
          <w:color w:val="5B9BD5" w:themeColor="accent5"/>
        </w:rPr>
        <w:t>(1</w:t>
      </w:r>
      <w:r>
        <w:rPr>
          <w:color w:val="000000" w:themeColor="text1"/>
        </w:rPr>
        <w:t xml:space="preserve"> – </w:t>
      </w:r>
      <w:r>
        <w:rPr>
          <w:color w:val="5B9BD5" w:themeColor="accent5"/>
        </w:rPr>
        <w:t>4)</w:t>
      </w:r>
      <w:r>
        <w:rPr>
          <w:color w:val="000000" w:themeColor="text1"/>
        </w:rPr>
        <w:t>, considering the initial and boundary conditions (</w:t>
      </w:r>
      <w:r>
        <w:rPr>
          <w:color w:val="5B9BD5" w:themeColor="accent5"/>
        </w:rPr>
        <w:t>17</w:t>
      </w:r>
      <w:r>
        <w:rPr>
          <w:color w:val="000000" w:themeColor="text1"/>
        </w:rPr>
        <w:t>), were computed employing COMSOL, a partial differential equations (PDEs) solver that utilizes the Galerkin weighted residual finite element approach is adapted. The flow is laminar and the fluid is assumed to be incompressible. The computational domain was subdivided to triangular elements, and various orders of triangular Lagrange finite elements were employed to represent the various flow variables throughout the computational domain. To handle the non-linear terms present in momentum equations, Newton iterative method was employed for simplifications.</w:t>
      </w:r>
      <w:bookmarkStart w:id="6" w:name="_Hlk165367949"/>
      <w:bookmarkEnd w:id="6"/>
    </w:p>
    <w:p>
      <w:pPr>
        <w:pStyle w:val="Normal"/>
        <w:ind w:firstLine="440"/>
        <w:rPr>
          <w:rFonts w:cs="" w:asciiTheme="majorBidi" w:cstheme="majorBidi" w:hAnsiTheme="majorBidi"/>
          <w:szCs w:val="22"/>
        </w:rPr>
      </w:pPr>
      <w:r>
        <w:rPr>
          <w:rFonts w:cs="" w:cstheme="majorBidi"/>
          <w:szCs w:val="22"/>
        </w:rPr>
        <w:t xml:space="preserve">Furthermore, another comparison of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rFonts w:cs="" w:cstheme="majorBidi"/>
          <w:szCs w:val="22"/>
        </w:rPr>
        <w:t xml:space="preserve"> is made among the current work and the one of Turan et al. </w:t>
      </w:r>
      <w:sdt>
        <w:sdtPr>
          <w:id w:val="1695364794"/>
        </w:sdtPr>
        <w:sdtContent>
          <w:r>
            <w:rPr>
              <w:rFonts w:cs="" w:cstheme="majorBidi"/>
              <w:color w:val="000000"/>
              <w:szCs w:val="22"/>
            </w:rPr>
            <w:t>[</w:t>
          </w:r>
          <w:r>
            <w:rPr>
              <w:rFonts w:cs="" w:cstheme="majorBidi"/>
              <w:color w:val="5B9BD5" w:themeColor="accent5"/>
              <w:szCs w:val="22"/>
            </w:rPr>
            <w:t>18</w:t>
          </w:r>
          <w:r>
            <w:rPr>
              <w:rFonts w:cs="" w:cstheme="majorBidi"/>
              <w:color w:val="000000"/>
              <w:szCs w:val="22"/>
            </w:rPr>
            <w:t>]</w:t>
          </w:r>
        </w:sdtContent>
      </w:sdt>
      <w:r>
        <w:rPr>
          <w:rFonts w:cs="" w:cstheme="majorBidi"/>
          <w:color w:val="000000"/>
          <w:szCs w:val="22"/>
        </w:rPr>
        <w:t xml:space="preserve"> for </w:t>
      </w:r>
      <w:r>
        <w:rPr>
          <w:rFonts w:cs="" w:cstheme="majorBidi"/>
          <w:color w:val="000000"/>
          <w:szCs w:val="22"/>
        </w:rPr>
        <w:t xml:space="preserve">various n and </w:t>
      </w:r>
      <w:r>
        <w:rPr/>
      </w:r>
      <m:oMath xmlns:m="http://schemas.openxmlformats.org/officeDocument/2006/math">
        <m:r>
          <w:rPr>
            <w:rFonts w:ascii="Cambria Math" w:hAnsi="Cambria Math"/>
          </w:rPr>
          <m:t xml:space="preserve">Ra</m:t>
        </m:r>
      </m:oMath>
      <w:r>
        <w:rPr>
          <w:rFonts w:cs="" w:cstheme="majorBidi"/>
          <w:color w:val="000000"/>
          <w:szCs w:val="22"/>
        </w:rPr>
        <w:t xml:space="preserve">, at </w:t>
      </w:r>
      <w:r>
        <w:rPr/>
      </w:r>
      <m:oMath xmlns:m="http://schemas.openxmlformats.org/officeDocument/2006/math">
        <m:r>
          <m:rPr>
            <m:lit/>
            <m:nor/>
          </m:rPr>
          <w:rPr>
            <w:rFonts w:ascii="Cambria Math" w:hAnsi="Cambria Math"/>
          </w:rPr>
          <m:t xml:space="preserve">φ </m:t>
        </m:r>
        <m:r>
          <m:rPr>
            <m:lit/>
            <m:nor/>
          </m:rPr>
          <w:rPr>
            <w:rFonts w:ascii="Cambria Math" w:hAnsi="Cambria Math"/>
          </w:rPr>
          <m:t xml:space="preserve">= 0</m:t>
        </m:r>
      </m:oMath>
      <w:r>
        <w:rPr>
          <w:rFonts w:eastAsia="" w:cs="" w:cstheme="majorBidi" w:eastAsiaTheme="minorEastAsia"/>
        </w:rPr>
        <w:t xml:space="preserve"> and </w:t>
      </w:r>
      <w:r>
        <w:rPr/>
      </w:r>
      <m:oMath xmlns:m="http://schemas.openxmlformats.org/officeDocument/2006/math">
        <m:r>
          <w:rPr>
            <w:rFonts w:ascii="Cambria Math" w:hAnsi="Cambria Math"/>
          </w:rPr>
          <m:t xml:space="preserve">Pr</m:t>
        </m:r>
        <m:r>
          <w:rPr>
            <w:rFonts w:ascii="Cambria Math" w:hAnsi="Cambria Math"/>
          </w:rPr>
          <m:t xml:space="preserve">=</m:t>
        </m:r>
        <m:r>
          <w:rPr>
            <w:rFonts w:ascii="Cambria Math" w:hAnsi="Cambria Math"/>
          </w:rPr>
          <m:t xml:space="preserve">100</m:t>
        </m:r>
      </m:oMath>
      <w:r>
        <w:rPr>
          <w:rFonts w:eastAsia="" w:cs="" w:cstheme="majorBidi" w:eastAsiaTheme="minorEastAsia"/>
        </w:rPr>
        <w:t xml:space="preserve"> is represented in </w:t>
      </w:r>
      <w:r>
        <w:rPr>
          <w:rFonts w:eastAsia="" w:cs="" w:cstheme="majorBidi" w:eastAsiaTheme="minorEastAsia"/>
          <w:color w:val="5B9BD5" w:themeColor="accent5"/>
        </w:rPr>
        <w:t>Table 3</w:t>
      </w:r>
      <w:r>
        <w:rPr>
          <w:rFonts w:eastAsia="" w:cs="" w:cstheme="majorBidi" w:eastAsiaTheme="minorEastAsia"/>
        </w:rPr>
        <w:t xml:space="preserve">. The results agree well with those </w:t>
      </w:r>
      <w:r>
        <w:rPr>
          <w:rFonts w:cs="" w:cstheme="majorBidi"/>
          <w:szCs w:val="22"/>
        </w:rPr>
        <w:t xml:space="preserve">of Turan et al. </w:t>
      </w:r>
      <w:sdt>
        <w:sdtPr>
          <w:id w:val="1936264118"/>
        </w:sdtPr>
        <w:sdtContent>
          <w:r>
            <w:rPr>
              <w:rFonts w:cs="" w:cstheme="majorBidi"/>
              <w:color w:val="000000"/>
              <w:szCs w:val="22"/>
            </w:rPr>
            <w:t>[</w:t>
          </w:r>
          <w:r>
            <w:rPr>
              <w:rFonts w:cs="" w:cstheme="majorBidi"/>
              <w:color w:val="5B9BD5" w:themeColor="accent5"/>
              <w:szCs w:val="22"/>
            </w:rPr>
            <w:t>18</w:t>
          </w:r>
          <w:r>
            <w:rPr>
              <w:rFonts w:cs="" w:cstheme="majorBidi"/>
              <w:color w:val="000000"/>
              <w:szCs w:val="22"/>
            </w:rPr>
            <w:t>]</w:t>
          </w:r>
        </w:sdtContent>
      </w:sdt>
      <w:r>
        <w:rPr>
          <w:rFonts w:cs="" w:cstheme="majorBidi"/>
          <w:szCs w:val="22"/>
        </w:rPr>
        <w:t xml:space="preserve">, </w:t>
      </w:r>
      <w:r>
        <w:rPr>
          <w:rFonts w:cs="" w:cstheme="majorBidi"/>
          <w:szCs w:val="22"/>
        </w:rPr>
        <w:t xml:space="preserve">for the highest error of no more than 0.61% recorded for </w:t>
      </w:r>
      <w:r>
        <w:rPr/>
      </w:r>
      <m:oMath xmlns:m="http://schemas.openxmlformats.org/officeDocument/2006/math">
        <m:sSup>
          <m:e>
            <m:r>
              <w:rPr>
                <w:rFonts w:ascii="Cambria Math" w:hAnsi="Cambria Math"/>
              </w:rPr>
              <m:t xml:space="preserve">Ra</m:t>
            </m:r>
            <m:r>
              <w:rPr>
                <w:rFonts w:ascii="Cambria Math" w:hAnsi="Cambria Math"/>
              </w:rPr>
              <m:t xml:space="preserve">=</m:t>
            </m:r>
            <m:r>
              <w:rPr>
                <w:rFonts w:ascii="Cambria Math" w:hAnsi="Cambria Math"/>
              </w:rPr>
              <m:t xml:space="preserve">10</m:t>
            </m:r>
          </m:e>
          <m:sup>
            <m:r>
              <w:rPr>
                <w:rFonts w:ascii="Cambria Math" w:hAnsi="Cambria Math"/>
              </w:rPr>
              <m:t xml:space="preserve">6</m:t>
            </m:r>
          </m:sup>
        </m:sSup>
      </m:oMath>
      <w:r>
        <w:rPr>
          <w:rFonts w:cs="" w:cstheme="majorBidi"/>
          <w:szCs w:val="22"/>
        </w:rPr>
        <w:t xml:space="preserve">and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oMath>
    </w:p>
    <w:p>
      <w:pPr>
        <w:pStyle w:val="Normal"/>
        <w:ind w:firstLine="440"/>
        <w:jc w:val="center"/>
        <w:rPr>
          <w:rFonts w:eastAsia="Times New Roman"/>
          <w:kern w:val="2"/>
          <w:szCs w:val="22"/>
          <w:lang w:eastAsia="en-US"/>
        </w:rPr>
      </w:pPr>
      <w:r>
        <w:rPr>
          <w:rFonts w:eastAsia="Times New Roman"/>
          <w:kern w:val="2"/>
          <w:szCs w:val="22"/>
          <w:lang w:eastAsia="en-US"/>
        </w:rPr>
      </w:r>
    </w:p>
    <w:p>
      <w:pPr>
        <w:pStyle w:val="Normal"/>
        <w:widowControl w:val="false"/>
        <w:snapToGrid w:val="false"/>
        <w:spacing w:before="240" w:after="60"/>
        <w:rPr>
          <w:b/>
          <w:b/>
          <w:color w:val="000000" w:themeColor="text1"/>
          <w:szCs w:val="22"/>
        </w:rPr>
      </w:pPr>
      <w:r>
        <w:rPr>
          <w:b/>
          <w:color w:val="000000" w:themeColor="text1"/>
          <w:szCs w:val="22"/>
        </w:rPr>
        <w:t>4 Results and discussion</w:t>
      </w:r>
    </w:p>
    <w:p>
      <w:pPr>
        <w:pStyle w:val="Normal"/>
        <w:ind w:firstLine="440"/>
        <w:rPr>
          <w:color w:val="000000" w:themeColor="text1"/>
        </w:rPr>
      </w:pPr>
      <w:r>
        <w:rPr>
          <w:color w:val="5B9BD5" w:themeColor="accent5"/>
        </w:rPr>
        <w:t xml:space="preserve">Fig. 3 </w:t>
      </w:r>
      <w:r>
        <w:rPr>
          <w:color w:val="000000" w:themeColor="text1"/>
        </w:rPr>
        <w:t>illustrates the changes of the mean Nusselt number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with the volume fraction (</w:t>
      </w:r>
      <w:r>
        <w:rPr/>
      </w:r>
      <m:oMath xmlns:m="http://schemas.openxmlformats.org/officeDocument/2006/math">
        <m:r>
          <w:rPr>
            <w:rFonts w:ascii="Cambria Math" w:hAnsi="Cambria Math"/>
          </w:rPr>
          <m:t xml:space="preserve">φ</m:t>
        </m:r>
      </m:oMath>
      <w:r>
        <w:rPr>
          <w:color w:val="000000" w:themeColor="text1"/>
        </w:rPr>
        <w:t xml:space="preserve">) of </w:t>
      </w:r>
      <w:r>
        <w:rPr/>
      </w:r>
      <m:oMath xmlns:m="http://schemas.openxmlformats.org/officeDocument/2006/math">
        <m:r>
          <w:rPr>
            <w:rFonts w:ascii="Cambria Math" w:hAnsi="Cambria Math"/>
          </w:rPr>
          <m:t xml:space="preserve">TiO</m:t>
        </m:r>
        <m:r>
          <w:rPr>
            <w:rFonts w:ascii="Cambria Math" w:hAnsi="Cambria Math"/>
          </w:rPr>
          <m:t xml:space="preserve">₂</m:t>
        </m:r>
      </m:oMath>
      <w:r>
        <w:rPr>
          <w:color w:val="000000" w:themeColor="text1"/>
        </w:rPr>
        <w:t xml:space="preserve">,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color w:val="000000" w:themeColor="text1"/>
        </w:rPr>
        <w:t xml:space="preserve">, and </w:t>
      </w:r>
      <w:r>
        <w:rPr/>
      </w:r>
      <m:oMath xmlns:m="http://schemas.openxmlformats.org/officeDocument/2006/math">
        <m:r>
          <w:rPr>
            <w:rFonts w:ascii="Cambria Math" w:hAnsi="Cambria Math"/>
          </w:rPr>
          <m:t xml:space="preserve">Cu</m:t>
        </m:r>
      </m:oMath>
      <w:r>
        <w:rPr>
          <w:color w:val="000000" w:themeColor="text1"/>
        </w:rPr>
        <w:t xml:space="preserve"> nanoparticles, considering various values of Rayleigh number (</w:t>
      </w:r>
      <w:r>
        <w:rPr/>
      </w:r>
      <m:oMath xmlns:m="http://schemas.openxmlformats.org/officeDocument/2006/math">
        <m:r>
          <w:rPr>
            <w:rFonts w:ascii="Cambria Math" w:hAnsi="Cambria Math"/>
          </w:rPr>
          <m:t xml:space="preserve">Ra</m:t>
        </m:r>
      </m:oMath>
      <w:r>
        <w:rPr>
          <w:color w:val="000000" w:themeColor="text1"/>
        </w:rPr>
        <w:t>) and power-law index (</w:t>
      </w:r>
      <w:r>
        <w:rPr/>
      </w:r>
      <m:oMath xmlns:m="http://schemas.openxmlformats.org/officeDocument/2006/math">
        <m:r>
          <w:rPr>
            <w:rFonts w:ascii="Cambria Math" w:hAnsi="Cambria Math"/>
          </w:rPr>
          <m:t xml:space="preserve">n</m:t>
        </m:r>
      </m:oMath>
      <w:r>
        <w:rPr>
          <w:color w:val="000000" w:themeColor="text1"/>
        </w:rPr>
        <w:t>). The examination of this figures shows that for all nanoparticles types, the mean Nusselt number has an upward trend as the nanoparticle volume fraction increases, this trend can be caused by the fact that raising this parameter enhances the thermal fluid conductivity, thereby resulting in an improvement in the energy transported by the nanofluid. Additionally, it also improves with the rise in (</w:t>
      </w:r>
      <w:r>
        <w:rPr/>
      </w:r>
      <m:oMath xmlns:m="http://schemas.openxmlformats.org/officeDocument/2006/math">
        <m:r>
          <w:rPr>
            <w:rFonts w:ascii="Cambria Math" w:hAnsi="Cambria Math"/>
          </w:rPr>
          <m:t xml:space="preserve">Ra</m:t>
        </m:r>
      </m:oMath>
      <w:r>
        <w:rPr>
          <w:color w:val="000000" w:themeColor="text1"/>
        </w:rPr>
        <w:t>) and a decrease in the (</w:t>
      </w:r>
      <w:r>
        <w:rPr/>
      </w:r>
      <m:oMath xmlns:m="http://schemas.openxmlformats.org/officeDocument/2006/math">
        <m:r>
          <w:rPr>
            <w:rFonts w:ascii="Cambria Math" w:hAnsi="Cambria Math"/>
          </w:rPr>
          <m:t xml:space="preserve">n</m:t>
        </m:r>
      </m:oMath>
      <w:r>
        <w:rPr>
          <w:color w:val="000000" w:themeColor="text1"/>
        </w:rPr>
        <w:t>). This reduction results in an amplification of the heat flux magnitude at the vertical walls.</w:t>
      </w:r>
    </w:p>
    <w:p>
      <w:pPr>
        <w:pStyle w:val="Normal"/>
        <w:ind w:firstLine="440"/>
        <w:rPr>
          <w:color w:val="000000" w:themeColor="text1"/>
        </w:rPr>
      </w:pPr>
      <w:r>
        <w:rPr>
          <w:color w:val="000000" w:themeColor="text1"/>
        </w:rPr>
        <w:t xml:space="preserve">It is apparent from </w:t>
      </w:r>
      <w:r>
        <w:rPr>
          <w:color w:val="5B9BD5" w:themeColor="accent5"/>
        </w:rPr>
        <w:t xml:space="preserve">Fig. 8 </w:t>
      </w:r>
      <w:r>
        <w:rPr>
          <w:color w:val="000000" w:themeColor="text1"/>
        </w:rPr>
        <w:t xml:space="preserve">that as the n value increases (decreases), the intensity </w:t>
      </w:r>
      <w:r>
        <w:rPr/>
      </w:r>
      <m:oMath xmlns:m="http://schemas.openxmlformats.org/officeDocument/2006/math">
        <m:sSub>
          <m:e>
            <m:r>
              <w:rPr>
                <w:rFonts w:ascii="Cambria Math" w:hAnsi="Cambria Math"/>
              </w:rPr>
              <m:t xml:space="preserve">ψ</m:t>
            </m:r>
          </m:e>
          <m:sub>
            <m:r>
              <w:rPr>
                <w:rFonts w:ascii="Cambria Math" w:hAnsi="Cambria Math"/>
              </w:rPr>
              <m:t xml:space="preserve">max</m:t>
            </m:r>
          </m:sub>
        </m:sSub>
      </m:oMath>
      <w:r>
        <w:rPr>
          <w:color w:val="000000" w:themeColor="text1"/>
        </w:rPr>
        <w:t xml:space="preserve"> decreases (increases) because of a decrease (increase) in convective transport strength relative to the resistance from the viscous flow. It is important to highlight that in the case of pseudoplastic or shear-thinning behavior, their reduced viscosity at higher shear rates allow for better flow and mixing within the fluid. This enhanced flow can facilitate the dissipation of heat from hot regions to cooler regions, resulting in a more uniform temperature distribution. This aspect underscores the favorable effect of shear-thinning heat transfer behavior, providing insights into the fluid dynamics that contribute to the observed heat transfer enhancements in the system.</w:t>
      </w:r>
    </w:p>
    <w:tbl>
      <w:tblPr>
        <w:tblStyle w:val="af2"/>
        <w:tblW w:w="8641" w:type="dxa"/>
        <w:jc w:val="center"/>
        <w:tblInd w:w="0" w:type="dxa"/>
        <w:tblCellMar>
          <w:top w:w="0" w:type="dxa"/>
          <w:left w:w="0" w:type="dxa"/>
          <w:bottom w:w="0" w:type="dxa"/>
          <w:right w:w="0" w:type="dxa"/>
        </w:tblCellMar>
        <w:tblLook w:val="04a0" w:noHBand="0" w:noVBand="1" w:firstColumn="1" w:lastRow="0" w:lastColumn="0" w:firstRow="1"/>
      </w:tblPr>
      <w:tblGrid>
        <w:gridCol w:w="421"/>
        <w:gridCol w:w="2793"/>
        <w:gridCol w:w="2719"/>
        <w:gridCol w:w="2707"/>
      </w:tblGrid>
      <w:tr>
        <w:trPr/>
        <w:tc>
          <w:tcPr>
            <w:tcW w:w="421"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0.5</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bl>
    <w:p>
      <w:pPr>
        <w:pStyle w:val="Normal"/>
        <w:ind w:firstLine="442"/>
        <w:jc w:val="center"/>
        <w:rPr>
          <w:color w:val="000000" w:themeColor="text1"/>
        </w:rPr>
      </w:pPr>
      <w:r>
        <w:rPr>
          <w:color w:val="000000" w:themeColor="text1"/>
        </w:rPr>
      </w:r>
    </w:p>
    <w:tbl>
      <w:tblPr>
        <w:tblStyle w:val="af2"/>
        <w:tblW w:w="8640" w:type="dxa"/>
        <w:jc w:val="center"/>
        <w:tblInd w:w="0" w:type="dxa"/>
        <w:tblCellMar>
          <w:top w:w="0" w:type="dxa"/>
          <w:left w:w="0" w:type="dxa"/>
          <w:bottom w:w="0" w:type="dxa"/>
          <w:right w:w="0" w:type="dxa"/>
        </w:tblCellMar>
        <w:tblLook w:val="04a0" w:noHBand="0" w:noVBand="1" w:firstColumn="1" w:lastRow="0" w:lastColumn="0" w:firstRow="1"/>
      </w:tblPr>
      <w:tblGrid>
        <w:gridCol w:w="469"/>
        <w:gridCol w:w="2737"/>
        <w:gridCol w:w="2714"/>
        <w:gridCol w:w="2719"/>
      </w:tblGrid>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0.5</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bl>
    <w:p>
      <w:pPr>
        <w:pStyle w:val="Normal"/>
        <w:ind w:firstLine="442"/>
        <w:jc w:val="center"/>
        <w:rPr>
          <w:color w:val="000000" w:themeColor="text1"/>
        </w:rPr>
      </w:pPr>
      <w:r>
        <w:rPr>
          <w:color w:val="000000" w:themeColor="text1"/>
        </w:rPr>
      </w:r>
    </w:p>
    <w:tbl>
      <w:tblPr>
        <w:tblStyle w:val="af2"/>
        <w:tblW w:w="8640" w:type="dxa"/>
        <w:jc w:val="center"/>
        <w:tblInd w:w="0" w:type="dxa"/>
        <w:tblCellMar>
          <w:top w:w="0" w:type="dxa"/>
          <w:left w:w="0" w:type="dxa"/>
          <w:bottom w:w="0" w:type="dxa"/>
          <w:right w:w="0" w:type="dxa"/>
        </w:tblCellMar>
        <w:tblLook w:val="04a0" w:noHBand="0" w:noVBand="1" w:firstColumn="1" w:lastRow="0" w:lastColumn="0" w:firstRow="1"/>
      </w:tblPr>
      <w:tblGrid>
        <w:gridCol w:w="2896"/>
        <w:gridCol w:w="2872"/>
        <w:gridCol w:w="2872"/>
      </w:tblGrid>
      <w:tr>
        <w:trPr>
          <w:trHeight w:val="20" w:hRule="atLeast"/>
        </w:trPr>
        <w:tc>
          <w:tcPr>
            <w:tcW w:w="2896"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c>
          <w:tcPr>
            <w:tcW w:w="2872"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c>
          <w:tcPr>
            <w:tcW w:w="2872"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r>
      <w:tr>
        <w:trPr/>
        <w:tc>
          <w:tcPr>
            <w:tcW w:w="2896" w:type="dxa"/>
            <w:tcBorders>
              <w:top w:val="nil"/>
              <w:left w:val="nil"/>
              <w:bottom w:val="nil"/>
              <w:right w:val="nil"/>
            </w:tcBorders>
          </w:tcPr>
          <w:p>
            <w:pPr>
              <w:pStyle w:val="Normal"/>
              <w:tabs>
                <w:tab w:val="clear" w:pos="306"/>
                <w:tab w:val="left" w:pos="2727" w:leader="none"/>
              </w:tabs>
              <w:spacing w:before="0" w:after="60"/>
              <w:rPr/>
            </w:pPr>
            <w:r>
              <w:rPr/>
            </w:r>
          </w:p>
        </w:tc>
        <w:tc>
          <w:tcPr>
            <w:tcW w:w="2872" w:type="dxa"/>
            <w:tcBorders>
              <w:top w:val="nil"/>
              <w:left w:val="nil"/>
              <w:bottom w:val="nil"/>
              <w:right w:val="nil"/>
            </w:tcBorders>
          </w:tcPr>
          <w:p>
            <w:pPr>
              <w:pStyle w:val="Normal"/>
              <w:tabs>
                <w:tab w:val="clear" w:pos="306"/>
                <w:tab w:val="left" w:pos="2727" w:leader="none"/>
              </w:tabs>
              <w:spacing w:before="0" w:after="60"/>
              <w:rPr/>
            </w:pPr>
            <w:r>
              <w:rPr/>
            </w:r>
          </w:p>
        </w:tc>
        <w:tc>
          <w:tcPr>
            <w:tcW w:w="2872" w:type="dxa"/>
            <w:tcBorders>
              <w:top w:val="nil"/>
              <w:left w:val="nil"/>
              <w:bottom w:val="nil"/>
              <w:right w:val="nil"/>
            </w:tcBorders>
          </w:tcPr>
          <w:p>
            <w:pPr>
              <w:pStyle w:val="Normal"/>
              <w:tabs>
                <w:tab w:val="clear" w:pos="306"/>
                <w:tab w:val="left" w:pos="2727" w:leader="none"/>
              </w:tabs>
              <w:spacing w:before="0" w:after="60"/>
              <w:rPr/>
            </w:pPr>
            <w:r>
              <w:rPr/>
            </w:r>
          </w:p>
        </w:tc>
      </w:tr>
    </w:tbl>
    <w:p>
      <w:pPr>
        <w:pStyle w:val="Normal"/>
        <w:ind w:firstLine="442"/>
        <w:jc w:val="center"/>
        <w:rPr>
          <w:color w:val="000000" w:themeColor="text1"/>
        </w:rPr>
      </w:pPr>
      <w:r>
        <w:rPr>
          <w:color w:val="000000" w:themeColor="text1"/>
        </w:rPr>
      </w:r>
    </w:p>
    <w:p>
      <w:pPr>
        <w:pStyle w:val="Normal"/>
        <w:ind w:firstLine="440"/>
        <w:rPr>
          <w:color w:val="000000" w:themeColor="text1"/>
        </w:rPr>
      </w:pPr>
      <w:r>
        <w:rPr>
          <w:color w:val="5B9BD5" w:themeColor="accent5"/>
        </w:rPr>
        <w:t xml:space="preserve">Fig. 10 </w:t>
      </w:r>
      <w:r>
        <w:rPr>
          <w:color w:val="000000" w:themeColor="text1"/>
        </w:rPr>
        <w:t xml:space="preserve">shows that, at a constant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rPr>
        <w:t xml:space="preserve"> and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0.04</m:t>
        </m:r>
      </m:oMath>
      <w:r>
        <w:rPr>
          <w:color w:val="000000" w:themeColor="text1"/>
        </w:rPr>
        <w:t xml:space="preserve">,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reduces with a higher index of power law (</w:t>
      </w:r>
      <w:r>
        <w:rPr/>
      </w:r>
      <m:oMath xmlns:m="http://schemas.openxmlformats.org/officeDocument/2006/math">
        <m:r>
          <w:rPr>
            <w:rFonts w:ascii="Cambria Math" w:hAnsi="Cambria Math"/>
          </w:rPr>
          <m:t xml:space="preserve">n</m:t>
        </m:r>
      </m:oMath>
      <w:r>
        <w:rPr>
          <w:color w:val="000000" w:themeColor="text1"/>
        </w:rPr>
        <w:t>) and smaller fin dimension (</w:t>
      </w:r>
      <w:r>
        <w:rPr/>
      </w:r>
      <m:oMath xmlns:m="http://schemas.openxmlformats.org/officeDocument/2006/math">
        <m:r>
          <w:rPr>
            <w:rFonts w:ascii="Cambria Math" w:hAnsi="Cambria Math"/>
          </w:rPr>
          <m:t xml:space="preserve">Ar</m:t>
        </m:r>
      </m:oMath>
      <w:r>
        <w:rPr>
          <w:color w:val="000000" w:themeColor="text1"/>
        </w:rPr>
        <w:t xml:space="preserve">). The impact of the fin's dimension is more pronounced for shear-thinning nanofluids compared to Newtonian and even more so compared to shear-thickening nanofluids. The highest </w:t>
      </w:r>
      <w:r>
        <w:rPr/>
      </w:r>
      <m:oMath xmlns:m="http://schemas.openxmlformats.org/officeDocument/2006/math">
        <m:r>
          <w:rPr>
            <w:rFonts w:ascii="Cambria Math" w:hAnsi="Cambria Math"/>
          </w:rPr>
          <m:t xml:space="preserve">Nu</m:t>
        </m:r>
      </m:oMath>
      <w:r>
        <w:rPr>
          <w:color w:val="000000" w:themeColor="text1"/>
        </w:rPr>
        <w:t xml:space="preserve"> is seen for shear-thinning nanofluid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oMath>
      <w:r>
        <w:rPr>
          <w:color w:val="000000" w:themeColor="text1"/>
        </w:rPr>
        <w:t xml:space="preserve"> and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r>
        <w:rPr>
          <w:color w:val="000000" w:themeColor="text1"/>
        </w:rPr>
        <w:t xml:space="preserve">, this combination yields the most efficient convective heat transfer under the specified conditions. These findings emphasize the significance of both rheological properties and fin geometry in influencing heat transfer efficiency within the cavity. </w:t>
      </w:r>
    </w:p>
    <w:p>
      <w:pPr>
        <w:pStyle w:val="Normal"/>
        <w:ind w:firstLine="440"/>
        <w:jc w:val="center"/>
        <w:rPr>
          <w:color w:val="000000" w:themeColor="text1"/>
        </w:rPr>
      </w:pPr>
      <w:r>
        <w:rPr/>
        <w:drawing>
          <wp:inline distT="0" distB="0" distL="0" distR="0">
            <wp:extent cx="3096260" cy="2602865"/>
            <wp:effectExtent l="0" t="0" r="0" b="0"/>
            <wp:docPr id="4" name="Image 15"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5" descr="Une image contenant texte, ligne, diagramme, Tracé&#10;&#10;Description générée automatiquement"/>
                    <pic:cNvPicPr>
                      <a:picLocks noChangeAspect="1" noChangeArrowheads="1"/>
                    </pic:cNvPicPr>
                  </pic:nvPicPr>
                  <pic:blipFill>
                    <a:blip r:embed="rId3"/>
                    <a:srcRect l="8243" t="8759" r="11803" b="3394"/>
                    <a:stretch>
                      <a:fillRect/>
                    </a:stretch>
                  </pic:blipFill>
                  <pic:spPr bwMode="auto">
                    <a:xfrm>
                      <a:off x="0" y="0"/>
                      <a:ext cx="3096260" cy="2602865"/>
                    </a:xfrm>
                    <a:prstGeom prst="rect">
                      <a:avLst/>
                    </a:prstGeom>
                  </pic:spPr>
                </pic:pic>
              </a:graphicData>
            </a:graphic>
          </wp:inline>
        </w:drawing>
      </w:r>
    </w:p>
    <w:p>
      <w:pPr>
        <w:pStyle w:val="Normal"/>
        <w:ind w:firstLine="442"/>
        <w:rPr>
          <w:color w:val="000000" w:themeColor="text1"/>
        </w:rPr>
      </w:pPr>
      <w:r>
        <w:rPr>
          <w:b/>
          <w:color w:val="000000" w:themeColor="text1"/>
          <w:szCs w:val="22"/>
        </w:rPr>
        <w:t>Figure 10:</w:t>
      </w:r>
      <w:r>
        <w:rPr>
          <w:color w:val="000000" w:themeColor="text1"/>
        </w:rPr>
        <w:t xml:space="preserve"> the chennai DDA bala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number. the </w:t>
      </w:r>
      <w:r>
        <w:rPr>
          <w:i/>
          <w:iCs/>
          <w:color w:val="000000" w:themeColor="text1"/>
        </w:rPr>
        <w:t>DDA</w:t>
      </w:r>
      <w:r>
        <w:rPr>
          <w:color w:val="000000" w:themeColor="text1"/>
        </w:rPr>
        <w:t xml:space="preserve"> in </w:t>
      </w:r>
      <w:r>
        <w:rPr>
          <w:i/>
          <w:iCs/>
          <w:color w:val="000000" w:themeColor="text1"/>
        </w:rPr>
        <w:t>bala</w:t>
      </w:r>
      <w:r>
        <w:rPr>
          <w:color w:val="000000" w:themeColor="text1"/>
        </w:rPr>
        <w:t xml:space="preserve"> at </w:t>
      </w:r>
      <w:r>
        <w:rPr>
          <w:i/>
          <w:iCs/>
          <w:color w:val="000000" w:themeColor="text1"/>
        </w:rPr>
        <w:t>various</w:t>
      </w:r>
      <w:r>
        <w:rPr>
          <w:color w:val="000000" w:themeColor="text1"/>
        </w:rPr>
        <w:t xml:space="preserve"> </w:t>
      </w:r>
      <w:r>
        <w:rPr/>
      </w:r>
      <m:oMath xmlns:m="http://schemas.openxmlformats.org/officeDocument/2006/math">
        <m:r>
          <w:rPr>
            <w:rFonts w:ascii="Cambria Math" w:hAnsi="Cambria Math"/>
          </w:rPr>
          <m:t xml:space="preserve">n</m:t>
        </m:r>
      </m:oMath>
      <w:r>
        <w:rPr>
          <w:color w:val="000000" w:themeColor="text1"/>
        </w:rPr>
        <w:t xml:space="preserve">, </w:t>
      </w:r>
      <w:r>
        <w:rPr/>
      </w:r>
      <m:oMath xmlns:m="http://schemas.openxmlformats.org/officeDocument/2006/math">
        <m:r>
          <w:rPr>
            <w:rFonts w:ascii="Cambria Math" w:hAnsi="Cambria Math"/>
          </w:rPr>
          <m:t xml:space="preserve">Ar</m:t>
        </m:r>
      </m:oMath>
      <w:r>
        <w:rPr>
          <w:color w:val="000000" w:themeColor="text1"/>
        </w:rPr>
        <w:t xml:space="preserve">, at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rPr>
        <w:t xml:space="preserve">,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0.04</m:t>
        </m:r>
      </m:oMath>
      <w:r>
        <w:rPr>
          <w:color w:val="000000" w:themeColor="text1"/>
        </w:rPr>
        <w:t xml:space="preserve"> for </w:t>
      </w:r>
      <w:r>
        <w:rPr/>
      </w:r>
      <m:oMath xmlns:m="http://schemas.openxmlformats.org/officeDocument/2006/math">
        <m:r>
          <w:rPr>
            <w:rFonts w:ascii="Cambria Math" w:hAnsi="Cambria Math"/>
          </w:rPr>
          <m:t xml:space="preserve">Cu</m:t>
        </m:r>
        <m:r>
          <w:rPr>
            <w:rFonts w:ascii="Cambria Math" w:hAnsi="Cambria Math"/>
          </w:rPr>
          <m:t xml:space="preserve">−</m:t>
        </m:r>
        <m:r>
          <w:rPr>
            <w:rFonts w:ascii="Cambria Math" w:hAnsi="Cambria Math"/>
          </w:rPr>
          <m:t xml:space="preserve">water</m:t>
        </m:r>
      </m:oMath>
      <w:r>
        <w:rPr>
          <w:color w:val="000000" w:themeColor="text1"/>
        </w:rPr>
        <w:t xml:space="preserve"> nanofluid.</w:t>
      </w:r>
    </w:p>
    <w:p>
      <w:pPr>
        <w:pStyle w:val="Normal"/>
        <w:widowControl w:val="false"/>
        <w:snapToGrid w:val="false"/>
        <w:spacing w:before="240" w:after="60"/>
        <w:rPr>
          <w:b/>
          <w:b/>
          <w:color w:val="000000" w:themeColor="text1"/>
          <w:szCs w:val="22"/>
        </w:rPr>
      </w:pPr>
      <w:r>
        <w:rPr>
          <w:b/>
          <w:color w:val="000000" w:themeColor="text1"/>
          <w:szCs w:val="22"/>
        </w:rPr>
        <w:t xml:space="preserve">5 </w:t>
      </w:r>
      <w:r>
        <w:rPr>
          <w:b/>
          <w:bCs/>
          <w:szCs w:val="22"/>
        </w:rPr>
        <w:t>Conclusions</w:t>
      </w:r>
    </w:p>
    <w:p>
      <w:pPr>
        <w:pStyle w:val="Normal"/>
        <w:widowControl w:val="false"/>
        <w:snapToGrid w:val="false"/>
        <w:ind w:firstLine="426"/>
        <w:rPr>
          <w:color w:val="000000" w:themeColor="text1"/>
          <w:w w:val="105"/>
        </w:rPr>
      </w:pPr>
      <w:r>
        <w:rPr>
          <w:color w:val="000000" w:themeColor="text1"/>
          <w:w w:val="105"/>
        </w:rPr>
        <w:t xml:space="preserve">In the current study, heat transfer by free convection for </w:t>
      </w:r>
      <w:r>
        <w:rPr/>
      </w:r>
      <m:oMath xmlns:m="http://schemas.openxmlformats.org/officeDocument/2006/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color w:val="000000" w:themeColor="text1"/>
          <w:w w:val="105"/>
        </w:rPr>
        <w:t xml:space="preserve">, </w:t>
      </w:r>
      <w:r>
        <w:rPr/>
      </w:r>
      <m:oMath xmlns:m="http://schemas.openxmlformats.org/officeDocument/2006/math">
        <m:r>
          <w:rPr>
            <w:rFonts w:ascii="Cambria Math" w:hAnsi="Cambria Math"/>
          </w:rPr>
          <m:t xml:space="preserve">Ti</m:t>
        </m:r>
        <m:sSub>
          <m:e>
            <m:r>
              <w:rPr>
                <w:rFonts w:ascii="Cambria Math" w:hAnsi="Cambria Math"/>
              </w:rPr>
              <m:t xml:space="preserve">O</m:t>
            </m:r>
          </m:e>
          <m:sub>
            <m:r>
              <w:rPr>
                <w:rFonts w:ascii="Cambria Math" w:hAnsi="Cambria Math"/>
              </w:rPr>
              <m:t xml:space="preserve">2</m:t>
            </m:r>
          </m:sub>
        </m:sSub>
      </m:oMath>
      <w:r>
        <w:rPr>
          <w:color w:val="000000" w:themeColor="text1"/>
          <w:w w:val="105"/>
        </w:rPr>
        <w:t xml:space="preserve"> and </w:t>
      </w:r>
      <w:r>
        <w:rPr/>
      </w:r>
      <m:oMath xmlns:m="http://schemas.openxmlformats.org/officeDocument/2006/math">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color w:val="000000" w:themeColor="text1"/>
          <w:w w:val="105"/>
        </w:rPr>
        <w:t xml:space="preserve"> power-law nanofluid in a square enclosure with the presence of a vertical fin was carried out. This study covered the relevant parameters within the following ranges: the index of power-law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color w:val="000000" w:themeColor="text1"/>
          <w:w w:val="105"/>
        </w:rPr>
        <w:t xml:space="preserve">),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w w:val="105"/>
        </w:rPr>
        <w:t>, the volume fractions ("φ"=0-20% ) and the dimensions of the fin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0.3,0</m:t>
        </m:r>
        <m:r>
          <w:rPr>
            <w:rFonts w:ascii="Cambria Math" w:hAnsi="Cambria Math"/>
          </w:rPr>
          <m:t xml:space="preserve">.5,0</m:t>
        </m:r>
        <m:r>
          <w:rPr>
            <w:rFonts w:ascii="Cambria Math" w:hAnsi="Cambria Math"/>
          </w:rPr>
          <m:t xml:space="preserve">.7</m:t>
        </m:r>
      </m:oMath>
      <w:r>
        <w:rPr>
          <w:color w:val="000000" w:themeColor="text1"/>
          <w:w w:val="105"/>
        </w:rPr>
        <w:t>).</w:t>
      </w:r>
    </w:p>
    <w:p>
      <w:pPr>
        <w:pStyle w:val="Normal"/>
        <w:widowControl w:val="false"/>
        <w:snapToGrid w:val="false"/>
        <w:ind w:firstLine="426"/>
        <w:rPr>
          <w:color w:val="000000" w:themeColor="text1"/>
          <w:w w:val="105"/>
        </w:rPr>
      </w:pPr>
      <w:r>
        <w:rPr>
          <w:iCs/>
        </w:rPr>
        <w:t>In summary, the improvement of heat transport in the square enclosure</w:t>
      </w:r>
      <w:r>
        <w:rPr>
          <w:rFonts w:ascii="Minion Pro" w:hAnsi="Minion Pro"/>
          <w:b/>
          <w:bCs/>
          <w:kern w:val="2"/>
          <w:sz w:val="28"/>
          <w:szCs w:val="28"/>
        </w:rPr>
        <w:t xml:space="preserve"> </w:t>
      </w:r>
      <w:r>
        <w:rPr>
          <w:iCs/>
        </w:rPr>
        <w:t xml:space="preserve">is represented by the increment of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iCs/>
        </w:rPr>
        <w:t xml:space="preserve">. It enhances with the decrease for index of power law, which speeds up the flow because of the reduction of the viscosity of the fluid, the increase of </w:t>
      </w:r>
      <w:r>
        <w:rPr/>
      </w:r>
      <m:oMath xmlns:m="http://schemas.openxmlformats.org/officeDocument/2006/math">
        <m:r>
          <w:rPr>
            <w:rFonts w:ascii="Cambria Math" w:hAnsi="Cambria Math"/>
          </w:rPr>
          <m:t xml:space="preserve">Ra</m:t>
        </m:r>
      </m:oMath>
      <w:r>
        <w:rPr>
          <w:iCs/>
        </w:rPr>
        <w:t xml:space="preserve"> which causes the change of the heat transport mechanism from conductive to convective, the rise of nanoparticles volume fractions and the enlargement of the vertical fin.</w:t>
      </w:r>
    </w:p>
    <w:p>
      <w:pPr>
        <w:pStyle w:val="Normal"/>
        <w:widowControl w:val="false"/>
        <w:snapToGrid w:val="false"/>
        <w:rPr>
          <w:color w:val="000000" w:themeColor="text1"/>
          <w:szCs w:val="22"/>
        </w:rPr>
      </w:pPr>
      <w:r>
        <w:rPr>
          <w:b/>
          <w:color w:val="000000" w:themeColor="text1"/>
          <w:szCs w:val="22"/>
        </w:rPr>
        <w:t>Acknowledgement:</w:t>
      </w:r>
      <w:r>
        <w:rPr>
          <w:color w:val="000000" w:themeColor="text1"/>
          <w:szCs w:val="22"/>
        </w:rPr>
        <w:t xml:space="preserve"> </w:t>
      </w:r>
      <w:r>
        <w:rPr>
          <w:bCs/>
          <w:iCs/>
        </w:rPr>
        <w:t>The authors gratefully acknowledge the LERMAB laboratory for fostering an enabling environment for this research and facilitating the first author’s participation in the conference in Italy. Special thanks are also due to Prof. Amina Sabeur (LSIM, UST d’Oran) and Dr. Dang Mao Nguyen (LERMAB, Université de Lorraine) for their valuable comments aimed at improving this paper. Additionally, the authors thank Dr. Mahmoud Eissa for his assistance with plagiarism-related matters</w:t>
      </w:r>
      <w:r>
        <w:rPr>
          <w:color w:val="000000" w:themeColor="text1"/>
          <w:szCs w:val="22"/>
        </w:rPr>
        <w:t>.</w:t>
      </w:r>
    </w:p>
    <w:p>
      <w:pPr>
        <w:pStyle w:val="Keyword"/>
        <w:widowControl w:val="false"/>
        <w:snapToGrid w:val="false"/>
        <w:spacing w:before="312" w:after="60"/>
        <w:rPr>
          <w:color w:val="000000" w:themeColor="text1"/>
          <w:szCs w:val="22"/>
        </w:rPr>
      </w:pPr>
      <w:r>
        <w:rPr>
          <w:b/>
          <w:bCs/>
          <w:color w:val="000000" w:themeColor="text1"/>
          <w:szCs w:val="22"/>
        </w:rPr>
        <w:t xml:space="preserve">Funding Statement: </w:t>
      </w:r>
      <w:r>
        <w:rPr>
          <w:iCs/>
        </w:rPr>
        <w:t>This research has received financial support by Campus France within the framework of the PHC-Maghreb 45990SH Project. The first author also receives support from the Tunisian Republic Ministry of Higher Education and Scientific Research for a part of her stay in France. We also acknowledge CRTEn for providing her some flight tickets</w:t>
      </w:r>
    </w:p>
    <w:p>
      <w:pPr>
        <w:pStyle w:val="Keyword"/>
        <w:widowControl w:val="false"/>
        <w:snapToGrid w:val="false"/>
        <w:spacing w:before="312" w:after="60"/>
        <w:rPr>
          <w:color w:val="000000" w:themeColor="text1"/>
          <w:szCs w:val="22"/>
        </w:rPr>
      </w:pPr>
      <w:r>
        <w:rPr>
          <w:b/>
          <w:bCs/>
          <w:iCs/>
          <w:color w:val="000000" w:themeColor="text1"/>
          <w:szCs w:val="22"/>
        </w:rPr>
        <w:t xml:space="preserve">Conflicts of Interest: </w:t>
      </w:r>
      <w:r>
        <w:rPr>
          <w:iCs/>
          <w:color w:val="000000" w:themeColor="text1"/>
          <w:szCs w:val="22"/>
        </w:rPr>
        <w:t>The authors declare that they have no conflicts of interest to report regarding the present study.</w:t>
      </w:r>
    </w:p>
    <w:p>
      <w:pPr>
        <w:pStyle w:val="Keyword"/>
        <w:widowControl w:val="false"/>
        <w:snapToGrid w:val="false"/>
        <w:spacing w:before="312" w:after="60"/>
        <w:rPr>
          <w:color w:val="000000" w:themeColor="text1"/>
          <w:szCs w:val="22"/>
        </w:rPr>
      </w:pPr>
      <w:r>
        <w:rPr>
          <w:b/>
          <w:bCs/>
          <w:color w:val="000000" w:themeColor="text1"/>
          <w:szCs w:val="22"/>
        </w:rPr>
        <w:t xml:space="preserve">Availability of Data and Materials: </w:t>
      </w:r>
      <w:r>
        <w:rPr>
          <w:iCs/>
        </w:rPr>
        <w:t>Should a request be made for data used in the study, the authors will endeavor to make the information available</w:t>
      </w:r>
      <w:r>
        <w:rPr>
          <w:color w:val="000000" w:themeColor="text1"/>
          <w:szCs w:val="22"/>
        </w:rPr>
        <w:t>.</w:t>
      </w:r>
    </w:p>
    <w:p>
      <w:pPr>
        <w:pStyle w:val="Keyword"/>
        <w:widowControl w:val="false"/>
        <w:snapToGrid w:val="false"/>
        <w:spacing w:before="312" w:after="60"/>
        <w:rPr>
          <w:lang w:val="en-GB"/>
        </w:rPr>
      </w:pPr>
      <w:r>
        <w:rPr>
          <w:b/>
          <w:bCs/>
          <w:color w:val="000000" w:themeColor="text1"/>
          <w:szCs w:val="22"/>
        </w:rPr>
        <w:t xml:space="preserve">Author Contributions: </w:t>
      </w:r>
      <w:r>
        <w:rPr>
          <w:color w:val="000000" w:themeColor="text1"/>
          <w:szCs w:val="22"/>
          <w:lang w:val="en-GB"/>
        </w:rPr>
        <w:t>The authors confirm contribution to the paper as follows: study conception and design: A. M’hadbi, H. Ben Hamed; numerical validation: A. M’hadbi, K. Chtaibi; data collection: A. M’hadbi; analysis and interpretation of results: A. M’hadbi, M. El Ganaoui, A. Guizani; draft manuscript preparation: A. M’hadbi. All authors reviewed the results and approved the final version of the manuscript.</w:t>
      </w:r>
    </w:p>
    <w:p>
      <w:pPr>
        <w:pStyle w:val="TextBody"/>
        <w:rPr>
          <w:rFonts w:eastAsia="宋体"/>
          <w:color w:val="auto"/>
          <w:lang w:eastAsia="zh-CN"/>
        </w:rPr>
      </w:pPr>
      <w:r>
        <w:rPr>
          <w:rFonts w:eastAsia="宋体"/>
          <w:color w:val="000000"/>
          <w:shd w:fill="auto" w:val="clear"/>
          <w:lang w:eastAsia="zh-CN"/>
        </w:rPr>
        <w:t>References</w:t>
      </w:r>
    </w:p>
    <w:p>
      <w:pPr>
        <w:pStyle w:val="Normal"/>
        <w:spacing w:before="0" w:after="60"/>
        <w:ind w:hanging="640"/>
        <w:rPr>
          <w:rFonts w:eastAsia="Times New Roman"/>
          <w:sz w:val="24"/>
          <w:szCs w:val="24"/>
        </w:rPr>
      </w:pPr>
      <w:r>
        <w:rPr>
          <w:rFonts w:eastAsia="Times New Roman"/>
        </w:rPr>
        <w:t>[1]</w:t>
        <w:tab/>
        <w:t xml:space="preserve">A. Baïri, E. Zarco-Pernia, and J. M. García De María, “A review on natural convection in enclosures for engineering applications. the particular case of the parallelogrammic diode cavity,” </w:t>
      </w:r>
      <w:r>
        <w:rPr>
          <w:rFonts w:eastAsia="Times New Roman"/>
          <w:i/>
          <w:iCs/>
        </w:rPr>
        <w:t>Applied Thermal Engineering</w:t>
      </w:r>
      <w:r>
        <w:rPr>
          <w:rFonts w:eastAsia="Times New Roman"/>
        </w:rPr>
        <w:t>, vol. 63, no. 1. Elsevier Ltd, pp. 304, Feb. 05, 2014. doi: 10.1016/j.applthermaleng.2013.10.065.</w:t>
      </w:r>
    </w:p>
    <w:sectPr>
      <w:headerReference w:type="even" r:id="rId4"/>
      <w:headerReference w:type="default" r:id="rId5"/>
      <w:headerReference w:type="first" r:id="rId6"/>
      <w:footerReference w:type="first" r:id="rId7"/>
      <w:type w:val="nextPage"/>
      <w:pgSz w:w="12240" w:h="15840"/>
      <w:pgMar w:left="1800" w:right="1800" w:header="567" w:top="1440" w:footer="0" w:bottom="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Liberation Sans">
    <w:altName w:val="Arial"/>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center"/>
      <w:tblInd w:w="0" w:type="dxa"/>
      <w:tblCellMar>
        <w:top w:w="0" w:type="dxa"/>
        <w:left w:w="108" w:type="dxa"/>
        <w:bottom w:w="0" w:type="dxa"/>
        <w:right w:w="108" w:type="dxa"/>
      </w:tblCellMar>
      <w:tblLook w:val="04a0" w:noHBand="0" w:noVBand="1" w:firstColumn="1" w:lastRow="0" w:lastColumn="0" w:firstRow="1"/>
    </w:tblPr>
    <w:tblGrid>
      <w:gridCol w:w="1806"/>
      <w:gridCol w:w="6833"/>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7"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6833"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spacing w:before="0" w:after="60"/>
      <w:rPr>
        <w:sz w:val="20"/>
      </w:rPr>
    </w:pPr>
    <w:r>
      <w:rPr>
        <w:sz w:val="20"/>
      </w:rPr>
      <w:fldChar w:fldCharType="begin"/>
    </w:r>
    <w:r>
      <w:rPr>
        <w:sz w:val="20"/>
      </w:rPr>
      <w:instrText> PAGE </w:instrText>
    </w:r>
    <w:r>
      <w:rPr>
        <w:sz w:val="20"/>
      </w:rPr>
      <w:fldChar w:fldCharType="separate"/>
    </w:r>
    <w:r>
      <w:rPr>
        <w:sz w:val="20"/>
      </w:rPr>
      <w:t>6</w:t>
    </w:r>
    <w:r>
      <w:rPr>
        <w:sz w:val="20"/>
      </w:rPr>
      <w:fldChar w:fldCharType="end"/>
    </w:r>
    <w:r>
      <w:rPr/>
      <w:t xml:space="preserve">                                                                    </w:t>
    </w:r>
    <w:r>
      <w:rPr>
        <w:sz w:val="20"/>
      </w:rPr>
      <w:t>FDMP, 202x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 xml:space="preserve">FDMP, 202x                                                                          </w:t>
    </w:r>
    <w:r>
      <w:rPr>
        <w:sz w:val="20"/>
      </w:rPr>
      <w:fldChar w:fldCharType="begin"/>
    </w:r>
    <w:r>
      <w:rPr>
        <w:sz w:val="20"/>
      </w:rPr>
      <w:instrText> PAGE </w:instrText>
    </w:r>
    <w:r>
      <w:rPr>
        <w:sz w:val="20"/>
      </w:rPr>
      <w:fldChar w:fldCharType="separate"/>
    </w:r>
    <w:r>
      <w:rPr>
        <w:sz w:val="20"/>
      </w:rPr>
      <w:t>7</w:t>
    </w:r>
    <w:r>
      <w:rPr>
        <w:sz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bookmarkStart w:id="7" w:name="_Hlk165292499"/>
    <w:bookmarkStart w:id="8" w:name="_Hlk165292719"/>
    <w:bookmarkStart w:id="9" w:name="_Hlk165292718"/>
    <w:bookmarkStart w:id="10" w:name="_Hlk165292500"/>
    <w:r>
      <w:rPr/>
      <w:drawing>
        <wp:anchor behindDoc="1" distT="0" distB="0" distL="0" distR="0" simplePos="0" locked="0" layoutInCell="1" allowOverlap="1" relativeHeight="2">
          <wp:simplePos x="0" y="0"/>
          <wp:positionH relativeFrom="column">
            <wp:posOffset>4161790</wp:posOffset>
          </wp:positionH>
          <wp:positionV relativeFrom="paragraph">
            <wp:posOffset>123190</wp:posOffset>
          </wp:positionV>
          <wp:extent cx="1287780" cy="192405"/>
          <wp:effectExtent l="0" t="0" r="0" b="0"/>
          <wp:wrapNone/>
          <wp:docPr id="5"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2054860" cy="511175"/>
          <wp:effectExtent l="0" t="0" r="0" b="0"/>
          <wp:docPr id="6" name="Image3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3" descr="文本&#10;&#10;描述已自动生成"/>
                  <pic:cNvPicPr>
                    <a:picLocks noChangeAspect="1" noChangeArrowheads="1"/>
                  </pic:cNvPicPr>
                </pic:nvPicPr>
                <pic:blipFill>
                  <a:blip r:embed="rId2"/>
                  <a:stretch>
                    <a:fillRect/>
                  </a:stretch>
                </pic:blipFill>
                <pic:spPr bwMode="auto">
                  <a:xfrm>
                    <a:off x="0" y="0"/>
                    <a:ext cx="2054860" cy="511175"/>
                  </a:xfrm>
                  <a:prstGeom prst="rect">
                    <a:avLst/>
                  </a:prstGeom>
                </pic:spPr>
              </pic:pic>
            </a:graphicData>
          </a:graphic>
        </wp:inline>
      </w:drawing>
    </w:r>
    <w:bookmarkEnd w:id="7"/>
    <w:bookmarkEnd w:id="8"/>
    <w:bookmarkEnd w:id="9"/>
    <w:bookmarkEnd w:id="10"/>
  </w:p>
</w:hdr>
</file>

<file path=word/settings.xml><?xml version="1.0" encoding="utf-8"?>
<w:settings xmlns:w="http://schemas.openxmlformats.org/wordprocessingml/2006/main">
  <w:zoom w:percent="120"/>
  <w:defaultTabStop w:val="306"/>
  <w:compat>
    <w:doNotExpandShiftReturn/>
  </w:compat>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5bc6"/>
    <w:pPr>
      <w:widowControl/>
      <w:suppressAutoHyphens w:val="true"/>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link w:val="10"/>
    <w:uiPriority w:val="9"/>
    <w:qFormat/>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semiHidden/>
    <w:unhideWhenUsed/>
    <w:qFormat/>
    <w:pPr>
      <w:keepNext w:val="true"/>
      <w:keepLines/>
      <w:spacing w:lineRule="auto" w:line="415" w:before="260" w:after="260"/>
      <w:outlineLvl w:val="1"/>
    </w:pPr>
    <w:rPr>
      <w:rFonts w:ascii="等线 Light" w:hAnsi="等线 Light" w:eastAsia=""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Hyperlink"/>
    <w:uiPriority w:val="99"/>
    <w:unhideWhenUsed/>
    <w:rPr>
      <w:color w:val="0000FF"/>
      <w:u w:val="single"/>
    </w:rPr>
  </w:style>
  <w:style w:type="character" w:styleId="Style12" w:customStyle="1">
    <w:name w:val="页眉 字符"/>
    <w:basedOn w:val="DefaultParagraphFont"/>
    <w:link w:val="a8"/>
    <w:uiPriority w:val="99"/>
    <w:qFormat/>
    <w:rPr>
      <w:sz w:val="18"/>
      <w:szCs w:val="18"/>
    </w:rPr>
  </w:style>
  <w:style w:type="character" w:styleId="Style13" w:customStyle="1">
    <w:name w:val="页脚 字符"/>
    <w:basedOn w:val="DefaultParagraphFont"/>
    <w:link w:val="a6"/>
    <w:uiPriority w:val="99"/>
    <w:qFormat/>
    <w:rPr>
      <w:sz w:val="18"/>
      <w:szCs w:val="18"/>
    </w:rPr>
  </w:style>
  <w:style w:type="character" w:styleId="2" w:customStyle="1">
    <w:name w:val="标题 2 字符"/>
    <w:basedOn w:val="DefaultParagraphFont"/>
    <w:link w:val="2"/>
    <w:uiPriority w:val="9"/>
    <w:semiHidden/>
    <w:qFormat/>
    <w:rPr>
      <w:rFonts w:ascii="等线 Light" w:hAnsi="等线 Light" w:eastAsia="" w:cs="" w:asciiTheme="majorHAnsi" w:cstheme="majorBidi" w:eastAsiaTheme="majorEastAsia" w:hAnsiTheme="majorHAnsi"/>
      <w:b/>
      <w:bCs/>
      <w:kern w:val="0"/>
      <w:sz w:val="32"/>
      <w:szCs w:val="32"/>
    </w:rPr>
  </w:style>
  <w:style w:type="character" w:styleId="1" w:customStyle="1">
    <w:name w:val="标题 1 字符"/>
    <w:basedOn w:val="DefaultParagraphFont"/>
    <w:link w:val="1"/>
    <w:uiPriority w:val="9"/>
    <w:qFormat/>
    <w:rPr>
      <w:rFonts w:ascii="Times New Roman" w:hAnsi="Times New Roman" w:eastAsia="宋体" w:cs="Times New Roman"/>
      <w:b/>
      <w:bCs/>
      <w:kern w:val="2"/>
      <w:sz w:val="44"/>
      <w:szCs w:val="44"/>
    </w:rPr>
  </w:style>
  <w:style w:type="character" w:styleId="Style14" w:customStyle="1">
    <w:name w:val="正文文本 字符"/>
    <w:basedOn w:val="DefaultParagraphFont"/>
    <w:link w:val="a4"/>
    <w:uiPriority w:val="1"/>
    <w:qFormat/>
    <w:rsid w:val="00b6145a"/>
    <w:rPr>
      <w:rFonts w:ascii="Times New Roman" w:hAnsi="Times New Roman" w:eastAsia="PMingLiU" w:cs="Times New Roman"/>
      <w:b/>
      <w:bCs/>
      <w:color w:val="FF0000"/>
      <w:sz w:val="22"/>
      <w:szCs w:val="22"/>
      <w:lang w:eastAsia="en-US"/>
    </w:rPr>
  </w:style>
  <w:style w:type="character" w:styleId="PlaceholderText">
    <w:name w:val="Placeholder Text"/>
    <w:basedOn w:val="DefaultParagraphFont"/>
    <w:uiPriority w:val="99"/>
    <w:unhideWhenUsed/>
    <w:qFormat/>
    <w:rsid w:val="004d15f5"/>
    <w:rPr>
      <w:color w:val="808080"/>
    </w:rPr>
  </w:style>
  <w:style w:type="character" w:styleId="Style15" w:customStyle="1">
    <w:name w:val="批注文字 字符"/>
    <w:basedOn w:val="DefaultParagraphFont"/>
    <w:link w:val="af"/>
    <w:uiPriority w:val="99"/>
    <w:qFormat/>
    <w:rsid w:val="00985bc6"/>
    <w:rPr>
      <w:rFonts w:ascii="Times New Roman" w:hAnsi="Times New Roman" w:eastAsia="宋体" w:cs="Times New Roman"/>
    </w:rPr>
  </w:style>
  <w:style w:type="character" w:styleId="Annotationreference">
    <w:name w:val="annotation reference"/>
    <w:uiPriority w:val="99"/>
    <w:semiHidden/>
    <w:unhideWhenUsed/>
    <w:qFormat/>
    <w:rsid w:val="00985bc6"/>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5"/>
    <w:autoRedefine/>
    <w:uiPriority w:val="1"/>
    <w:qFormat/>
    <w:rsid w:val="00b6145a"/>
    <w:pPr>
      <w:widowControl w:val="false"/>
      <w:snapToGrid w:val="false"/>
      <w:spacing w:before="312" w:after="156"/>
      <w:ind w:right="108" w:hanging="0"/>
      <w:jc w:val="left"/>
    </w:pPr>
    <w:rPr>
      <w:rFonts w:eastAsia="PMingLiU"/>
      <w:b/>
      <w:bCs/>
      <w:color w:val="FF0000"/>
      <w:szCs w:val="22"/>
      <w:shd w:fill="FFFFFF" w:val="clea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spacing w:before="120" w:after="120"/>
      <w:jc w:val="center"/>
    </w:pPr>
    <w:rPr>
      <w:b/>
    </w:rPr>
  </w:style>
  <w:style w:type="paragraph" w:styleId="HeaderandFooter">
    <w:name w:val="Header and Footer"/>
    <w:basedOn w:val="Normal"/>
    <w:qFormat/>
    <w:pPr/>
    <w:rPr/>
  </w:style>
  <w:style w:type="paragraph" w:styleId="Footer">
    <w:name w:val="Footer"/>
    <w:basedOn w:val="Normal"/>
    <w:link w:val="a7"/>
    <w:uiPriority w:val="99"/>
    <w:unhideWhenUsed/>
    <w:qFormat/>
    <w:pPr>
      <w:tabs>
        <w:tab w:val="clear" w:pos="306"/>
        <w:tab w:val="center" w:pos="4153" w:leader="none"/>
        <w:tab w:val="right" w:pos="8306" w:leader="none"/>
      </w:tabs>
      <w:snapToGrid w:val="false"/>
      <w:jc w:val="left"/>
    </w:pPr>
    <w:rPr>
      <w:sz w:val="18"/>
      <w:szCs w:val="18"/>
    </w:rPr>
  </w:style>
  <w:style w:type="paragraph" w:styleId="Header">
    <w:name w:val="Header"/>
    <w:basedOn w:val="Normal"/>
    <w:link w:val="a9"/>
    <w:uiPriority w:val="99"/>
    <w:unhideWhenUsed/>
    <w:pPr>
      <w:pBdr>
        <w:bottom w:val="single" w:sz="6" w:space="1" w:color="000000"/>
      </w:pBdr>
      <w:tabs>
        <w:tab w:val="clear" w:pos="306"/>
        <w:tab w:val="center" w:pos="4153" w:leader="none"/>
        <w:tab w:val="right" w:pos="8306" w:leader="none"/>
      </w:tabs>
      <w:snapToGrid w:val="false"/>
      <w:jc w:val="center"/>
    </w:pPr>
    <w:rPr>
      <w:sz w:val="18"/>
      <w:szCs w:val="18"/>
    </w:rPr>
  </w:style>
  <w:style w:type="paragraph" w:styleId="NormalWeb">
    <w:name w:val="Normal (Web)"/>
    <w:basedOn w:val="Normal"/>
    <w:autoRedefine/>
    <w:uiPriority w:val="99"/>
    <w:unhideWhenUsed/>
    <w:qFormat/>
    <w:pPr>
      <w:spacing w:beforeAutospacing="1" w:afterAutospacing="1"/>
      <w:jc w:val="left"/>
    </w:pPr>
    <w:rPr>
      <w:sz w:val="24"/>
      <w:szCs w:val="24"/>
    </w:rPr>
  </w:style>
  <w:style w:type="paragraph" w:styleId="Author" w:customStyle="1">
    <w:name w:val="author"/>
    <w:basedOn w:val="Heading2"/>
    <w:qFormat/>
    <w:pPr>
      <w:keepLines w:val="false"/>
      <w:tabs>
        <w:tab w:val="clear" w:pos="306"/>
        <w:tab w:val="left" w:pos="450" w:leader="none"/>
      </w:tabs>
      <w:spacing w:lineRule="auto" w:line="240" w:before="200" w:after="680"/>
      <w:jc w:val="center"/>
    </w:pPr>
    <w:rPr>
      <w:rFonts w:ascii="Times New Roman" w:hAnsi="Times New Roman" w:eastAsia="宋体" w:cs="Times New Roman"/>
      <w:bCs w:val="false"/>
      <w:i/>
      <w:sz w:val="20"/>
      <w:szCs w:val="20"/>
    </w:rPr>
  </w:style>
  <w:style w:type="paragraph" w:styleId="Keyword" w:customStyle="1">
    <w:name w:val="keyword"/>
    <w:basedOn w:val="Normal"/>
    <w:qFormat/>
    <w:pPr>
      <w:spacing w:before="280" w:after="60"/>
    </w:pPr>
    <w:rPr/>
  </w:style>
  <w:style w:type="paragraph" w:styleId="Equation" w:customStyle="1">
    <w:name w:val="equation"/>
    <w:basedOn w:val="Normal"/>
    <w:qFormat/>
    <w:pPr>
      <w:tabs>
        <w:tab w:val="clear" w:pos="306"/>
        <w:tab w:val="left" w:pos="4680" w:leader="none"/>
      </w:tabs>
      <w:spacing w:before="100" w:after="100"/>
    </w:pPr>
    <w:rPr/>
  </w:style>
  <w:style w:type="paragraph" w:styleId="ListParagraph">
    <w:name w:val="List Paragraph"/>
    <w:basedOn w:val="Normal"/>
    <w:uiPriority w:val="34"/>
    <w:qFormat/>
    <w:pPr>
      <w:ind w:firstLine="420"/>
    </w:pPr>
    <w:rPr/>
  </w:style>
  <w:style w:type="paragraph" w:styleId="Annotationtext">
    <w:name w:val="annotation text"/>
    <w:basedOn w:val="Normal"/>
    <w:link w:val="af0"/>
    <w:uiPriority w:val="99"/>
    <w:unhideWhenUsed/>
    <w:qFormat/>
    <w:rsid w:val="00985bc6"/>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Grilledutableau1">
    <w:name w:val="Grille du tableau1"/>
    <w:basedOn w:val="a1"/>
    <w:uiPriority w:val="39"/>
    <w:rsid w:val="00985bc6"/>
    <w:rPr>
      <w:lang w:val="fr-FR"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2">
    <w:name w:val="Table Grid"/>
    <w:basedOn w:val="a1"/>
    <w:uiPriority w:val="39"/>
    <w:qFormat/>
    <w:rsid w:val="00985b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F6B2D294914164AC3E735C1F44B22D"/>
        <w:category>
          <w:name w:val="Général"/>
          <w:gallery w:val="placeholder"/>
        </w:category>
        <w:types>
          <w:type w:val="bbPlcHdr"/>
        </w:types>
        <w:behaviors>
          <w:behavior w:val="content"/>
        </w:behaviors>
        <w:guid w:val="{2C0EBAC6-E004-4DA1-A151-AD877F545739}"/>
      </w:docPartPr>
      <w:docPartBody>
        <w:p w:rsidR="00394109" w:rsidRDefault="00F20306" w:rsidP="00F20306">
          <w:pPr>
            <w:pStyle w:val="2CF6B2D294914164AC3E735C1F44B22D"/>
          </w:pPr>
          <w:r w:rsidRPr="00817527">
            <w:rPr>
              <w:rStyle w:val="a3"/>
            </w:rPr>
            <w:t>Cliquez ou appuyez ici pour entrer du texte.</w:t>
          </w:r>
        </w:p>
      </w:docPartBody>
    </w:docPart>
    <w:docPart>
      <w:docPartPr>
        <w:name w:val="4C3A0CC6E53F41A9B00591DDE16EEBAF"/>
        <w:category>
          <w:name w:val="Général"/>
          <w:gallery w:val="placeholder"/>
        </w:category>
        <w:types>
          <w:type w:val="bbPlcHdr"/>
        </w:types>
        <w:behaviors>
          <w:behavior w:val="content"/>
        </w:behaviors>
        <w:guid w:val="{39BBEDFD-270D-49BE-BF2E-649B15EC2AD9}"/>
      </w:docPartPr>
      <w:docPartBody>
        <w:p w:rsidR="00394109" w:rsidRDefault="00F20306" w:rsidP="00F20306">
          <w:pPr>
            <w:pStyle w:val="4C3A0CC6E53F41A9B00591DDE16EEBAF"/>
          </w:pPr>
          <w:r w:rsidRPr="00817527">
            <w:rPr>
              <w:rStyle w:val="a3"/>
            </w:rPr>
            <w:t>Cliquez ou appuyez ici pour entrer du texte.</w:t>
          </w:r>
        </w:p>
      </w:docPartBody>
    </w:docPart>
    <w:docPart>
      <w:docPartPr>
        <w:name w:val="6DCD54BA51CA43BEB5404E1782C7585D"/>
        <w:category>
          <w:name w:val="Général"/>
          <w:gallery w:val="placeholder"/>
        </w:category>
        <w:types>
          <w:type w:val="bbPlcHdr"/>
        </w:types>
        <w:behaviors>
          <w:behavior w:val="content"/>
        </w:behaviors>
        <w:guid w:val="{823D0947-7BA7-4FCC-9528-6408AE51ECD6}"/>
      </w:docPartPr>
      <w:docPartBody>
        <w:p w:rsidR="00394109" w:rsidRDefault="00F20306" w:rsidP="00F20306">
          <w:pPr>
            <w:pStyle w:val="6DCD54BA51CA43BEB5404E1782C7585D"/>
          </w:pPr>
          <w:r w:rsidRPr="00817527">
            <w:rPr>
              <w:rStyle w:val="a3"/>
            </w:rPr>
            <w:t>Cliquez ou appuyez ici pour entrer du texte.</w:t>
          </w:r>
        </w:p>
      </w:docPartBody>
    </w:docPart>
    <w:docPart>
      <w:docPartPr>
        <w:name w:val="DefaultPlaceholder_-1854013440"/>
        <w:category>
          <w:name w:val="Général"/>
          <w:gallery w:val="placeholder"/>
        </w:category>
        <w:types>
          <w:type w:val="bbPlcHdr"/>
        </w:types>
        <w:behaviors>
          <w:behavior w:val="content"/>
        </w:behaviors>
        <w:guid w:val="{E5B5EA83-D00D-4191-8711-38DC4BC92746}"/>
      </w:docPartPr>
      <w:docPartBody>
        <w:p w:rsidR="003F45F1" w:rsidRDefault="000672D4">
          <w:r w:rsidRPr="00C37BE3">
            <w:rPr>
              <w:rStyle w:val="a3"/>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06"/>
    <w:rsid w:val="000672D4"/>
    <w:rsid w:val="001E030C"/>
    <w:rsid w:val="00224C03"/>
    <w:rsid w:val="002B43F3"/>
    <w:rsid w:val="0037740E"/>
    <w:rsid w:val="00394109"/>
    <w:rsid w:val="003F45F1"/>
    <w:rsid w:val="00586397"/>
    <w:rsid w:val="007140E2"/>
    <w:rsid w:val="00B97D3A"/>
    <w:rsid w:val="00D11494"/>
    <w:rsid w:val="00F20306"/>
    <w:rsid w:val="00F8186A"/>
    <w:rsid w:val="00FD723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0672D4"/>
    <w:rPr>
      <w:color w:val="808080"/>
    </w:rPr>
  </w:style>
  <w:style w:type="paragraph" w:customStyle="1" w:styleId="2CF6B2D294914164AC3E735C1F44B22D">
    <w:name w:val="2CF6B2D294914164AC3E735C1F44B22D"/>
    <w:rsid w:val="00F20306"/>
  </w:style>
  <w:style w:type="paragraph" w:customStyle="1" w:styleId="4C3A0CC6E53F41A9B00591DDE16EEBAF">
    <w:name w:val="4C3A0CC6E53F41A9B00591DDE16EEBAF"/>
    <w:rsid w:val="00F20306"/>
  </w:style>
  <w:style w:type="paragraph" w:customStyle="1" w:styleId="6DCD54BA51CA43BEB5404E1782C7585D">
    <w:name w:val="6DCD54BA51CA43BEB5404E1782C7585D"/>
    <w:rsid w:val="00F20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5B2B095-8119-4B74-836F-07977618DC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4333</TotalTime>
  <Application>LibreOffice/6.4.7.2$Linux_X86_64 LibreOffice_project/40$Build-2</Application>
  <Pages>7</Pages>
  <Words>1827</Words>
  <Characters>10490</Characters>
  <CharactersWithSpaces>12604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2024-05-14T11:50:00Z</dcterms:created>
  <dc:creator>Zillah Zillah</dc:creator>
  <dc:description/>
  <dc:language>en-US</dc:language>
  <cp:lastModifiedBy/>
  <cp:lastPrinted>2022-01-07T06:24:00Z</cp:lastPrinted>
  <dcterms:modified xsi:type="dcterms:W3CDTF">2024-07-16T15:01:26Z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5dc6c726d212ea62b744259302d5ea0cb4b223b9792e0b5cdccf0d638d2a38a0</vt:lpwstr>
  </property>
  <property fmtid="{D5CDD505-2E9C-101B-9397-08002B2CF9AE}" pid="5" name="HyperlinksChanged">
    <vt:bool>0</vt:bool>
  </property>
  <property fmtid="{D5CDD505-2E9C-101B-9397-08002B2CF9AE}" pid="6" name="ICV">
    <vt:lpwstr>27F99DEBD0CE41D3819D2CC25F4E6165_12</vt:lpwstr>
  </property>
  <property fmtid="{D5CDD505-2E9C-101B-9397-08002B2CF9AE}" pid="7" name="KSOProductBuildVer">
    <vt:lpwstr>2052-12.1.0.16120</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