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0"/>
        </w:pBdr>
        <w:tabs>
          <w:tab w:val="clear" w:pos="720"/>
          <w:tab w:val="left" w:pos="8100" w:leader="none"/>
        </w:tabs>
        <w:spacing w:lineRule="auto" w:line="240"/>
        <w:rPr>
          <w:rFonts w:ascii="Minion Pro" w:hAnsi="Minion Pro" w:cs="Arial"/>
          <w:color w:val="000000" w:themeColor="text1"/>
          <w:sz w:val="18"/>
          <w:szCs w:val="18"/>
        </w:rPr>
      </w:pPr>
      <w:r>
        <w:rPr>
          <w:rFonts w:cs="Arial" w:ascii="Minion Pro" w:hAnsi="Minion Pro"/>
          <w:color w:val="000000" w:themeColor="text1"/>
          <w:sz w:val="18"/>
          <w:szCs w:val="18"/>
        </w:rPr>
        <w:t>DOI: XXXXX</w:t>
      </w:r>
    </w:p>
    <w:p>
      <w:pPr>
        <w:pStyle w:val="TextBody"/>
        <w:snapToGrid w:val="false"/>
        <w:ind w:left="0" w:hanging="0"/>
        <w:rPr>
          <w:rFonts w:ascii="Minion Pro" w:hAnsi="Minion Pro" w:eastAsia="等线" w:eastAsiaTheme="minorEastAsia"/>
          <w:color w:val="000000" w:themeColor="text1"/>
          <w:lang w:eastAsia="zh-CN"/>
        </w:rPr>
      </w:pPr>
      <w:r>
        <w:rPr>
          <w:rFonts w:eastAsia="等线" w:eastAsiaTheme="minorEastAsia" w:ascii="Minion Pro" w:hAnsi="Minion Pro"/>
          <w:color w:val="000000" w:themeColor="text1"/>
          <w:lang w:eastAsia="zh-CN"/>
        </w:rPr>
      </w:r>
    </w:p>
    <w:p>
      <w:pPr>
        <w:pStyle w:val="Normal"/>
        <w:tabs>
          <w:tab w:val="clear" w:pos="720"/>
          <w:tab w:val="left" w:pos="440" w:leader="none"/>
        </w:tabs>
        <w:snapToGrid w:val="false"/>
        <w:spacing w:lineRule="auto" w:line="240" w:before="0" w:after="120"/>
        <w:rPr>
          <w:rFonts w:ascii="Minion Pro" w:hAnsi="Minion Pro" w:cs="Arial"/>
          <w:color w:val="000000" w:themeColor="text1"/>
          <w:sz w:val="18"/>
          <w:szCs w:val="18"/>
        </w:rPr>
      </w:pPr>
      <w:r>
        <w:rPr>
          <w:rFonts w:cs="Arial" w:ascii="Minion Pro" w:hAnsi="Minion Pro"/>
          <w:b/>
          <w:bCs/>
          <w:color w:val="000000" w:themeColor="text1"/>
          <w:sz w:val="18"/>
          <w:szCs w:val="18"/>
          <w:u w:val="single"/>
        </w:rPr>
        <w:t>ARTICLE</w:t>
      </w:r>
    </w:p>
    <w:p>
      <w:pPr>
        <w:pStyle w:val="Normal"/>
        <w:rPr/>
      </w:pPr>
      <w:r>
        <w:rPr>
          <w:rFonts w:eastAsia="PMingLiU" w:cs="PMingLiU" w:ascii="Minion Pro" w:hAnsi="Minion Pro"/>
          <w:b/>
          <w:bCs/>
          <w:color w:val="000000" w:themeColor="text1"/>
          <w:w w:val="110"/>
          <w:sz w:val="52"/>
          <w:szCs w:val="52"/>
          <w:lang w:val="en-US"/>
        </w:rPr>
        <w:t>Association between meeting 24-hour movement guidelines and psychological features of Chinese Emerging Adults</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 xml:space="preserve">Yanjie Zhang </w:t>
      </w:r>
      <w:r>
        <w:rPr>
          <w:rFonts w:cs="Times New Roman" w:ascii="Minion Pro" w:hAnsi="Minion Pro"/>
          <w:bCs/>
          <w:sz w:val="24"/>
          <w:szCs w:val="24"/>
          <w:vertAlign w:val="superscript"/>
          <w:lang w:val="en-US"/>
        </w:rPr>
        <w:t>1,2</w:t>
      </w:r>
      <w:r>
        <w:rPr>
          <w:rFonts w:cs="Times New Roman" w:ascii="Minion Pro" w:hAnsi="Minion Pro"/>
          <w:b/>
          <w:bCs/>
          <w:sz w:val="24"/>
          <w:szCs w:val="24"/>
          <w:lang w:val="en-US"/>
        </w:rPr>
        <w:t xml:space="preserve">, Jin Kuang </w:t>
      </w:r>
      <w:r>
        <w:rPr>
          <w:rFonts w:cs="Times New Roman" w:ascii="Minion Pro" w:hAnsi="Minion Pro"/>
          <w:bCs/>
          <w:sz w:val="24"/>
          <w:szCs w:val="24"/>
          <w:vertAlign w:val="superscript"/>
          <w:lang w:val="en-US"/>
        </w:rPr>
        <w:t>3</w:t>
      </w:r>
      <w:r>
        <w:rPr>
          <w:rFonts w:cs="Times New Roman" w:ascii="Minion Pro" w:hAnsi="Minion Pro"/>
          <w:b/>
          <w:bCs/>
          <w:sz w:val="24"/>
          <w:szCs w:val="24"/>
          <w:lang w:val="en-US"/>
        </w:rPr>
        <w:t xml:space="preserve">, Xun Luo </w:t>
      </w:r>
      <w:r>
        <w:rPr>
          <w:rFonts w:cs="Times New Roman" w:ascii="Minion Pro" w:hAnsi="Minion Pro"/>
          <w:bCs/>
          <w:sz w:val="24"/>
          <w:szCs w:val="24"/>
          <w:vertAlign w:val="superscript"/>
          <w:lang w:val="en-US"/>
        </w:rPr>
        <w:t>1,2</w:t>
      </w:r>
      <w:r>
        <w:rPr>
          <w:rFonts w:cs="Times New Roman" w:ascii="Minion Pro" w:hAnsi="Minion Pro"/>
          <w:b/>
          <w:bCs/>
          <w:sz w:val="24"/>
          <w:szCs w:val="24"/>
          <w:lang w:val="en-US"/>
        </w:rPr>
        <w:t xml:space="preserve">, Mengxian Zhao </w:t>
      </w:r>
      <w:r>
        <w:rPr>
          <w:rFonts w:cs="Times New Roman" w:ascii="Minion Pro" w:hAnsi="Minion Pro"/>
          <w:bCs/>
          <w:sz w:val="24"/>
          <w:szCs w:val="24"/>
          <w:vertAlign w:val="superscript"/>
          <w:lang w:val="en-US"/>
        </w:rPr>
        <w:t>4</w:t>
      </w:r>
      <w:r>
        <w:rPr>
          <w:rFonts w:cs="Times New Roman" w:ascii="Minion Pro" w:hAnsi="Minion Pro"/>
          <w:b/>
          <w:bCs/>
          <w:sz w:val="24"/>
          <w:szCs w:val="24"/>
          <w:lang w:val="en-US"/>
        </w:rPr>
        <w:t xml:space="preserve">, Xiaolei Liu </w:t>
      </w:r>
      <w:r>
        <w:rPr>
          <w:rFonts w:cs="Times New Roman" w:ascii="Minion Pro" w:hAnsi="Minion Pro"/>
          <w:bCs/>
          <w:sz w:val="24"/>
          <w:szCs w:val="24"/>
          <w:vertAlign w:val="superscript"/>
          <w:lang w:val="en-US"/>
        </w:rPr>
        <w:t>5*</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1 </w:t>
      </w:r>
      <w:r>
        <w:rPr>
          <w:rFonts w:cs="Times New Roman" w:ascii="Minion Pro" w:hAnsi="Minion Pro"/>
          <w:bCs/>
          <w:sz w:val="19"/>
          <w:szCs w:val="19"/>
          <w:lang w:val="en-US"/>
        </w:rPr>
        <w:t>Physical Education Unit, School of Humanities and Social Science, Chinese University of Hong Kong–Shenzhen, Shenzhen,</w:t>
      </w:r>
      <w:r>
        <w:rPr>
          <w:rFonts w:cs="Arial" w:ascii="Minion Pro" w:hAnsi="Minion Pro"/>
          <w:color w:val="000000" w:themeColor="text1"/>
          <w:sz w:val="19"/>
          <w:szCs w:val="19"/>
        </w:rPr>
        <w:t xml:space="preserve"> </w:t>
      </w:r>
      <w:r>
        <w:rPr>
          <w:rFonts w:cs="Times New Roman" w:ascii="Minion Pro" w:hAnsi="Minion Pro"/>
          <w:bCs/>
          <w:sz w:val="19"/>
          <w:szCs w:val="19"/>
          <w:lang w:val="en-US"/>
        </w:rPr>
        <w:t>518172, 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2 </w:t>
      </w:r>
      <w:r>
        <w:rPr>
          <w:rFonts w:cs="Times New Roman" w:ascii="Minion Pro" w:hAnsi="Minion Pro"/>
          <w:bCs/>
          <w:sz w:val="19"/>
          <w:szCs w:val="19"/>
          <w:lang w:val="en-US"/>
        </w:rPr>
        <w:t xml:space="preserve">Physical Activity and Health Promotion Laboratory, </w:t>
      </w:r>
      <w:bookmarkStart w:id="0" w:name="OLE_LINK25"/>
      <w:bookmarkStart w:id="1" w:name="OLE_LINK26"/>
      <w:r>
        <w:rPr>
          <w:rFonts w:cs="Times New Roman" w:ascii="Minion Pro" w:hAnsi="Minion Pro"/>
          <w:bCs/>
          <w:sz w:val="19"/>
          <w:szCs w:val="19"/>
          <w:lang w:val="en-US"/>
        </w:rPr>
        <w:t>Chinese University of Hong Kong–Shenzhen</w:t>
      </w:r>
      <w:bookmarkEnd w:id="0"/>
      <w:bookmarkEnd w:id="1"/>
      <w:r>
        <w:rPr>
          <w:rFonts w:cs="Times New Roman" w:ascii="Minion Pro" w:hAnsi="Minion Pro"/>
          <w:bCs/>
          <w:sz w:val="19"/>
          <w:szCs w:val="19"/>
          <w:lang w:val="en-US"/>
        </w:rPr>
        <w:t>, Shenzhen, 518172</w:t>
      </w:r>
      <w:r>
        <w:rPr>
          <w:rFonts w:cs="Arial" w:ascii="Minion Pro" w:hAnsi="Minion Pro"/>
          <w:color w:val="000000" w:themeColor="text1"/>
          <w:sz w:val="19"/>
          <w:szCs w:val="19"/>
        </w:rPr>
        <w:t xml:space="preserve">,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3 </w:t>
      </w:r>
      <w:r>
        <w:rPr>
          <w:rFonts w:cs="Times New Roman" w:ascii="Minion Pro" w:hAnsi="Minion Pro"/>
          <w:bCs/>
          <w:sz w:val="19"/>
          <w:szCs w:val="19"/>
          <w:lang w:val="en-US"/>
        </w:rPr>
        <w:t xml:space="preserve">Body-Brain-Mind Laboratory, School of Psychology, Shenzhen University, Shenzhen, </w:t>
      </w:r>
      <w:r>
        <w:rPr>
          <w:rFonts w:cs="Arial" w:ascii="Minion Pro" w:hAnsi="Minion Pro"/>
          <w:color w:val="000000" w:themeColor="text1"/>
          <w:sz w:val="19"/>
          <w:szCs w:val="19"/>
        </w:rPr>
        <w:t xml:space="preserve">518060,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4 </w:t>
      </w:r>
      <w:r>
        <w:rPr>
          <w:rFonts w:cs="Times New Roman" w:ascii="Minion Pro" w:hAnsi="Minion Pro"/>
          <w:bCs/>
          <w:sz w:val="19"/>
          <w:szCs w:val="19"/>
          <w:lang w:val="en-US"/>
        </w:rPr>
        <w:t xml:space="preserve">School of Physical Education, Shenzhen University, Shenzhen, </w:t>
      </w:r>
      <w:r>
        <w:rPr>
          <w:rFonts w:cs="Arial" w:ascii="Minion Pro" w:hAnsi="Minion Pro"/>
          <w:color w:val="000000" w:themeColor="text1"/>
          <w:sz w:val="19"/>
          <w:szCs w:val="19"/>
        </w:rPr>
        <w:t xml:space="preserve">518060, </w:t>
      </w:r>
      <w:r>
        <w:rPr>
          <w:rFonts w:cs="Times New Roman" w:ascii="Minion Pro" w:hAnsi="Minion Pro"/>
          <w:bCs/>
          <w:sz w:val="19"/>
          <w:szCs w:val="19"/>
          <w:lang w:val="en-US"/>
        </w:rPr>
        <w:t>China</w:t>
      </w:r>
    </w:p>
    <w:p>
      <w:pPr>
        <w:pStyle w:val="Normal"/>
        <w:widowControl w:val="false"/>
        <w:spacing w:lineRule="auto" w:line="240" w:before="0" w:after="120"/>
        <w:jc w:val="both"/>
        <w:rPr>
          <w:rFonts w:ascii="Minion Pro" w:hAnsi="Minion Pro" w:cs="Times New Roman"/>
          <w:bCs/>
          <w:sz w:val="19"/>
          <w:szCs w:val="19"/>
          <w:lang w:val="en-US"/>
        </w:rPr>
      </w:pPr>
      <w:r>
        <w:rPr>
          <w:rFonts w:cs="Times New Roman" w:ascii="Minion Pro" w:hAnsi="Minion Pro"/>
          <w:bCs/>
          <w:sz w:val="19"/>
          <w:szCs w:val="19"/>
          <w:vertAlign w:val="superscript"/>
          <w:lang w:val="en-US"/>
        </w:rPr>
        <w:t xml:space="preserve">5 </w:t>
      </w:r>
      <w:r>
        <w:rPr>
          <w:rFonts w:cs="Times New Roman" w:ascii="Minion Pro" w:hAnsi="Minion Pro"/>
          <w:bCs/>
          <w:sz w:val="19"/>
          <w:szCs w:val="19"/>
          <w:lang w:val="en-US"/>
        </w:rPr>
        <w:t>Chinese Traditional Regimen Exercise Intervention Research Center, Beijing Sport University, Beijing, 100084, China</w:t>
      </w:r>
    </w:p>
    <w:p>
      <w:pPr>
        <w:pStyle w:val="Normal"/>
        <w:snapToGrid w:val="false"/>
        <w:spacing w:before="0" w:after="120"/>
        <w:rPr>
          <w:rFonts w:cs="Times New Roman"/>
          <w:bCs/>
          <w:lang w:val="en-US"/>
        </w:rPr>
      </w:pPr>
      <w:r>
        <w:rPr>
          <w:rFonts w:cs="Arial" w:ascii="Minion Pro" w:hAnsi="Minion Pro"/>
          <w:color w:val="000000" w:themeColor="text1"/>
          <w:sz w:val="19"/>
          <w:szCs w:val="19"/>
          <w:vertAlign w:val="superscript"/>
        </w:rPr>
        <w:t>*</w:t>
      </w:r>
      <w:r>
        <w:rPr>
          <w:rFonts w:cs="Arial" w:ascii="Minion Pro" w:hAnsi="Minion Pro"/>
          <w:color w:val="000000" w:themeColor="text1"/>
          <w:sz w:val="19"/>
          <w:szCs w:val="19"/>
        </w:rPr>
        <w:t>Corresponding Auth</w:t>
      </w:r>
      <w:r>
        <w:rPr>
          <w:rFonts w:cs="Times New Roman" w:ascii="Minion Pro" w:hAnsi="Minion Pro"/>
          <w:bCs/>
          <w:sz w:val="19"/>
          <w:szCs w:val="19"/>
          <w:lang w:val="en-US"/>
        </w:rPr>
        <w:t>or: Xiaolei Liu Email: liuxiaolei99@hotmail.com</w:t>
      </w:r>
    </w:p>
    <w:p>
      <w:pPr>
        <w:pStyle w:val="Normal"/>
        <w:snapToGrid w:val="false"/>
        <w:spacing w:before="0" w:after="120"/>
        <w:rPr>
          <w:rFonts w:ascii="Minion Pro" w:hAnsi="Minion Pro" w:cs="Arial"/>
          <w:color w:val="000000" w:themeColor="text1"/>
          <w:sz w:val="19"/>
          <w:szCs w:val="19"/>
        </w:rPr>
      </w:pPr>
      <w:r>
        <w:rPr>
          <w:rFonts w:cs="Arial" w:ascii="Minion Pro" w:hAnsi="Minion Pro"/>
          <w:color w:val="000000" w:themeColor="text1"/>
          <w:sz w:val="19"/>
          <w:szCs w:val="19"/>
        </w:rPr>
        <w:t>Received: 21 D</w:t>
      </w:r>
      <w:r>
        <w:rPr>
          <w:rFonts w:cs="Arial" w:ascii="Minion Pro" w:hAnsi="Minion Pro"/>
          <w:color w:val="000000" w:themeColor="text1"/>
          <w:sz w:val="19"/>
          <w:szCs w:val="19"/>
          <w:lang w:eastAsia="zh-CN"/>
        </w:rPr>
        <w:t>ecember 2023</w:t>
      </w:r>
      <w:r>
        <w:rPr>
          <w:rFonts w:cs="Arial" w:ascii="Minion Pro" w:hAnsi="Minion Pro"/>
          <w:color w:val="000000" w:themeColor="text1"/>
          <w:sz w:val="19"/>
          <w:szCs w:val="19"/>
        </w:rPr>
        <w:t xml:space="preserve">    Accepted: 04 M</w:t>
      </w:r>
      <w:r>
        <w:rPr>
          <w:rFonts w:cs="Arial" w:ascii="Minion Pro" w:hAnsi="Minion Pro"/>
          <w:color w:val="000000" w:themeColor="text1"/>
          <w:sz w:val="19"/>
          <w:szCs w:val="19"/>
          <w:lang w:eastAsia="zh-CN"/>
        </w:rPr>
        <w:t>arch</w:t>
      </w:r>
      <w:r>
        <w:rPr>
          <w:rFonts w:cs="Arial" w:ascii="Minion Pro" w:hAnsi="Minion Pro"/>
          <w:color w:val="000000" w:themeColor="text1"/>
          <w:sz w:val="19"/>
          <w:szCs w:val="19"/>
        </w:rPr>
        <w:t xml:space="preserve"> 2024</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Abstract</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 xml:space="preserve">Background: </w:t>
      </w:r>
      <w:bookmarkStart w:id="2" w:name="OLE_LINK28"/>
      <w:bookmarkStart w:id="3" w:name="OLE_LINK27"/>
      <w:r>
        <w:rPr>
          <w:rFonts w:cs="Times New Roman" w:ascii="Minion Pro" w:hAnsi="Minion Pro"/>
          <w:bCs/>
          <w:sz w:val="24"/>
          <w:szCs w:val="24"/>
          <w:lang w:val="en-US"/>
        </w:rPr>
        <w:t>Emerging adulthood is a pivotal life stage</w:t>
      </w:r>
      <w:r>
        <w:rPr>
          <w:rFonts w:cs="Times New Roman" w:ascii="Minion Pro" w:hAnsi="Minion Pro"/>
          <w:bCs/>
          <w:sz w:val="24"/>
          <w:szCs w:val="24"/>
          <w:lang w:val="en-US" w:eastAsia="zh-CN"/>
        </w:rPr>
        <w:t>,</w:t>
      </w:r>
      <w:r>
        <w:rPr>
          <w:rFonts w:cs="Times New Roman" w:ascii="Minion Pro" w:hAnsi="Minion Pro"/>
          <w:bCs/>
          <w:sz w:val="24"/>
          <w:szCs w:val="24"/>
          <w:lang w:val="en-US"/>
        </w:rPr>
        <w:t xml:space="preserve"> presenting with significant psychological and social changes, such as decreased sociability, depression, and other mental health problems</w:t>
      </w:r>
      <w:bookmarkEnd w:id="2"/>
      <w:bookmarkEnd w:id="3"/>
      <w:r>
        <w:rPr>
          <w:rFonts w:cs="Times New Roman" w:ascii="Minion Pro" w:hAnsi="Minion Pro"/>
          <w:bCs/>
          <w:sz w:val="24"/>
          <w:szCs w:val="24"/>
          <w:lang w:val="en-US"/>
        </w:rPr>
        <w:t xml:space="preserve">. Previous studies have assoicated these changes with an unhealthy lifestyle. The 24-hour movement guidelines for healthy lifestyles have been developed to promote appropriate health behaviors and improve individual wellness. However, the relationship between adherence to the 24-hour movement guidelines and different characteristics of Chinese emerging adults is yet to be explored. This cross-sectional study aimed to investigate the association between </w:t>
      </w:r>
      <w:bookmarkStart w:id="4" w:name="OLE_LINK12"/>
      <w:r>
        <w:rPr>
          <w:rFonts w:cs="Times New Roman" w:ascii="Minion Pro" w:hAnsi="Minion Pro"/>
          <w:bCs/>
          <w:sz w:val="24"/>
          <w:szCs w:val="24"/>
          <w:lang w:val="en-US"/>
        </w:rPr>
        <w:t xml:space="preserve">adherence to the </w:t>
      </w:r>
      <w:bookmarkEnd w:id="4"/>
      <w:r>
        <w:rPr>
          <w:rFonts w:cs="Times New Roman" w:ascii="Minion Pro" w:hAnsi="Minion Pro"/>
          <w:bCs/>
          <w:sz w:val="24"/>
          <w:szCs w:val="24"/>
          <w:lang w:val="en-US"/>
        </w:rPr>
        <w:t>24-hour movement guidelines and four characteristics (self-exploration, instability, possibilities, and responsibility) of Chinese emerging adults.</w:t>
      </w:r>
      <w:r>
        <w:rPr>
          <w:rFonts w:cs="Times New Roman" w:ascii="Minion Pro" w:hAnsi="Minion Pro"/>
          <w:bCs/>
          <w:sz w:val="24"/>
          <w:szCs w:val="24"/>
          <w:lang w:val="en-US" w:eastAsia="zh-CN"/>
        </w:rPr>
        <w:t xml:space="preserve"> </w:t>
      </w:r>
      <w:r>
        <w:rPr>
          <w:rFonts w:cs="Times New Roman" w:ascii="Minion Pro" w:hAnsi="Minion Pro"/>
          <w:b/>
          <w:bCs/>
          <w:color w:val="000000" w:themeColor="text1"/>
          <w:sz w:val="24"/>
          <w:szCs w:val="24"/>
          <w:lang w:val="en-US"/>
        </w:rPr>
        <w:t xml:space="preserve">Methods: </w:t>
      </w:r>
      <w:bookmarkStart w:id="5" w:name="OLE_LINK1"/>
      <w:r>
        <w:rPr>
          <w:rFonts w:cs="Times New Roman" w:ascii="Minion Pro" w:hAnsi="Minion Pro"/>
          <w:bCs/>
          <w:color w:val="000000" w:themeColor="text1"/>
          <w:sz w:val="24"/>
          <w:szCs w:val="24"/>
          <w:lang w:val="en-US"/>
        </w:rPr>
        <w:t>Overall, 1,510 Chinese emerging adults aged 18-29 years were included in this study.</w:t>
      </w:r>
      <w:bookmarkEnd w:id="5"/>
      <w:r>
        <w:rPr>
          <w:rFonts w:cs="Times New Roman" w:ascii="Minion Pro" w:hAnsi="Minion Pro"/>
          <w:bCs/>
          <w:color w:val="000000" w:themeColor="text1"/>
          <w:sz w:val="24"/>
          <w:szCs w:val="24"/>
          <w:lang w:val="en-US"/>
        </w:rPr>
        <w:t xml:space="preserve"> </w:t>
      </w:r>
      <w:bookmarkStart w:id="6" w:name="OLE_LINK8"/>
      <w:r>
        <w:rPr>
          <w:rFonts w:cs="Times New Roman" w:ascii="Minion Pro" w:hAnsi="Minion Pro"/>
          <w:bCs/>
          <w:color w:val="000000" w:themeColor="text1"/>
          <w:sz w:val="24"/>
          <w:szCs w:val="24"/>
          <w:lang w:val="en-US"/>
        </w:rPr>
        <w:t xml:space="preserve">Each participant completed a self-administered questionnaire that included questions on adherence to the 24-hour movement guidelines (physical activity, screen time, and sleep) and the inventory of dimensions of emerging adulthood. </w:t>
      </w:r>
      <w:bookmarkEnd w:id="6"/>
      <w:r>
        <w:rPr>
          <w:rFonts w:cs="Times New Roman" w:ascii="Minion Pro" w:hAnsi="Minion Pro"/>
          <w:bCs/>
          <w:color w:val="000000" w:themeColor="text1"/>
          <w:sz w:val="24"/>
          <w:szCs w:val="24"/>
          <w:lang w:val="en-US"/>
        </w:rPr>
        <w:t>Multivariable logistic regression analysis was employed to investigate the associations between adherence to the 24-hour movement guidelines and each of the four characteristics.</w:t>
      </w:r>
      <w:r>
        <w:rPr>
          <w:rFonts w:cs="Times New Roman" w:ascii="Minion Pro" w:hAnsi="Minion Pro"/>
          <w:bCs/>
          <w:color w:val="000000" w:themeColor="text1"/>
          <w:sz w:val="24"/>
          <w:szCs w:val="24"/>
          <w:lang w:val="en-US" w:eastAsia="zh-CN"/>
        </w:rPr>
        <w:t xml:space="preserve"> </w:t>
      </w:r>
      <w:r>
        <w:rPr>
          <w:rFonts w:cs="Times New Roman" w:ascii="Minion Pro" w:hAnsi="Minion Pro"/>
          <w:b/>
          <w:bCs/>
          <w:color w:val="000000" w:themeColor="text1"/>
          <w:sz w:val="24"/>
          <w:szCs w:val="24"/>
          <w:lang w:val="en-US"/>
        </w:rPr>
        <w:t xml:space="preserve">Results: </w:t>
      </w:r>
      <w:r>
        <w:rPr>
          <w:rFonts w:cs="Times New Roman" w:ascii="Minion Pro" w:hAnsi="Minion Pro"/>
          <w:bCs/>
          <w:color w:val="000000" w:themeColor="text1"/>
          <w:sz w:val="24"/>
          <w:szCs w:val="24"/>
          <w:lang w:val="en-US"/>
        </w:rPr>
        <w:t xml:space="preserve">The proportion of participants who </w:t>
      </w:r>
      <w:r>
        <w:rPr>
          <w:rFonts w:cs="Times New Roman" w:ascii="Minion Pro" w:hAnsi="Minion Pro"/>
          <w:bCs/>
          <w:sz w:val="24"/>
          <w:szCs w:val="24"/>
          <w:lang w:val="en-US"/>
        </w:rPr>
        <w:t xml:space="preserve">adhered to the 24-hour movement guidelines was </w:t>
      </w:r>
      <w:r>
        <w:rPr>
          <w:rFonts w:cs="Times New Roman" w:ascii="Minion Pro" w:hAnsi="Minion Pro"/>
          <w:bCs/>
          <w:color w:val="000000" w:themeColor="text1"/>
          <w:sz w:val="24"/>
          <w:szCs w:val="24"/>
          <w:lang w:val="en-US"/>
        </w:rPr>
        <w:t>31.72%</w:t>
      </w:r>
      <w:r>
        <w:rPr>
          <w:rFonts w:cs="Times New Roman" w:ascii="Minion Pro" w:hAnsi="Minion Pro"/>
          <w:bCs/>
          <w:sz w:val="24"/>
          <w:szCs w:val="24"/>
          <w:lang w:val="en-US"/>
        </w:rPr>
        <w:t xml:space="preserve">. Multiple regression analysis revealed </w:t>
      </w:r>
      <w:r>
        <w:rPr>
          <w:rFonts w:eastAsia="WarnockPro-Regular" w:cs="Times New Roman" w:ascii="Minion Pro" w:hAnsi="Minion Pro"/>
          <w:color w:val="000000"/>
          <w:sz w:val="24"/>
          <w:szCs w:val="24"/>
          <w:lang w:val="en-US" w:eastAsia="zh-CN" w:bidi="ar"/>
        </w:rPr>
        <w:t>a significantly negative relationship between adhering to more</w:t>
      </w:r>
      <w:r>
        <w:rPr>
          <w:rFonts w:cs="Times New Roman" w:ascii="Minion Pro" w:hAnsi="Minion Pro"/>
          <w:sz w:val="24"/>
          <w:szCs w:val="24"/>
          <w:lang w:val="en-US"/>
        </w:rPr>
        <w:t xml:space="preserve"> guidelines and instability </w:t>
      </w:r>
      <w:r>
        <w:rPr>
          <w:rFonts w:cs="Times New Roman" w:ascii="Minion Pro" w:hAnsi="Minion Pro"/>
          <w:bCs/>
          <w:sz w:val="24"/>
          <w:szCs w:val="24"/>
          <w:lang w:val="en-US"/>
        </w:rPr>
        <w:t>(</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-0.51</w:t>
      </w:r>
      <w:r>
        <w:rPr>
          <w:rFonts w:cs="Times New Roman" w:ascii="Minion Pro" w:hAnsi="Minion Pro"/>
          <w:bCs/>
          <w:sz w:val="24"/>
          <w:szCs w:val="24"/>
          <w:lang w:val="en-US"/>
        </w:rPr>
        <w:t xml:space="preserve">, </w:t>
      </w:r>
      <w:r>
        <w:rPr>
          <w:rFonts w:cs="Times New Roman" w:ascii="Minion Pro" w:hAnsi="Minion Pro"/>
          <w:bCs/>
          <w:i/>
          <w:sz w:val="24"/>
          <w:szCs w:val="24"/>
          <w:lang w:val="en-US"/>
        </w:rPr>
        <w:t>p</w:t>
      </w:r>
      <w:r>
        <w:rPr>
          <w:rFonts w:cs="Times New Roman" w:ascii="Minion Pro" w:hAnsi="Minion Pro"/>
          <w:bCs/>
          <w:sz w:val="24"/>
          <w:szCs w:val="24"/>
          <w:lang w:val="en-US"/>
        </w:rPr>
        <w:t>&lt;0.001)</w:t>
      </w:r>
      <w:r>
        <w:rPr>
          <w:rFonts w:cs="Times New Roman" w:ascii="Minion Pro" w:hAnsi="Minion Pro"/>
          <w:sz w:val="24"/>
          <w:szCs w:val="24"/>
          <w:lang w:val="en-US"/>
        </w:rPr>
        <w:t xml:space="preserve">. A statistically significant association was observed between instability and meeting only sedentary behavior </w:t>
      </w:r>
      <w:r>
        <w:rPr>
          <w:rFonts w:eastAsia="MTSY" w:cs="Times New Roman" w:ascii="Minion Pro" w:hAnsi="Minion Pro"/>
          <w:color w:val="000000"/>
          <w:sz w:val="24"/>
          <w:szCs w:val="24"/>
          <w:lang w:val="en-US" w:eastAsia="zh-CN" w:bidi="ar"/>
        </w:rPr>
        <w:t>(</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-1.27, 95% confidence interval [CI]: [</w:t>
      </w:r>
      <w:r>
        <w:rPr>
          <w:rFonts w:cs="Times New Roman" w:ascii="Minion Pro" w:hAnsi="Minion Pro"/>
          <w:sz w:val="24"/>
          <w:szCs w:val="24"/>
          <w:lang w:val="en-US"/>
        </w:rPr>
        <w:t xml:space="preserve">-2.32, -0.24], </w:t>
      </w:r>
      <w:r>
        <w:rPr>
          <w:rFonts w:cs="Times New Roman" w:ascii="Minion Pro" w:hAnsi="Minion Pro"/>
          <w:i/>
          <w:iCs/>
          <w:sz w:val="24"/>
          <w:szCs w:val="24"/>
          <w:lang w:val="en-US"/>
        </w:rPr>
        <w:t>p</w:t>
      </w:r>
      <w:r>
        <w:rPr>
          <w:rFonts w:cs="Times New Roman" w:ascii="Minion Pro" w:hAnsi="Minion Pro"/>
          <w:sz w:val="24"/>
          <w:szCs w:val="24"/>
          <w:lang w:val="en-US"/>
        </w:rPr>
        <w:t>=0.02), sedentary behavior +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-1.30, 95% CI: [</w:t>
      </w:r>
      <w:r>
        <w:rPr>
          <w:rFonts w:cs="Times New Roman" w:ascii="Minion Pro" w:hAnsi="Minion Pro"/>
          <w:sz w:val="24"/>
          <w:szCs w:val="24"/>
          <w:lang w:val="en-US"/>
        </w:rPr>
        <w:t>-2.24, -0.35], p&lt;0.01), and physical activity + sedentary behavior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-1.08, 95% CI: [</w:t>
      </w:r>
      <w:r>
        <w:rPr>
          <w:rFonts w:cs="Times New Roman" w:ascii="Minion Pro" w:hAnsi="Minion Pro"/>
          <w:sz w:val="24"/>
          <w:szCs w:val="24"/>
          <w:lang w:val="en-US"/>
        </w:rPr>
        <w:t xml:space="preserve">1.94, -0.21], </w:t>
      </w:r>
      <w:r>
        <w:rPr>
          <w:rFonts w:cs="Times New Roman" w:ascii="Minion Pro" w:hAnsi="Minion Pro"/>
          <w:i/>
          <w:iCs/>
          <w:sz w:val="24"/>
          <w:szCs w:val="24"/>
          <w:lang w:val="en-US"/>
        </w:rPr>
        <w:t>p</w:t>
      </w:r>
      <w:r>
        <w:rPr>
          <w:rFonts w:cs="Times New Roman" w:ascii="Minion Pro" w:hAnsi="Minion Pro"/>
          <w:sz w:val="24"/>
          <w:szCs w:val="24"/>
          <w:lang w:val="en-US"/>
        </w:rPr>
        <w:t>=0.02) guidelines. Further, positive and significant associations were observed between possibilities and meeting the guidelines for only physical activity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0.70, 95% CI: [</w:t>
      </w:r>
      <w:r>
        <w:rPr>
          <w:rFonts w:cs="Times New Roman" w:ascii="Minion Pro" w:hAnsi="Minion Pro"/>
          <w:sz w:val="24"/>
          <w:szCs w:val="24"/>
          <w:lang w:val="en-US"/>
        </w:rPr>
        <w:t>0.14, 1.27),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w:t>
      </w:r>
      <w:r>
        <w:rPr>
          <w:rFonts w:cs="Times New Roman" w:ascii="Minion Pro" w:hAnsi="Minion Pro"/>
          <w:sz w:val="24"/>
          <w:szCs w:val="24"/>
          <w:lang w:val="en-US"/>
        </w:rPr>
        <w:t>), only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0.61, 95% CI: [</w:t>
      </w:r>
      <w:r>
        <w:rPr>
          <w:rFonts w:cs="Times New Roman" w:ascii="Minion Pro" w:hAnsi="Minion Pro"/>
          <w:sz w:val="24"/>
          <w:szCs w:val="24"/>
          <w:lang w:val="en-US"/>
        </w:rPr>
        <w:t>0.01, 1.21],</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=0.04), physical activity + sedentary behavior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0.56, 95% CI: [</w:t>
      </w:r>
      <w:r>
        <w:rPr>
          <w:rFonts w:cs="Times New Roman" w:ascii="Minion Pro" w:hAnsi="Minion Pro"/>
          <w:sz w:val="24"/>
          <w:szCs w:val="24"/>
          <w:lang w:val="en-US"/>
        </w:rPr>
        <w:t>0.04, 1.07),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 and physical activity + sleep (</w:t>
      </w:r>
      <w:r>
        <w:rPr>
          <w:rFonts w:eastAsia="Times New Roman" w:cs="Times New Roman" w:ascii="Minion Pro" w:hAnsi="Minion Pro"/>
          <w:i/>
          <w:sz w:val="24"/>
          <w:szCs w:val="24"/>
          <w:lang w:val="en-US" w:eastAsia="zh-CN"/>
        </w:rPr>
        <w:t xml:space="preserve">β </w:t>
      </w:r>
      <w:r>
        <w:rPr>
          <w:rFonts w:eastAsia="MTSY" w:cs="Times New Roman" w:ascii="Minion Pro" w:hAnsi="Minion Pro"/>
          <w:color w:val="000000"/>
          <w:sz w:val="24"/>
          <w:szCs w:val="24"/>
          <w:lang w:val="en-US" w:eastAsia="zh-CN" w:bidi="ar"/>
        </w:rPr>
        <w:t>=</w:t>
      </w:r>
      <w:r>
        <w:rPr>
          <w:rFonts w:eastAsia="WarnockPro-Regular" w:cs="Times New Roman" w:ascii="Minion Pro" w:hAnsi="Minion Pro"/>
          <w:color w:val="000000"/>
          <w:sz w:val="24"/>
          <w:szCs w:val="24"/>
          <w:lang w:val="en-US" w:eastAsia="zh-CN" w:bidi="ar"/>
        </w:rPr>
        <w:t>0.76, 95% CI: [</w:t>
      </w:r>
      <w:r>
        <w:rPr>
          <w:rFonts w:cs="Times New Roman" w:ascii="Minion Pro" w:hAnsi="Minion Pro"/>
          <w:sz w:val="24"/>
          <w:szCs w:val="24"/>
          <w:lang w:val="en-US"/>
        </w:rPr>
        <w:t>0.23, 1.27],</w:t>
      </w:r>
      <w:r>
        <w:rPr>
          <w:rFonts w:eastAsia="WarnockPro-Regular" w:cs="Times New Roman" w:ascii="Minion Pro" w:hAnsi="Minion Pro"/>
          <w:color w:val="000000"/>
          <w:sz w:val="24"/>
          <w:szCs w:val="24"/>
          <w:lang w:val="en-US" w:eastAsia="zh-CN" w:bidi="ar"/>
        </w:rPr>
        <w:t xml:space="preserve"> </w:t>
      </w:r>
      <w:r>
        <w:rPr>
          <w:rFonts w:eastAsia="WarnockPro-Regular" w:cs="Times New Roman" w:ascii="Minion Pro" w:hAnsi="Minion Pro"/>
          <w:i/>
          <w:iCs/>
          <w:color w:val="000000"/>
          <w:sz w:val="24"/>
          <w:szCs w:val="24"/>
          <w:lang w:val="en-US" w:eastAsia="zh-CN" w:bidi="ar"/>
        </w:rPr>
        <w:t>p</w:t>
      </w:r>
      <w:r>
        <w:rPr>
          <w:rFonts w:eastAsia="WarnockPro-Regular" w:cs="Times New Roman" w:ascii="Minion Pro" w:hAnsi="Minion Pro"/>
          <w:color w:val="000000"/>
          <w:sz w:val="24"/>
          <w:szCs w:val="24"/>
          <w:lang w:val="en-US" w:eastAsia="zh-CN" w:bidi="ar"/>
        </w:rPr>
        <w:t>=0.01)</w:t>
      </w:r>
      <w:r>
        <w:rPr>
          <w:rFonts w:cs="Times New Roman" w:ascii="Minion Pro" w:hAnsi="Minion Pro"/>
          <w:sz w:val="24"/>
          <w:szCs w:val="24"/>
          <w:lang w:val="en-US"/>
        </w:rPr>
        <w:t>.</w:t>
      </w:r>
      <w:r>
        <w:rPr>
          <w:rFonts w:cs="Times New Roman" w:ascii="Minion Pro" w:hAnsi="Minion Pro"/>
          <w:sz w:val="24"/>
          <w:szCs w:val="24"/>
          <w:lang w:val="en-US" w:eastAsia="zh-CN"/>
        </w:rPr>
        <w:t xml:space="preserve"> </w:t>
      </w:r>
      <w:r>
        <w:rPr>
          <w:rFonts w:cs="Times New Roman" w:ascii="Minion Pro" w:hAnsi="Minion Pro"/>
          <w:b/>
          <w:bCs/>
          <w:sz w:val="24"/>
          <w:szCs w:val="24"/>
          <w:lang w:val="en-US"/>
        </w:rPr>
        <w:t xml:space="preserve">Conclusions: </w:t>
      </w:r>
      <w:r>
        <w:rPr>
          <w:rFonts w:cs="Times New Roman" w:ascii="Minion Pro" w:hAnsi="Minion Pro"/>
          <w:bCs/>
          <w:sz w:val="24"/>
          <w:szCs w:val="24"/>
          <w:lang w:val="en-US"/>
        </w:rPr>
        <w:t xml:space="preserve">These findings suggest that adherence to the 24-hour movement guidelines was associated with </w:t>
      </w:r>
      <w:r>
        <w:rPr>
          <w:rFonts w:cs="Times New Roman" w:ascii="Minion Pro" w:hAnsi="Minion Pro"/>
          <w:bCs/>
          <w:sz w:val="24"/>
          <w:szCs w:val="24"/>
          <w:lang w:val="en-US" w:eastAsia="zh-CN"/>
        </w:rPr>
        <w:t>in</w:t>
      </w:r>
      <w:r>
        <w:rPr>
          <w:rFonts w:cs="Times New Roman" w:ascii="Minion Pro" w:hAnsi="Minion Pro"/>
          <w:bCs/>
          <w:sz w:val="24"/>
          <w:szCs w:val="24"/>
          <w:lang w:val="en-US"/>
        </w:rPr>
        <w:t xml:space="preserve">stability in Chinese </w:t>
      </w:r>
      <w:bookmarkStart w:id="7" w:name="OLE_LINK14"/>
      <w:r>
        <w:rPr>
          <w:rFonts w:cs="Times New Roman" w:ascii="Minion Pro" w:hAnsi="Minion Pro"/>
          <w:bCs/>
          <w:sz w:val="24"/>
          <w:szCs w:val="24"/>
          <w:lang w:val="en-US"/>
        </w:rPr>
        <w:t>emerging adults</w:t>
      </w:r>
      <w:bookmarkEnd w:id="7"/>
      <w:r>
        <w:rPr>
          <w:rFonts w:cs="Times New Roman" w:ascii="Minion Pro" w:hAnsi="Minion Pro"/>
          <w:bCs/>
          <w:sz w:val="24"/>
          <w:szCs w:val="24"/>
          <w:lang w:val="en-US"/>
        </w:rPr>
        <w:t xml:space="preserve">. Future studies are warranted to verify our findings to highlight the importance of maintaining a heath lifestyle to promote the health in emerging adulthood. </w:t>
      </w:r>
      <w:bookmarkStart w:id="8" w:name="OLE_LINK4"/>
      <w:bookmarkStart w:id="9" w:name="OLE_LINK3"/>
      <w:bookmarkEnd w:id="8"/>
      <w:bookmarkEnd w:id="9"/>
    </w:p>
    <w:p>
      <w:pPr>
        <w:pStyle w:val="Normal"/>
        <w:widowControl w:val="false"/>
        <w:spacing w:lineRule="auto" w:line="240"/>
        <w:jc w:val="both"/>
        <w:rPr>
          <w:rFonts w:ascii="Minion Pro" w:hAnsi="Minion Pro" w:cs="Times New Roman"/>
          <w:bCs/>
          <w:color w:val="000000" w:themeColor="text1"/>
          <w:sz w:val="24"/>
          <w:szCs w:val="24"/>
          <w:lang w:val="en-US"/>
        </w:rPr>
      </w:pPr>
      <w:r>
        <w:rPr>
          <w:rFonts w:cs="Times New Roman" w:ascii="Minion Pro" w:hAnsi="Minion Pro"/>
          <w:b/>
          <w:bCs/>
          <w:color w:val="000000" w:themeColor="text1"/>
          <w:sz w:val="24"/>
          <w:szCs w:val="24"/>
          <w:lang w:val="en-US"/>
        </w:rPr>
        <w:t xml:space="preserve">Keywords: </w:t>
      </w:r>
      <w:r>
        <w:rPr>
          <w:rFonts w:cs="Times New Roman" w:ascii="Minion Pro" w:hAnsi="Minion Pro"/>
          <w:bCs/>
          <w:color w:val="000000" w:themeColor="text1"/>
          <w:sz w:val="24"/>
          <w:szCs w:val="24"/>
          <w:lang w:val="en-US"/>
        </w:rPr>
        <w:t>24-hour movement behavior; physical activity; sedentary behavior; sleep; psychological health; emerging adults</w:t>
      </w:r>
    </w:p>
    <w:p>
      <w:pPr>
        <w:pStyle w:val="Normal"/>
        <w:widowControl w:val="false"/>
        <w:spacing w:lineRule="auto" w:line="240"/>
        <w:jc w:val="both"/>
        <w:rPr>
          <w:rFonts w:ascii="Minion Pro" w:hAnsi="Minion Pro" w:cs="Times New Roman"/>
          <w:b/>
          <w:b/>
          <w:bCs/>
          <w:color w:val="000000" w:themeColor="text1"/>
          <w:sz w:val="24"/>
          <w:szCs w:val="24"/>
          <w:lang w:val="en-US"/>
        </w:rPr>
      </w:pPr>
      <w:r>
        <w:rPr>
          <w:rFonts w:cs="Times New Roman" w:ascii="Minion Pro" w:hAnsi="Minion Pro"/>
          <w:b/>
          <w:bCs/>
          <w:color w:val="000000" w:themeColor="text1"/>
          <w:sz w:val="24"/>
          <w:szCs w:val="24"/>
          <w:lang w:val="en-US"/>
        </w:rPr>
      </w:r>
    </w:p>
    <w:p>
      <w:pPr>
        <w:pStyle w:val="Normal"/>
        <w:widowControl w:val="false"/>
        <w:spacing w:lineRule="auto" w:line="240"/>
        <w:jc w:val="both"/>
        <w:rPr>
          <w:rFonts w:ascii="Minion Pro" w:hAnsi="Minion Pro" w:cs="Times New Roman"/>
          <w:b/>
          <w:b/>
          <w:bCs/>
          <w:color w:val="000000" w:themeColor="text1"/>
          <w:sz w:val="24"/>
          <w:szCs w:val="24"/>
          <w:lang w:val="en-US"/>
        </w:rPr>
      </w:pPr>
      <w:r>
        <w:rPr>
          <w:rFonts w:cs="Times New Roman" w:ascii="Minion Pro" w:hAnsi="Minion Pro"/>
          <w:b/>
          <w:bCs/>
          <w:color w:val="000000" w:themeColor="text1"/>
          <w:sz w:val="24"/>
          <w:szCs w:val="24"/>
          <w:lang w:val="en-US"/>
        </w:rPr>
        <w:t>Introduction</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Emerging adulthood is a special, multifcated, and dynamic period of development that spans from late adolescence to the initial stages of adulthood </w:t>
      </w:r>
      <w:r>
        <w:fldChar w:fldCharType="begin"/>
      </w:r>
      <w:r>
        <w:rPr>
          <w:sz w:val="24"/>
          <w:szCs w:val="24"/>
          <w:bCs/>
          <w:rFonts w:cs="Times New Roman" w:ascii="Minion Pro" w:hAnsi="Minion Pro"/>
          <w:lang w:val="en-US"/>
        </w:rPr>
        <w:instrText>ADDIN CSL_CITATION {"citationItems":[{"id":"ITEM-1","itemData":{"DOI":"10.1037/0003-066X.55.5.469","ISSN":"0003066X","PMID":"10842426","abstract":"Emerging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twenties.","author":[{"dropping-particle":"","family":"Arnett","given":"Jeffrey Jensen","non-dropping-particle":"","parse-names":false,"suffix":""}],"container-title":"American Psychologist","id":"ITEM-1","issue":"5","issued":{"date-parts":[["2000"]]},"page":"469-480","publisher":"American Psychological Association Inc.","title":"Emerging adulthood: A theory of development from the late teens through the twenties","type":"article-journal","volume":"55"},"uris":["http://www.mendeley.com/documents/?uuid=4be780ec-3fe4-3806-b05e-9ea30201b574"]},{"id":"ITEM-2","itemData":{"DOI":"10.1016/j.ijchp.2022.100331","ISSN":"16972600","abstract":"Background/Objective: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Psychology","id":"ITEM-2","issue":"1","issued":{"date-parts":[["2023"]]},"title":"Psychometric evaluation of the inventory of dimensions of emerging adulthood (IDEA) in China","type":"article-journal","volume":"23"},"uris":["http://www.mendeley.com/documents/?uuid=35c7a1fd-d606-3b51-8601-cc41c173c7c2"]}],"mendeley":{"formattedCitation":"[1,2]","plainTextFormattedCitation":"[1,2]","previouslyFormattedCitation":"[1,2]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Emerging adults navigate a landscape characterized by heightened autonomy, an array of diverse opportunities, and a simultaneous grappling with uncertainties and responsibilities </w:t>
      </w:r>
      <w:r>
        <w:fldChar w:fldCharType="begin"/>
      </w:r>
      <w:r>
        <w:rPr>
          <w:sz w:val="24"/>
          <w:szCs w:val="24"/>
          <w:bCs/>
          <w:rFonts w:cs="Times New Roman" w:ascii="Minion Pro" w:hAnsi="Minion Pro"/>
          <w:lang w:val="en-US"/>
        </w:rPr>
        <w:instrText>ADDIN CSL_CITATION {"citationItems":[{"id":"ITEM-1","itemData":{"DOI":"10.1016/j.healthplace.2020.102336","ISSN":"18732054","PMID":"32543425","abstract":"Research suggests that neighborhoods play an important role in shaping health outcomes across the life course, but the neighborhood-health link during the transition to adulthood period (18–29 years) is not well studied. A scoping review of 24 studies used thematic analysis to examine the theoretical and methodological approaches of the neighborhood-health literature during this period. Themes illustrate the varied approaches used in this research, including diversity in how neighborhood is defined, theoretical variation regarding the importance of the transition period and the neighborhood-health link, and the importance of gender and race/ethnicity to this area of study. While the literature on this topic is fragmented, with varied definitions and minimal theoretical coherence, all studies found some degree of support for the relationship between neighborhoods and health during the transition to adulthood. Our analysis suggests that future research should focus on developing a theoretical foundation for these relationships in order to clarify key concepts and advance a science to better understand how and why neighborhoods affect health during this period.","author":[{"dropping-particle":"","family":"Bishop","given":"Asia S.","non-dropping-particle":"","parse-names":false,"suffix":""},{"dropping-particle":"","family":"Walker","given":"Sarah C.","non-dropping-particle":"","parse-names":false,"suffix":""},{"dropping-particle":"","family":"Herting","given":"Jerald R.","non-dropping-particle":"","parse-names":false,"suffix":""},{"dropping-particle":"","family":"Hill","given":"Karl G.","non-dropping-particle":"","parse-names":false,"suffix":""}],"container-title":"Health and Place","id":"ITEM-1","issued":{"date-parts":[["2020","5","1"]]},"page":"102336","publisher":"Pergamon","title":"Neighborhoods and health during the transition to adulthood: A scoping review","type":"article-journal","volume":"63"},"uris":["http://www.mendeley.com/documents/?uuid=afd557f2-5839-3009-8db8-cad0cf0f924b"]}],"mendeley":{"formattedCitation":"[3]","plainTextFormattedCitation":"[3]","previouslyFormattedCitation":"[4]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During the developmental process of emerging adulthood, individuals experience diverse changes in the physical, psychological, behavioral, employment, and romantic relationship domains </w:t>
      </w:r>
      <w:r>
        <w:fldChar w:fldCharType="begin"/>
      </w:r>
      <w:r>
        <w:rPr>
          <w:sz w:val="24"/>
          <w:szCs w:val="24"/>
          <w:bCs/>
          <w:rFonts w:cs="Times New Roman" w:ascii="Minion Pro" w:hAnsi="Minion Pro"/>
          <w:lang w:val="en-US"/>
        </w:rPr>
        <w:instrText>ADDIN CSL_CITATION {"citationItems":[{"id":"ITEM-1","itemData":{"DOI":"10.1016/j.jad.2017.10.007","ISSN":"15732517","PMID":"29024900","abstract":"Background A growing body of research has analyzed the potential risks of problematic Facebook use for mental health and well-being. The current meta-analysis is the first to examine the associations between problematic Facebook use, psychological distress (i.e., depression, anxiety, etc.) and well-being (life satisfaction, positive mental health) among adolescents and young adults. Method: A comprehensive search strategy identified relevant studies in PsychInfo, Pubmed, Scopus, ResearchGate, and Google Scholar. Results The final sample included 23 independent samples with a total of 13,929 participants (60.7% females; Mage= 21.93, range: 16.5–32.4). Results of random effects meta-analysis confirmed a positive correlation between problematic Facebook use and psychological distress (r =.34, 95% CI [.28,.39]). Moderation analysis revealed that effect sizes were larger in older samples. Moreover, a negative correlation between problematic Facebook use and well-being was observed (r = −.22, 95% CI [−.28, −.15]). Limitations All available studies used a cross-sectional design thus hampering the possibility to establish the direction of the association between problematic Facebook use and psychological distress and well-being. Conclusions Results are discussed within the extant literature on problematic Facebook use and future research directions are proposed. This research may also inform clinical and prevention interventions on problematic Facebook use.","author":[{"dropping-particle":"","family":"Marino","given":"Claudia","non-dropping-particle":"","parse-names":false,"suffix":""},{"dropping-particle":"","family":"Gini","given":"Gianluca","non-dropping-particle":"","parse-names":false,"suffix":""},{"dropping-particle":"","family":"Vieno","given":"Alessio","non-dropping-particle":"","parse-names":false,"suffix":""},{"dropping-particle":"","family":"Spada","given":"Marcantonio M.","non-dropping-particle":"","parse-names":false,"suffix":""}],"container-title":"Journal of Affective Disorders","id":"ITEM-1","issued":{"date-parts":[["2018","1","15"]]},"page":"274-281","publisher":"Elsevier","title":"The associations between problematic Facebook use, psychological distress and well-being among adolescents and young adults: A systematic review and meta-analysis","type":"article-journal","volume":"226"},"uris":["http://www.mendeley.com/documents/?uuid=620f19a9-3505-3023-9de1-c416273e117e"]},{"id":"ITEM-2","itemData":{"DOI":"10.1016/j.cpr.2020.101907","ISSN":"18737811","PMID":"32891855","abstract":"Nonsuicidal self-injury (NSSI) is a widespread mental health concern among adolescents and young adults. Despite the high rates of NSSI, emerging research suggests that many individuals may conceal the behavior from others, given the stigma around the behavior. Understanding the factors that promote or hinder disclosure, as well as the nature of NSSI disclosure experiences, is important, as positive disclosure experiences may foster social connectedness, promote formal help-seeking, and ultimately serve to reduce NSSI engagement. To consolidate the existing literature and inform best practices for responding to NSSI disclosures, an electronic review of the literature on NSSI disclosure was conducted using PsycINFO, PsycArticles, PubMed, and Google Scholar. Forty-one studies that met search inclusion criteria were identified. In the current review, rates of NSSI disclosures across different populations and to different confidantes are summarized, and potential facilitators and barriers for disclosure are considered. In addition, functions, impacts, and outcomes of NSSI disclosures to different confidantes are discussed. Following the review of the literature, limitations of the existing literature and recommendations for future research in the area of NSSI disclosure are presented. We conclude with a brief summary of best practices for responding to NSSI disclosures.","author":[{"dropping-particle":"","family":"Simone","given":"Ariana C.","non-dropping-particle":"","parse-names":false,"suffix":""},{"dropping-particle":"","family":"Hamza","given":"Chloe A.","non-dropping-particle":"","parse-names":false,"suffix":""}],"container-title":"Clinical Psychology Review","id":"ITEM-2","issue":"March","issued":{"date-parts":[["2020"]]},"page":"101907","publisher":"Elsevier","title":"Examining the disclosure of nonsuicidal self-injury to informal and formal sources: A review of the literature","type":"article-journal","volume":"82"},"uris":["http://www.mendeley.com/documents/?uuid=4cdb7cd8-ea88-476f-8154-a7d29d498c20"]}],"mendeley":{"formattedCitation":"[4,5]","plainTextFormattedCitation":"[4,5]","previouslyFormattedCitation":"[5,6]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[4,5]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This new life period often present challenges, such as decreased sociability, psychological distress, anxiety disorders, that can detrimentally affect mental health </w:t>
      </w:r>
      <w:r>
        <w:fldChar w:fldCharType="begin"/>
      </w:r>
      <w:r>
        <w:rPr>
          <w:sz w:val="24"/>
          <w:szCs w:val="24"/>
          <w:bCs/>
          <w:rFonts w:cs="Times New Roman" w:ascii="Minion Pro" w:hAnsi="Minion Pro"/>
          <w:lang w:val="en-US"/>
        </w:rPr>
        <w:instrText>ADDIN CSL_CITATION {"citationItems":[{"id":"ITEM-1","itemData":{"DOI":"10.1016/S2215-0366(14)00080-7","ISSN":"22150374","abstract":"Since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Psychiatry","id":"ITEM-1","issue":"7","issued":{"date-parts":[["2014"]]},"page":"569-576","title":"The new life stage of emerging adulthood at ages 18-29 years: Implications for mental health","type":"article-journal","volume":"1"},"uris":["http://www.mendeley.com/documents/?uuid=1394d968-69dc-3a0a-9b07-aeaa4f421b5d"]}],"mendeley":{"formattedCitation":"[6]","plainTextFormattedCitation":"[6]","previouslyFormattedCitation":"[7]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An epidemiological review found that more than 40% of individuals aged 18-29 years experienced at least one psychiatric disorder in a 12-month period. This prevalence, especially for mood and anxiety disorders, is significantly higher than that in other age groups </w:t>
      </w:r>
      <w:r>
        <w:fldChar w:fldCharType="begin"/>
      </w:r>
      <w:r>
        <w:rPr>
          <w:sz w:val="24"/>
          <w:szCs w:val="24"/>
          <w:bCs/>
          <w:rFonts w:cs="Times New Roman" w:ascii="Minion Pro" w:hAnsi="Minion Pro"/>
          <w:lang w:val="en-US"/>
        </w:rPr>
        <w:instrText>ADDIN CSL_CITATION {"citationItems":[{"id":"ITEM-1","itemData":{"DOI":"10.1146/annurev.publhealth.29.020907.090847","ISSN":"01637525","PMID":"18348707","abstract":"Data are reviewed on the descriptive epidemiology of commonly occurring DSM-IV mental disorders in the United States. These disorders are highly prevalent: Roughly half the population meets criteria for one or more such disorders in their lifetimes, and roughly one fourth of the population meets criteria in any given year. Most people with a history of mental disorder had first onsets in childhood or adolescence. Later onsets typically involve comorbid disorders. Some anxiety disorders (phobias, separation anxiety disorder) and impulse-control disorders have the earliest age of onset distributions. Other anxiety disorders (panic disorder, generalized anxiety disorder, post-traumatic stress disorder), mood disorders, and substance disorders typically have later ages of onset. Given that most seriously impairing and persistent adult mental disorders are associated with child-adolescent onsets and high comorbidity, increased efforts are needed to study the public health implications of early detection and treatment of initially mild and currently largely untreated child-adolescent disorders. Copyright © 2008 by Annual Reviews.","author":[{"dropping-particle":"","family":"Kessler","given":"Ronald C.","non-dropping-particle":"","parse-names":false,"suffix":""},{"dropping-particle":"","family":"Wang","given":"Philip S.","non-dropping-particle":"","parse-names":false,"suffix":""}],"container-title":"Annual Review of Public Health","id":"ITEM-1","issue":"March","issued":{"date-parts":[["2008"]]},"page":"115-129","title":"The descriptive epidemiology of commonly occurring mental disorders in the United States","type":"article-journal","volume":"29"},"uris":["http://www.mendeley.com/documents/?uuid=d70dd0d7-ae76-4ea6-ad1f-a2de9e1a1b6f"]}],"mendeley":{"formattedCitation":"[7]","plainTextFormattedCitation":"[7]","previouslyFormattedCitation":"[8]"},"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[7]</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Similarly, another study reported that approximately 30% of emerging adults had depressive symptoms, of which 13.2% had major depressive episodes </w:t>
      </w:r>
      <w:r>
        <w:fldChar w:fldCharType="begin"/>
      </w:r>
      <w:r>
        <w:rPr>
          <w:sz w:val="24"/>
          <w:szCs w:val="24"/>
          <w:bCs/>
          <w:rFonts w:cs="Times New Roman" w:ascii="Minion Pro" w:hAnsi="Minion Pro"/>
          <w:lang w:val="en-US"/>
        </w:rPr>
        <w:instrText>ADDIN CSL_CITATION {"citationItems":[{"id":"ITEM-1","itemData":{"DOI":"10.1016/j.jpsychires.2012.11.015","ISSN":"18791379","PMID":"23260171","abstract":"Background: Depression is a common health problem, ranking third after cardiac and respiratory diseases as a major cause of disability. There is evidence to suggest that university students are at higher risk of depression, despite being a socially advantaged population, but the reported rates have shown wide variability across settings. Purpose: To explore the prevalence of depression in university students. Method: PubMed, PsycINFO, BioMed Central and Medline were searched to identify studies published between 1990 and 2010 reporting on depression prevalence among university students. Searches used a combination of the terms depression, depressive symptoms, depressive disorders, prevalence, university students, college students, undergraduate students, adolescents and/or young adults. Studies were evaluated with a quality rating. Results: Twenty-four articles were identified that met the inclusion and exclusion criteria. Reported prevalence rates ranged from 10% to 85% with a weighted mean prevalence of 30.6%. Conclusions: The results suggest that university students experience rates of depression that are substantially higher than those found in the general population. Study quality has not improved since 1990. © 2012 Elsevier Ltd.","author":[{"dropping-particle":"","family":"Ibrahim","given":"Ahmed K.","non-dropping-particle":"","parse-names":false,"suffix":""},{"dropping-particle":"","family":"Kelly","given":"Shona J.","non-dropping-particle":"","parse-names":false,"suffix":""},{"dropping-particle":"","family":"Adams","given":"Clive E.","non-dropping-particle":"","parse-names":false,"suffix":""},{"dropping-particle":"","family":"Glazebrook","given":"Cris","non-dropping-particle":"","parse-names":false,"suffix":""}],"container-title":"Journal of Psychiatric Research","id":"ITEM-1","issue":"3","issued":{"date-parts":[["2013","3","1"]]},"page":"391-400","publisher":"Pergamon","title":"A systematic review of studies of depression prevalence in university students","type":"article-journal","volume":"47"},"uris":["http://www.mendeley.com/documents/?uuid=75b7caa1-57eb-34d6-b6fb-4112478d298d"]}],"mendeley":{"formattedCitation":"[8]","plainTextFormattedCitation":"[8]","previouslyFormattedCitation":"[9]"},"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[8]</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Such psychopathological issues during emerging adulthood hinder adaptation and a successful transition to adulthood. </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A previous study suggested that the elevated prevalence of mental problems implies a correlation between </w:t>
      </w:r>
      <w:bookmarkStart w:id="10" w:name="OLE_LINK30"/>
      <w:bookmarkStart w:id="11" w:name="OLE_LINK29"/>
      <w:r>
        <w:rPr>
          <w:rFonts w:cs="Times New Roman" w:ascii="Minion Pro" w:hAnsi="Minion Pro"/>
          <w:bCs/>
          <w:sz w:val="24"/>
          <w:szCs w:val="24"/>
          <w:lang w:val="en-US"/>
        </w:rPr>
        <w:t>the features of emerging adulthood and an increased susceptibility to mental disorders</w:t>
      </w:r>
      <w:bookmarkEnd w:id="10"/>
      <w:bookmarkEnd w:id="11"/>
      <w:r>
        <w:rPr>
          <w:rFonts w:cs="Times New Roman" w:ascii="Minion Pro" w:hAnsi="Minion Pro"/>
          <w:bCs/>
          <w:sz w:val="24"/>
          <w:szCs w:val="24"/>
          <w:lang w:val="en-US"/>
        </w:rPr>
        <w:t xml:space="preserve"> </w:t>
      </w:r>
      <w:r>
        <w:fldChar w:fldCharType="begin"/>
      </w:r>
      <w:r>
        <w:rPr>
          <w:sz w:val="24"/>
          <w:szCs w:val="24"/>
          <w:bCs/>
          <w:rFonts w:cs="Times New Roman" w:ascii="Minion Pro" w:hAnsi="Minion Pro"/>
          <w:lang w:val="en-US"/>
        </w:rPr>
        <w:instrText>ADDIN CSL_CITATION {"citationItems":[{"id":"ITEM-1","itemData":{"DOI":"10.1007/978-3-319-47143-3_7","ISBN":"9783319471433","PMID":"31314293","abstract":"Emerging adulthood, viewed through the lens of life course health development, has the potential to be a very positive developmental stage with postindustrial societies giving adolescents and emerging adults a greater opportunity for choice and exploration but also greater challenges with greater educational and social role requirements. The loss of supports and structures offered by schools, families, and child- and family-oriented health and social services means that the emerging adult must rely more on his/her own resources in a less structured environment. This increased agency in the context of less structure is occurring as the human brain is still developing higher-level capacities such as executive functioning. The person-context interactions during EA are many and complex, leading to multiple different pathways through emerging adulthood. Those with sufficient economic and adult supports as well as personal resources and maturity will be more likely to choose well and embark on a positive trajectory during EA. Those lacking these resources, or those with physical and mental health or intellectual disabilities, may struggle during this period and experience a negative trajectory in the spheres of education, vocation, relationships, and health status. The life course health science of EA requires more detailed and deeper analysis of the relationship between family, peers, and societal supports and personal internal resources in order to help promote successful developmental trajectories during EA.","author":[{"dropping-particle":"","family":"Wood","given":"David","non-dropping-particle":"","parse-names":false,"suffix":""},{"dropping-particle":"","family":"Crapnell","given":"Tara","non-dropping-particle":"","parse-names":false,"suffix":""},{"dropping-particle":"","family":"Lau","given":"Lynette","non-dropping-particle":"","parse-names":false,"suffix":""},{"dropping-particle":"","family":"Bennett","given":"Ashley","non-dropping-particle":"","parse-names":false,"suffix":""},{"dropping-particle":"","family":"Lotstein","given":"Debra","non-dropping-particle":"","parse-names":false,"suffix":""},{"dropping-particle":"","family":"Ferris","given":"Maria","non-dropping-particle":"","parse-names":false,"suffix":""},{"dropping-particle":"","family":"Kuo","given":"Alice","non-dropping-particle":"","parse-names":false,"suffix":""}],"container-title":"Handbook of Life Course Health Development","id":"ITEM-1","issued":{"date-parts":[["2017","1","1"]]},"page":"123-143","publisher":"Springer International Publishing","title":"Emerging adulthood as a critical stage in the life course","type":"article-journal"},"uris":["http://www.mendeley.com/documents/?uuid=68d2692a-35a2-3291-a527-7fb39b7bd6d2"]}],"mendeley":{"formattedCitation":"[9]","plainTextFormattedCitation":"[9]","previouslyFormattedCitation":"[10]"},"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[9]</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Based on the American cultural context, Arnett </w:t>
      </w:r>
      <w:r>
        <w:fldChar w:fldCharType="begin"/>
      </w:r>
      <w:r>
        <w:rPr>
          <w:sz w:val="24"/>
          <w:szCs w:val="24"/>
          <w:bCs/>
          <w:rFonts w:cs="Times New Roman" w:ascii="Minion Pro" w:hAnsi="Minion Pro"/>
          <w:lang w:val="en-US"/>
        </w:rPr>
        <w:instrText>ADDIN CSL_CITATION {"citationItems":[{"id":"ITEM-1","itemData":{"DOI":"10.1016/S2215-0366(14)00080-7","ISSN":"22150374","abstract":"Since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Psychiatry","id":"ITEM-1","issue":"7","issued":{"date-parts":[["2014"]]},"page":"569-576","title":"The new life stage of emerging adulthood at ages 18-29 years: Implications for mental health","type":"article-journal","volume":"1"},"uris":["http://www.mendeley.com/documents/?uuid=1394d968-69dc-3a0a-9b07-aeaa4f421b5d"]}],"mendeley":{"formattedCitation":"[6]","plainTextFormattedCitation":"[6]","previouslyFormattedCitation":"[7]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proposed five distinct characteristics of emerging adulthood including identity explorations, instability, self-focus, feeling in-between, and optimism/possibilities. However, cultural nuances have led to the development of different dimensions. The inventory of dimensions of emerging adulthood-Chinese version (IDEA-C) was developed previously and consists of four features including: self-exploration, instability, possibilities, and responsibility </w:t>
      </w:r>
      <w:r>
        <w:fldChar w:fldCharType="begin"/>
      </w:r>
      <w:r>
        <w:rPr>
          <w:sz w:val="24"/>
          <w:szCs w:val="24"/>
          <w:bCs/>
          <w:rFonts w:cs="Times New Roman" w:ascii="Minion Pro" w:hAnsi="Minion Pro"/>
          <w:lang w:val="en-US"/>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mendeley":{"formattedCitation":"[2]","plainTextFormattedCitation":"[2]","previouslyFormattedCitation":"[2]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Self-exploration is an important aspect of emerging adulthood, as individuals seek to understand themselves and their place in the world. With explorations and experience of internal struggles to establish their identity, emerging adults may exhibit significant challenges that influence their psychophysiological well-being </w:t>
      </w:r>
      <w:r>
        <w:fldChar w:fldCharType="begin"/>
      </w:r>
      <w:r>
        <w:rPr>
          <w:sz w:val="24"/>
          <w:szCs w:val="24"/>
          <w:bCs/>
          <w:rFonts w:cs="Times New Roman" w:ascii="Minion Pro" w:hAnsi="Minion Pro"/>
          <w:lang w:val="en-US"/>
        </w:rPr>
        <w:instrText>ADDIN CSL_CITATION {"citationItems":[{"id":"ITEM-1","itemData":{"DOI":"10.1093/acprof:oso/9780199929382.001.0001","ISBN":"9780190209643","abstract":"Temporary employment has become a focus of policy debate, theory, and research. This book addresses the relationship between temporary employment contracts and employee well-being. It does so within the analytic framework of the psychological contract, and advances theory and knowledge about the psychological contract by exploring it from a variety of perspectives. It also sets the psychological contract within the context of a range of other potential influences on work-related well-being including workload, job insecurity, employability, and organizational support. The book identifies the relative importance of these various potential influences on well-being, covering seven countries; Belgium, Germany, The Netherlands, Spain, Sweden, and the UK, as well as Israel as a comparator outside Europe. The book's conclusions are interesting and controversial. The central finding is that contrary to expectations, temporary workers report higher well-being than permanent workers. As expected, a range of factors help to explain variations in work-related well-being and the research highlights the important role of the psychological contract. However, even after taking into account alternative explanations, the significant influence of type of employment contract remains, with temporary workers reporting higher well-being. In addition to this core finding, by exploring several aspects of the psychological contract, and taking into account both employer and employee perspectives, the book sheds light on the nature and role of the psychological contract. It also raises some challenging policy questions and while acknowledging the potentially precarious nature of temporary jobs, highlights the need to consider the increasingly demanding nature of permanent jobs and their effects on the well-being of employees.","author":[{"dropping-particle":"","family":"Arnett","given":"Jeffrey Jensen","non-dropping-particle":"","parse-names":false,"suffix":""}],"container-title":"Emerging Adulthood","id":"ITEM-1","issued":{"date-parts":[["2014","10","30"]]},"publisher":"Oxford University Press","title":"Emerging Adulthood: The Winding Road from the Late Teens Through the Twenties","type":"book"},"uris":["http://www.mendeley.com/documents/?uuid=35c5de00-e031-3a97-a320-c6d44a9a086b"]}],"mendeley":{"formattedCitation":"[10]","plainTextFormattedCitation":"[10]","previouslyFormattedCitation":"[11]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For example, in coping with identity exploration, emerging adults often report increased tendencies toward ruminative exploration and depressive symptoms </w:t>
      </w:r>
      <w:r>
        <w:fldChar w:fldCharType="begin"/>
      </w:r>
      <w:r>
        <w:rPr>
          <w:sz w:val="24"/>
          <w:szCs w:val="24"/>
          <w:bCs/>
          <w:rFonts w:cs="Times New Roman" w:ascii="Minion Pro" w:hAnsi="Minion Pro"/>
          <w:lang w:val="en-US"/>
        </w:rPr>
        <w:instrText>ADDIN CSL_CITATION {"citationItems":[{"id":"ITEM-1","itemData":{"DOI":"10.1080/15298868.2022.2063371","ISSN":"15298876","abstract":"The present paper includes two studies examining how identity functioning is related to (psychological characteristics of) somatic symptoms. Study 1 examined associations between identity and somatic symptoms, whereas Study 2 additionally examined associations between identity and psychological characteristics of somatic symptoms and investigated the mediating role of anxiety and depressive symptoms in the association between identity disturbance and (psychological characteristics of) somatic symptoms. The total sample consisted of adolescents and emerging adults aged 14–30, including 686 and 663 participants for Study 1 and 2, respectively. In both studies, youth in troubled diffusion reported the most (psychological characteristics of) somatic symptoms. Finally, significant indirect effects from identity disturbance to (psychological characteristics of) somatic symptoms through anxiety and depressive symptoms were found.","author":[{"dropping-particle":"","family":"Raemen","given":"Leni","non-dropping-particle":"","parse-names":false,"suffix":""},{"dropping-particle":"","family":"Claes","given":"Laurence","non-dropping-particle":"","parse-names":false,"suffix":""},{"dropping-particle":"","family":"Verschueren","given":"Margaux","non-dropping-particle":"","parse-names":false,"suffix":""},{"dropping-particle":"","family":"Oudenhove","given":"Lukas","non-dropping-particle":"Van","parse-names":false,"suffix":""},{"dropping-particle":"","family":"Vandekerkhof","given":"Sarah","non-dropping-particle":"","parse-names":false,"suffix":""},{"dropping-particle":"","family":"Triangle","given":"Ine","non-dropping-particle":"","parse-names":false,"suffix":""},{"dropping-particle":"","family":"Luyckx","given":"Koen","non-dropping-particle":"","parse-names":false,"suffix":""}],"container-title":"Self and Identity","id":"ITEM-1","issue":"2","issued":{"date-parts":[["2023"]]},"page":"155-180","title":"Personal identity, somatic symptoms, and symptom-related thoughts, feelings, and behaviors: Exploring associations and mechanisms in adolescents and emerging adults","type":"article-journal","volume":"22"},"uris":["http://www.mendeley.com/documents/?uuid=5c7fce4d-a982-3273-93a8-e11d218f4c0e"]}],"mendeley":{"formattedCitation":"[11]","plainTextFormattedCitation":"[11]","previouslyFormattedCitation":"[12]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[11]</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alongside decreased experiences of fun, satisfaction, and excitement </w:t>
      </w:r>
      <w:r>
        <w:fldChar w:fldCharType="begin"/>
      </w:r>
      <w:r>
        <w:rPr>
          <w:sz w:val="24"/>
          <w:szCs w:val="24"/>
          <w:bCs/>
          <w:rFonts w:cs="Times New Roman" w:ascii="Minion Pro" w:hAnsi="Minion Pro"/>
          <w:lang w:val="en-US"/>
        </w:rPr>
        <w:instrText>ADDIN CSL_CITATION {"citationItems":[{"id":"ITEM-1","itemData":{"DOI":"10.1080/13676261.2015.1020934","ISSN":"14699680","abstract":"Emerging adulthood is recognized as a recent and developmentally distinct phase in the life-course, characterized as a period of identity exploration, of instability, being self-focused, feeling in-between, and an age of possibilities. To measure the subjective experience of emerging adulthood Reifman, Arnett, and Colwell developed the Inventory of the Dimensions of Emerging Adulthood (IDEA). While a series of studies demonstrated the applicability of the five dimensions of emerging adulthood and effectiveness of IDEA for measuring these in US samples, results from non-US samples revealed important cultural differences in how emerging adulthood is experienced. The current study tests the extent to which emerging adulthood is experienced by Dutch young people, and the relevance and validity of the IDEA for a general urban population sample from the Netherlands. We examined differences between socioeconomic and ethnic groups within this population. The results revealed that certain aspects of the Dutch emerging adulthood experience are different from the USA. In addition, there are small but significant differences between Dutch socioeconomic and ethnic groups in how this period of life is experienced. Economic and cultural explanations for these differences are discussed.","author":[{"dropping-particle":"","family":"Hill","given":"Jessica M.","non-dropping-particle":"","parse-names":false,"suffix":""},{"dropping-particle":"","family":"Lalji","given":"Manisha","non-dropping-particle":"","parse-names":false,"suffix":""},{"dropping-particle":"","family":"Rossum","given":"Gonneke","non-dropping-particle":"van","parse-names":false,"suffix":""},{"dropping-particle":"","family":"Geest","given":"Victor R.","non-dropping-particle":"van der","parse-names":false,"suffix":""},{"dropping-particle":"","family":"Blokland","given":"Arjan A.J.","non-dropping-particle":"","parse-names":false,"suffix":""}],"container-title":"Journal of Youth Studies","id":"ITEM-1","issue":"8","issued":{"date-parts":[["2015"]]},"page":"1035-1056","publisher":"Taylor &amp; Francis","title":"Experiencing emerging adulthood in the Netherlands","type":"article-journal","volume":"18"},"uris":["http://www.mendeley.com/documents/?uuid=a6d37b11-89b8-4d5a-97af-da96abf55adb"]}],"mendeley":{"formattedCitation":"[12]","plainTextFormattedCitation":"[12]","previouslyFormattedCitation":"[13]"},"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Instability refers to the uncertainty and changes that occur during this period, such as changes in relationships, education, and employment. All these uncertain life circumstances may create challenges and instability, subsequently leading to the development of several unstable mental problems (e.g., depression and stress) </w:t>
      </w:r>
      <w:r>
        <w:fldChar w:fldCharType="begin"/>
      </w:r>
      <w:r>
        <w:rPr>
          <w:sz w:val="24"/>
          <w:szCs w:val="24"/>
          <w:bCs/>
          <w:rFonts w:cs="Times New Roman" w:ascii="Minion Pro" w:hAnsi="Minion Pro"/>
          <w:lang w:val="en-US"/>
        </w:rPr>
        <w:instrText>ADDIN CSL_CITATION {"citationItems":[{"id":"ITEM-1","itemData":{"DOI":"10.1093/acprof:oso/9780199929382.001.0001","ISBN":"9780190209643","abstract":"Temporary employment has become a focus of policy debate, theory, and research. This book addresses the relationship between temporary employment contracts and employee well-being. It does so within the analytic framework of the psychological contract, and advances theory and knowledge about the psychological contract by exploring it from a variety of perspectives. It also sets the psychological contract within the context of a range of other potential influences on work-related well-being including workload, job insecurity, employability, and organizational support. The book identifies the relative importance of these various potential influences on well-being, covering seven countries; Belgium, Germany, The Netherlands, Spain, Sweden, and the UK, as well as Israel as a comparator outside Europe. The book's conclusions are interesting and controversial. The central finding is that contrary to expectations, temporary workers report higher well-being than permanent workers. As expected, a range of factors help to explain variations in work-related well-being and the research highlights the important role of the psychological contract. However, even after taking into account alternative explanations, the significant influence of type of employment contract remains, with temporary workers reporting higher well-being. In addition to this core finding, by exploring several aspects of the psychological contract, and taking into account both employer and employee perspectives, the book sheds light on the nature and role of the psychological contract. It also raises some challenging policy questions and while acknowledging the potentially precarious nature of temporary jobs, highlights the need to consider the increasingly demanding nature of permanent jobs and their effects on the well-being of employees.","author":[{"dropping-particle":"","family":"Arnett","given":"Jeffrey Jensen","non-dropping-particle":"","parse-names":false,"suffix":""}],"container-title":"Emerging Adulthood","id":"ITEM-1","issued":{"date-parts":[["2014","10","30"]]},"publisher":"Oxford University Press","title":"Emerging Adulthood: The Winding Road from the Late Teens Through the Twenties","type":"book"},"uris":["http://www.mendeley.com/documents/?uuid=35c5de00-e031-3a97-a320-c6d44a9a086b"]}],"mendeley":{"formattedCitation":"[10]","plainTextFormattedCitation":"[10]","previouslyFormattedCitation":"[11]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Possibilities refer to the opportunities and potential, such as exploring new interests and experiences, that arise during emerging adulthood. Despite the facing difficulties, challenges, and contradictions, majority of emerging adults maintain an unwavering belief in the promising prospects of their future </w:t>
      </w:r>
      <w:r>
        <w:fldChar w:fldCharType="begin"/>
      </w:r>
      <w:r>
        <w:rPr>
          <w:sz w:val="24"/>
          <w:szCs w:val="24"/>
          <w:bCs/>
          <w:rFonts w:cs="Times New Roman" w:ascii="Minion Pro" w:hAnsi="Minion Pro"/>
          <w:lang w:val="en-US"/>
        </w:rPr>
        <w:instrText>ADDIN CSL_CITATION {"citationItems":[{"id":"ITEM-1","itemData":{"author":[{"dropping-particle":"","family":"Arnett","given":"Jeffrey Jensen","non-dropping-particle":"","parse-names":false,"suffix":""},{"dropping-particle":"","family":"Schwab","given":"Joseph R","non-dropping-particle":"","parse-names":false,"suffix":""}],"id":"ITEM-1","issue":"December","issued":{"date-parts":[["2012"]]},"title":"The Clark University poll of emerging adults","type":"report"},"uris":["http://www.mendeley.com/documents/?uuid=3537a352-b960-4bc8-b8a2-e865a10fbe93"]}],"mendeley":{"formattedCitation":"[13]","plainTextFormattedCitation":"[13]","previouslyFormattedCitation":"[14]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leading to increased self-esteem and decreased levels of social anxiety levels </w:t>
      </w:r>
      <w:r>
        <w:fldChar w:fldCharType="begin"/>
      </w:r>
      <w:r>
        <w:rPr>
          <w:sz w:val="24"/>
          <w:szCs w:val="24"/>
          <w:bCs/>
          <w:rFonts w:cs="Times New Roman" w:ascii="Minion Pro" w:hAnsi="Minion Pro"/>
          <w:lang w:val="en-US"/>
        </w:rPr>
        <w:instrText>ADDIN CSL_CITATION {"citationItems":[{"id":"ITEM-1","itemData":{"DOI":"10.1177/2167696817706024","ISSN":"21676984","abstract":"A person-centered approach applied to the Inventory of Dimensions of Emerging Adulthood (IDEA) would provide a holistic outlook on this developmental period. This study aimed to (1) determine the presence of distinct profiles based on the IDEA scales and (2) compare these profiles with regard to sociodemographic indicators, internalizing problems, and problematic alcohol use. Participants (N = 307; mean age = 21) filled out the IDEA and questionnaires assessing internalizing problems and problematic alcohol use. Four profiles were identified: stalled transition (5%), moderate transition (43%), positive transition (35%), and transitional time (17%). Individuals in the transitional time profile reported higher internalizing problems and higher problematic alcohol use than youths assigned to the other profiles. These results suggest that applying a person-centered approach to the IDEA allows for the identification of distinct profiles with regard to the features of emerging adulthood and reported adjustment issues.","author":[{"dropping-particle":"","family":"Lanctot","given":"Joëlle","non-dropping-particle":"","parse-names":false,"suffix":""},{"dropping-particle":"","family":"Poulin","given":"François","non-dropping-particle":"","parse-names":false,"suffix":""}],"container-title":"Emerging Adulthood","id":"ITEM-1","issue":"2","issued":{"date-parts":[["2018"]]},"page":"91-103","title":"Emerging Adulthood Features and Adjustment: A Person-Centered Approach","type":"article-journal","volume":"6"},"uris":["http://www.mendeley.com/documents/?uuid=84fbbf53-f3cd-3a45-90cb-54c85c85e5a1"]}],"mendeley":{"formattedCitation":"[14]","plainTextFormattedCitation":"[14]","previouslyFormattedCitation":"[15]"},"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[14]</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Responsibility refers to the development of personal and social responsibilities, such as self-care and social contribution </w:t>
      </w:r>
      <w:r>
        <w:fldChar w:fldCharType="begin"/>
      </w:r>
      <w:r>
        <w:rPr>
          <w:sz w:val="24"/>
          <w:szCs w:val="24"/>
          <w:bCs/>
          <w:rFonts w:cs="Times New Roman" w:ascii="Minion Pro" w:hAnsi="Minion Pro"/>
          <w:lang w:val="en-US"/>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China","type":"article-journal","volume":"23"},"uris":["http://www.mendeley.com/documents/?uuid=35c7a1fd-d606-3b51-8601-cc41c173c7c2"]},{"id":"ITEM-2","itemData":{"DOI":"10.1016/S2215-0366(14)00080-7","ISSN":"22150374","abstract":"Since 1960 demographic trends towards longer time in education and late age to enter into marriage and of parenthood have led to the rise of a new life stage at ages 18-29 years, now widely known as emerging adulthood in developmental psychology. In this review we present some of the demographics of emerging adulthood in high-income countries with respect to the prevalence of tertiary education and the timing of parenthood. We examine the characteristics of emerging adulthood in several regions (with a focus on mental health implications) including distinctive features of emerging adulthood in the USA, unemployment in Europe, and a shift towards greater individualism in Japan.","author":[{"dropping-particle":"","family":"Arnett","given":"Jeffrey J.","non-dropping-particle":"","parse-names":false,"suffix":""},{"dropping-particle":"","family":"Žukauskiene","given":"Rita","non-dropping-particle":"","parse-names":false,"suffix":""},{"dropping-particle":"","family":"Sugimura","given":"Kazumi","non-dropping-particle":"","parse-names":false,"suffix":""}],"container-title":"The Lancet Psychiatry","id":"ITEM-2","issue":"7","issued":{"date-parts":[["2014"]]},"page":"569-576","title":"The new life stage of emerging adulthood at ages 18-29 years: Implications for mental health","type":"article-journal","volume":"1"},"uris":["http://www.mendeley.com/documents/?uuid=1394d968-69dc-3a0a-9b07-aeaa4f421b5d"]}],"mendeley":{"formattedCitation":"[2,6]","plainTextFormattedCitation":"[2,6]","previouslyFormattedCitation":"[2,7]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Accepting responsibility is associated with perceived emotional well-being and life satisfaction in emerging adults </w:t>
      </w:r>
      <w:r>
        <w:fldChar w:fldCharType="begin"/>
      </w:r>
      <w:r>
        <w:rPr>
          <w:sz w:val="24"/>
          <w:szCs w:val="24"/>
          <w:bCs/>
          <w:rFonts w:cs="Times New Roman" w:ascii="Minion Pro" w:hAnsi="Minion Pro"/>
          <w:lang w:val="en-US"/>
        </w:rPr>
        <w:instrText>ADDIN CSL_CITATION {"citationItems":[{"id":"ITEM-1","itemData":{"DOI":"10.1002/cfp2.1132","ISSN":"2573-8615","abstract":"Using the 2017 wave of the transition to adulthood dataset, this study examined the association between the achievement of key milestone markers of adulthood and the well‐being of emerging adults between ages 18 and 28. Results indicate that relationship status, financial behavior, and perceived capability were positively associated with the well‐being of emerging adults. The results also indicate that financial responsibility, mediated by cohabiting relationship status, was negatively associated with relationship satisfaction and life satisfaction of emerging adults. All relationship categories were positively associated with well‐being when compared with the reference group of emerging adults who were single and not in a relationship. The study also found that being African Americans or other racial‐ethnic minority groups was negatively associated with life satisfaction, thus indicating a greater need for programs and policies to bridge the gap in perceived well‐being that currently exists between Non‐Hispanic Whites and other racial‐ethnic minority groups. Educational attainment was positively associated with the perceived well‐being of emerging adults. Implications of the key findings of this study are included for financial planners, scholars, and policymakers.","author":[{"dropping-particle":"","family":"Chatterjee","given":"Swarn","non-dropping-particle":"","parse-names":false,"suffix":""},{"dropping-particle":"","family":"Kim","given":"Jinhee","non-dropping-particle":"","parse-names":false,"suffix":""},{"dropping-particle":"","family":"Chung","given":"Saerom","non-dropping-particle":"","parse-names":false,"suffix":""}],"container-title":"Financial Planning Review","id":"ITEM-1","issue":"4","issued":{"date-parts":[["2021"]]},"page":"1-17","title":"Emerging adulthood milestones, perceived capability, and psychological well‐being while transitioning to adulthood: Evidence from a national study","type":"article-journal","volume":"4"},"uris":["http://www.mendeley.com/documents/?uuid=4e106458-62a3-4575-9742-7cf569359456"]}],"mendeley":{"formattedCitation":"[15]","plainTextFormattedCitation":"[15]","previouslyFormattedCitation":"[16]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Therefore, positively improving the characteristics of these adults is very important to promote their physical and mental health. </w:t>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r>
    </w:p>
    <w:p>
      <w:pPr>
        <w:pStyle w:val="Normal"/>
        <w:widowControl w:val="false"/>
        <w:spacing w:lineRule="auto" w:line="240"/>
        <w:jc w:val="both"/>
        <w:rPr>
          <w:rFonts w:ascii="Minion Pro" w:hAnsi="Minion Pro" w:cs="Times New Roman"/>
          <w:bCs/>
          <w:sz w:val="24"/>
          <w:szCs w:val="24"/>
          <w:lang w:val="en-US"/>
        </w:rPr>
      </w:pPr>
      <w:r>
        <w:rPr>
          <w:rFonts w:cs="Times New Roman" w:ascii="Minion Pro" w:hAnsi="Minion Pro"/>
          <w:bCs/>
          <w:sz w:val="24"/>
          <w:szCs w:val="24"/>
          <w:lang w:val="en-US"/>
        </w:rPr>
        <w:t xml:space="preserve">Early adulthood serves as a crucial transition, significantly influencing the establishment and adoption of health-promoting behaviors and features of emerging adulthood that persist throughout an individual's life </w:t>
      </w:r>
      <w:r>
        <w:fldChar w:fldCharType="begin"/>
      </w:r>
      <w:r>
        <w:rPr>
          <w:sz w:val="24"/>
          <w:szCs w:val="24"/>
          <w:bCs/>
          <w:rFonts w:cs="Times New Roman" w:ascii="Minion Pro" w:hAnsi="Minion Pro"/>
          <w:lang w:val="en-US"/>
        </w:rPr>
        <w:instrText>ADDIN CSL_CITATION {"citationItems":[{"id":"ITEM-1","itemData":{"DOI":"10.1016/j.alcr.2013.12.002","ISSN":"18796974","PMID":"24796877","abstract":"The transition to adulthood in the US has become increasingly diverse over the last fifty years, leaving young adults without a normative pathway to adulthood. Using Waves I and III of the National Longitudinal Study of Adolescent Health (N= 7803), I draw from a cumulative advantages/disadvantages (CAD) perspective to examine the relationships between union formation, parenthood, college attendance, full-time employment, home-leaving, and changes in health-promoting behaviors between adolescence and young adulthood. I find that men and women who marry, cohabit, or attend college during the transition from adolescence to young adulthood report fewer losses in healthy behaviors over time. When the sample is divided into mutually exclusive \"pathways to adulthood\", two higher-risk groups emerge for both men and women: single parents and those transitioning into fulltime work without attending college or forming families. These groups experience greater losses in healthy behaviors over time even after adjusting for family of origin characteristics and may be at long-term risk for persistently low engagement in health-promoting behaviors. © 2013 Elsevier Ltd.","author":[{"dropping-particle":"","family":"Frech","given":"Adrianne","non-dropping-particle":"","parse-names":false,"suffix":""}],"container-title":"Advances in Life Course Research","id":"ITEM-1","issue":"1","issued":{"date-parts":[["2014"]]},"page":"40-49","publisher":"NIH Public Access","title":"Pathways to adulthood and changes in health-promoting behaviors","type":"article-journal","volume":"19"},"uris":["http://www.mendeley.com/documents/?uuid=021b33c8-81ae-33a9-99ac-c8e91c656cc5"]}],"mendeley":{"formattedCitation":"[16]","plainTextFormattedCitation":"[16]","previouslyFormattedCitation":"[17]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Previous studies have highlighted independent assoc</w:t>
      </w:r>
      <w:r>
        <w:rPr>
          <w:rFonts w:cs="Times New Roman" w:ascii="Minion Pro" w:hAnsi="Minion Pro"/>
          <w:bCs/>
          <w:sz w:val="24"/>
          <w:szCs w:val="24"/>
          <w:lang w:val="en-US" w:eastAsia="zh-CN"/>
        </w:rPr>
        <w:t>i</w:t>
      </w:r>
      <w:r>
        <w:rPr>
          <w:rFonts w:cs="Times New Roman" w:ascii="Minion Pro" w:hAnsi="Minion Pro"/>
          <w:bCs/>
          <w:sz w:val="24"/>
          <w:szCs w:val="24"/>
          <w:lang w:val="en-US"/>
        </w:rPr>
        <w:t xml:space="preserve">ations between regular physical activity (PA), sedentary behavior, sleep patterns, and psychological health </w:t>
      </w:r>
      <w:r>
        <w:fldChar w:fldCharType="begin"/>
      </w:r>
      <w:r>
        <w:rPr>
          <w:sz w:val="24"/>
          <w:szCs w:val="24"/>
          <w:bCs/>
          <w:rFonts w:cs="Times New Roman" w:ascii="Minion Pro" w:hAnsi="Minion Pro"/>
          <w:lang w:val="en-US"/>
        </w:rPr>
        <w:instrText>ADDIN CSL_CITATION {"citationItems":[{"id":"ITEM-1","itemData":{"DOI":"10.32604/ijmhp.2023.030539","ISSN":"1462-3730","author":[{"dropping-particle":"","family":"Chen","given":"Jinghua","non-dropping-particle":"","parse-names":false,"suffix":""},{"dropping-particle":"","family":"Wang","given":"Zihe","non-dropping-particle":"","parse-names":false,"suffix":""},{"dropping-particle":"","family":"Herold","given":"Fabian","non-dropping-particle":"","parse-names":false,"suffix":""},{"dropping-particle":"","family":"Taylor","given":"Alyx","non-dropping-particle":"","parse-names":false,"suffix":""},{"dropping-particle":"","family":"Kuang","given":"Jin","non-dropping-particle":"","parse-names":false,"suffix":""},{"dropping-particle":"","family":"Wang","given":"Ting","non-dropping-particle":"","parse-names":false,"suffix":""},{"dropping-particle":"","family":"F. Kramer","given":"Arthur","non-dropping-particle":"","parse-names":false,"suffix":""},{"dropping-particle":"","family":"Zou","given":"Liye","non-dropping-particle":"","parse-names":false,"suffix":""}],"container-title":"International Journal of Mental Health Promotion","id":"ITEM-1","issue":"0","issued":{"date-parts":[["2023"]]},"page":"1-10","title":"Relationships between Features of Emerging Adulthood, Situated Decisions Toward Physical Activity, and Physical Activity Among College Students: The Moderating Role of Exercise-Intensity Tolerance","type":"article-journal","volume":"0"},"uris":["http://www.mendeley.com/documents/?uuid=2476f437-8380-477c-a3f9-c20d0d93faa1"]},{"id":"ITEM-2","itemData":{"DOI":"10.1186/s12889-021-12116-6","ISSN":"14712458","PMID":"34753485","abstract":"Background: The Canadian 24-Hour Movement Guidelines for Adults was released in 2020. There is a dearth of evidence on the association between adherence to the 24 h movement guidelines and health indicators. This study aims to (a) explore the associations between potential correlates and meeting the 24 h movement guidelines using a sample of Chinese university students; and (b) examine if meeting 24 h movement guidelines is associated with the severity of anxiety symptoms. Methods: Cross-sectional findings are based on 1846 Chinese university students (mean age = 20.7 years, 64.0% female). Movement behaviors (physical activity, sedentary behavior, and sleep duration), possible correlates, and anxiety symptoms were measured through self-reported online questionnaires. Logistic regression models were performed to examine the associations. Results: We found that male students and those who had a mother with a master’s degree or above, more close friends and higher perceived family affluence were more likely to meet the overall 24 h guidelines. Meeting all 24 h movement guidelines presented the lower odds for severe anxiety symptoms than those meeting fewer recommendations in the 24 h movement guidelines. Conclusions: As one of the first to examine the correlates of adherence to the 24 h movement guidelines and the relationship between anxiety symptoms and meeting the guidelines among Chinese university students, our findings contribute to the growing body of evidence linking movement behaviors, psychosocial correlates, and heath indicators. Schools and health providers can encourage movement behaviors that follow the guidelines on campus.","author":[{"dropping-particle":"","family":"Bu","given":"He","non-dropping-particle":"","parse-names":false,"suffix":""},{"dropping-particle":"","family":"He","given":"Ai","non-dropping-particle":"","parse-names":false,"suffix":""},{"dropping-particle":"","family":"Gong","given":"Na","non-dropping-particle":"","parse-names":false,"suffix":""},{"dropping-particle":"","family":"Huang","given":"Liuyue","non-dropping-particle":"","parse-names":false,"suffix":""},{"dropping-particle":"","family":"Liang","given":"Kaixin","non-dropping-particle":"","parse-names":false,"suffix":""},{"dropping-particle":"","family":"Kastelic","given":"Kaja","non-dropping-particle":"","parse-names":false,"suffix":""},{"dropping-particle":"","family":"Ma","given":"Jiani","non-dropping-particle":"","parse-names":false,"suffix":""},{"dropping-particle":"","family":"Liu","given":"Yang","non-dropping-particle":"","parse-names":false,"suffix":""},{"dropping-particle":"","family":"Chen","given":"Si Tong","non-dropping-particle":"","parse-names":false,"suffix":""},{"dropping-particle":"","family":"Chi","given":"Xinli","non-dropping-particle":"","parse-names":false,"suffix":""}],"container-title":"BMC Public Health","id":"ITEM-2","issue":"1","issued":{"date-parts":[["2021","12","1"]]},"page":"1-11","publisher":"BioMed Central Ltd","title":"Optimal movement behaviors: correlates and associations with anxiety symptoms among Chinese university students","type":"article-journal","volume":"21"},"uris":["http://www.mendeley.com/documents/?uuid=0cab7f26-bef8-37b5-9cff-2fc2476717aa"]},{"id":"ITEM-3","itemData":{"ISBN":"9780620717977","abstract":"This study examined the relationship between hope, optimism, physical activity and involuntary absenteeism. White-collar employees from various South African organisations completed an electronic questionnaire comprised of Likert-type scale items relating to Psychological Capital (PsyCap), as measured by the constructs of hope and optimism; participation in physical activity, either that resulting from engaging in physical exercise or household chores; and absenteeism from the workplace. The sample of 163 comprised males and females, ranging from 18 to 68 years old, and represented all ethnic groups. The results demonstrated a positive relationship between hope and participation in physical activity and between participation in chores and involuntary absenteeism. The findings of this study, supported by strong consensus in the literature, demonstrate the active role played by physical activity in increasing the physical and mental well-being of employees. Through providing health and wellness programmes that stimulate positive psychology and exercise, organisations are able to benefit from healthier employees and reduce the chances of employees becoming ill and staying away from work.","author":[{"dropping-particle":"","family":"Mulenga","given":"Gilham &amp;","non-dropping-particle":"","parse-names":false,"suffix":""}],"container-title":"Proceedings of the 28th Annual Conference of the Southern African Institute of Management Scientists","id":"ITEM-3","issued":{"date-parts":[["2016"]]},"page":"105-118","title":"The relationship between hope optimism physical activity and Involuntary absenteeism","type":"article-journal"},"uris":["http://www.mendeley.com/documents/?uuid=01b04cce-19b1-3e6c-a1b6-8ab114c233b8"]},{"id":"ITEM-4","itemData":{"DOI":"10.1123/jpah.2020-0148","abstract":"Background: The purpose of this study was to examine the independent and joint associations between physical activity (PA) and sports participation on academic performance variables within a representative sample of children and adolescents. Methods: Data were analyzed from the combined 2017-2018 National Survey of Children's Health. Household addresses were randomly selected within each US state. One household parent answered health and wellness questions pertaining to one randomly selected household child (N = 37,392; 48.1% female; 6-to 17-y old). Weighted logistic regression models were employed to examine the independent and joint associations between child PA frequency and sports participation with academic performance variables, adjusting for child-and family-level covariates. Results: Child PA frequency independently associated with 37% to 46% lower odds and child sports participation independently associated with 53% lower odds of reported difficulty concentrating, remembering, or making decisions (P &lt; .001). For children who participated in sports, PA associated with 47% to 56% lower odds of ever repeating a grade level (P = .01). Conclusions: Frequency of weekly PA and sports participation independently and negatively associated with difficulty concentrating, remembering, and making decisions, whereas the negative association between PA and ever repeating a grade level differed by child sports participation status.","author":[{"dropping-particle":"","family":"Burns","given":"Ryan Donald","non-dropping-particle":"","parse-names":false,"suffix":""},{"dropping-particle":"","family":"Bai","given":"Yang","non-dropping-particle":"","parse-names":false,"suffix":""},{"dropping-particle":"","family":"Brusseau","given":"Timothy A","non-dropping-particle":"","parse-names":false,"suffix":""},{"dropping-particle":"","family":"Burns","given":"Ryan D","non-dropping-particle":"","parse-names":false,"suffix":""}],"container-title":"National Survey of Children's He... Article in Journal of Physical Activity and Health","id":"ITEM-4","issued":{"date-parts":[["2017"]]},"title":"Physical Activity and Sports Participation Associates With Cognitive Functioning and Academic Progression: An Analysis Using the Physical Activity and Sports Participation Associates With Cognitive Functioning and Academic Progression: An Analysis Using the Combined 2017-2018 National Survey of Children's Health","type":"article-journal"},"uris":["http://www.mendeley.com/documents/?uuid=1c8b56ed-170e-3359-a547-97217a93606f"]},{"id":"ITEM-5","itemData":{"DOI":"10.3967/bes2021.059","ISSN":"08953988","PMID":"34284850","abstract":"Objective: This study was aimed at examining the trends and correlates of physical activity (PA) and sedentary behaviors among Chinese children. Methods: A total of 4,341 subjects (6,936 observations) aged 6–17 years who participated in the China Health and Nutrition Survey (2004–2015) were included. Of the subjects, 41% participated in the survey twice or more. Random-effects ordinal regression models and repeated-measures mixed-effects models were used to examine the PA trends. Quantile regression models were applied to examine the factors influencing PA and sedentary behaviors. Results: From 2004 to 2015, the prevalence of physical inactivity among Chinese children aged 6–17 years increased by 5.5% [odds ratio (OR), 1.51; 95% confidence interval (CI), 1.19–1.90; P &lt; 0.001]. The PA volume declined by 5.8 metabolic equivalent of task-hr/week (P &lt; 0.001), and the time spent in sedentary behaviors increased by 1.8 hr/week (P &lt; 0.001). Age, ethnicity, and region showed significant effects on the PA volume across the quartiles (P &lt; 0.001). Across the quartiles, sedentary time was significantly higher in the children residing in urban areas (P &lt; 0.001) or areas with high urbanization levels (P ≤ 0.005) than in their counterparts. Conclusions: A declining PA trend among Chinese children aged 6–17 years was observed from 2004 to 2015, and certain subgroups and geographical areas are at higher risk of physical inactivity.","author":[{"dropping-particle":"","family":"Yang","given":"Xi","non-dropping-particle":"","parse-names":false,"suffix":""},{"dropping-particle":"","family":"Leung","given":"Alice Waiyi","non-dropping-particle":"","parse-names":false,"suffix":""},{"dropping-particle":"","family":"Jago","given":"Russell","non-dropping-particle":"","parse-names":false,"suffix":""},{"dropping-particle":"","family":"Yu","given":"Shi Cheng","non-dropping-particle":"","parse-names":false,"suffix":""},{"dropping-particle":"","family":"Zhao","given":"Wen Hua","non-dropping-particle":"","parse-names":false,"suffix":""}],"container-title":"Biomedical and Environmental Sciences","id":"ITEM-5","issue":"6","issued":{"date-parts":[["2021"]]},"page":"425-438","title":"Physical Activity and Sedentary Behaviors among Chinese Children: Recent Trends and Correlates","type":"article-journal","volume":"34"},"uris":["http://www.mendeley.com/documents/?uuid=035b0a8c-4e6a-499e-86e9-9946f4c198c7"]}],"mendeley":{"formattedCitation":"[17–21]","plainTextFormattedCitation":"[17–21]","previouslyFormattedCitation":"[18–22]"},"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[17–21]</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For example, a prospective study on emerging adults show that engaging in daily PA can significantly improve an individual’s satisfaction with life </w:t>
      </w:r>
      <w:r>
        <w:fldChar w:fldCharType="begin"/>
      </w:r>
      <w:r>
        <w:rPr>
          <w:sz w:val="24"/>
          <w:szCs w:val="24"/>
          <w:bCs/>
          <w:rFonts w:cs="Times New Roman" w:ascii="Minion Pro" w:hAnsi="Minion Pro"/>
          <w:lang w:val="en-US"/>
        </w:rPr>
        <w:instrText>ADDIN CSL_CITATION {"citationItems":[{"id":"ITEM-1","itemData":{"DOI":"10.1037/a0030129","ISSN":"02786133","PMID":"23088171","abstract":"Objective: Subjective well-being has well-established positive health consequences. During emerging adulthood, from ages 18 to 25 years, people's global evaluations of their well-being (i.e., satisfaction with life [SWL]) appear to worsen more than any other time in the adult life span, indicating that this population would benefit from strategies to enhance SWL. In these studies, we investigated top-down (i.e., time-invariant, trait-like) and bottom-up (i.e., time-varying, state-like) influences of physical activity (PA) on daily SWL. Methods: Two daily diary studies lasting 8 days (N = 190) and 14 days (N = 63) were conducted with samples of emerging adults enrolled in college to evaluate relations between daily PA and SWL while controlling for established and plausible top-down and bottom-up influences on SWL. Results: In both studies, multilevel models indicated that people reported greater SWL on days when they were more active (a within-person, bottom-up effect). Top-down effects of PA were not significant in either study. These findings were robust when we controlled for competing top-down influences (e.g., sex, personality traits, self-esteem, body mass index, mental health symptoms, fatigue) and bottom-up influences (e.g., daily self-esteem, daily mental health symptoms, daily fatigue). Conclusions: We concluded that SWL was impacted by people's daily PA rather than their trait level of PA over time. These findings extend evidence that PA is a health behavior with important consequences for daily well-being and should be considered when developing national policies to enhance SWL. © 2012 the American Psychological Association.","author":[{"dropping-particle":"","family":"Maher","given":"Jaclyn P.","non-dropping-particle":"","parse-names":false,"suffix":""},{"dropping-particle":"","family":"Doerksen","given":"Shawna E.","non-dropping-particle":"","parse-names":false,"suffix":""},{"dropping-particle":"","family":"Elavsky","given":"Steriani","non-dropping-particle":"","parse-names":false,"suffix":""},{"dropping-particle":"","family":"Hyde","given":"Amanda L.","non-dropping-particle":"","parse-names":false,"suffix":""},{"dropping-particle":"","family":"Pincus","given":"Aaron L.","non-dropping-particle":"","parse-names":false,"suffix":""},{"dropping-particle":"","family":"Ram","given":"Nilam","non-dropping-particle":"","parse-names":false,"suffix":""},{"dropping-particle":"","family":"Conroy","given":"David E.","non-dropping-particle":"","parse-names":false,"suffix":""}],"container-title":"Health Psychology","id":"ITEM-1","issue":"6","issued":{"date-parts":[["2013","6"]]},"page":"647-656","publisher":"NIH Public Access","title":"A daily analysis of physical activity and satisfaction with life in emerging adults","type":"article-journal","volume":"32"},"uris":["http://www.mendeley.com/documents/?uuid=3cde0d31-79e3-3e4d-9e5c-b9bee34071c0"]}],"mendeley":{"formattedCitation":"[22]","plainTextFormattedCitation":"[22]","previouslyFormattedCitation":"[23]"},"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[22]</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and reduce depressive symptoms </w:t>
      </w:r>
      <w:r>
        <w:fldChar w:fldCharType="begin"/>
      </w:r>
      <w:r>
        <w:rPr>
          <w:sz w:val="24"/>
          <w:szCs w:val="24"/>
          <w:bCs/>
          <w:rFonts w:cs="Times New Roman" w:ascii="Minion Pro" w:hAnsi="Minion Pro"/>
          <w:lang w:val="en-US"/>
        </w:rPr>
        <w:instrText>ADDIN CSL_CITATION {"citationItems":[{"id":"ITEM-1","itemData":{"DOI":"10.1016/j.adolescence.2015.01.008","ISSN":"10959254","PMID":"25721258","abstract":"This study examined the influence of physical activity on the trajectory of depression from adolescence through emerging adulthood (EA). Using data from the National Longitudinal Study of Adolescent Health (Waves I to IV), latent growth curve modeling was performed to assess how physical activity and gender influenced depression across adolescence and EA. Higher levels of physical activity in mid-adolescence were associated with lower levels of depression during mid-adolescence and slower inclines and declines in depression over time. Boys had lower levels of depression in mid-adolescence and slower inclines and declines in depression over time compared to girls. Findings provide evidence that current theories on understanding depression and mental health prevention programs may be enhanced by the inclusion of physical activity.","author":[{"dropping-particle":"","family":"McPhie","given":"Meghan L.","non-dropping-particle":"","parse-names":false,"suffix":""},{"dropping-particle":"","family":"Rawana","given":"Jennine S.","non-dropping-particle":"","parse-names":false,"suffix":""}],"container-title":"Journal of Adolescence","id":"ITEM-1","issued":{"date-parts":[["2015","4","1"]]},"page":"83-92","publisher":"No longer published by Elsevier","title":"The effect of physical activity on depression in adolescence and emerging adulthood: A growth-curve analysis","type":"article-journal","volume":"40"},"uris":["http://www.mendeley.com/documents/?uuid=545eecda-a3b6-3f92-9bdd-e9c2f85ad51b"]}],"mendeley":{"formattedCitation":"[23]","plainTextFormattedCitation":"[23]","previouslyFormattedCitation":"[24]"},"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[23]</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Reduced sedentary time or sufficient sleep in emerging adults has been linked to decreased anxiety and depression levels </w:t>
      </w:r>
      <w:r>
        <w:fldChar w:fldCharType="begin"/>
      </w:r>
      <w:r>
        <w:rPr>
          <w:sz w:val="24"/>
          <w:szCs w:val="24"/>
          <w:bCs/>
          <w:rFonts w:cs="Times New Roman" w:ascii="Minion Pro" w:hAnsi="Minion Pro"/>
          <w:lang w:val="en-US"/>
        </w:rPr>
        <w:instrText>ADDIN CSL_CITATION {"citationItems":[{"id":"ITEM-1","itemData":{"DOI":"10.1177/2167696816674551","ISSN":"21676984","abstract":"Daily covariation of three sleep indicators (quantity, quality, postsleep restedness), anxiety symptoms, and caffeine and alcohol consumption was observed in 283 emerging adults (Mage = 19.9). Participants completed web-based sleep diary surveys every morning and evening for 7 consecutive days. Cross-lagged models suggested that sleep quality and restedness (reported each morning) predicted students’ anxiety levels (reported each evening) and that anxiety levels predicted all three sleep indicators. Furthermore, pre-bedtime caffeine consumption predicted worse sleep that night. Controlling for the effects of weekdays versus weekends produced virtually identical effects to the 7-day models, although weekend alcohol consumption emerged as a predictor of postsleep restedness. These data support bidirectionality between sleep and anxiety symptoms in emerging adults attending college/university and highlight potential avenues for intervention.","author":[{"dropping-particle":"","family":"Peltz","given":"Jack S.","non-dropping-particle":"","parse-names":false,"suffix":""},{"dropping-particle":"","family":"Rogge","given":"Ronald D.","non-dropping-particle":"","parse-names":false,"suffix":""},{"dropping-particle":"","family":"Pugach","given":"Cameron P.","non-dropping-particle":"","parse-names":false,"suffix":""},{"dropping-particle":"","family":"Strang","given":"Kathryn","non-dropping-particle":"","parse-names":false,"suffix":""}],"container-title":"Emerging Adulthood","id":"ITEM-1","issue":"3","issued":{"date-parts":[["2017"]]},"page":"204-215","title":"Bidirectional Associations Between Sleep and Anxiety Symptoms in Emerging Adults in a Residential College Setting","type":"article-journal","volume":"5"},"uris":["http://www.mendeley.com/documents/?uuid=1bd5be54-8478-37cb-8b8d-5db8a1c3f6bd"]},{"id":"ITEM-2","itemData":{"DOI":"10.1016/j.jad.2016.06.045","ISSN":"15732517","PMID":"27351099","abstract":"Introduction Knowledge regarding the effects of sedentary behavior on anxiety has resulted mainly from observational studies. The purpose of this study was to examine the effects of a free-living, sedentary behavior-inducing randomized controlled intervention on anxiety symptoms. Methods Participants confirmed to be active (i.e., acquiring 150 min/week of physical activity) via self-report and accelerometry were randomly assigned into a sedentary behavior intervention group (n=26) or a control group (n=13). For one week, the intervention group eliminated exercise and minimized steps to ≤5000 steps/day whereas the control group continued their normal physical activity levels. Both groups completed the Overall Anxiety Severity Impairment Scale (OASIS) pre- and post-intervention, with higher OASIS scores indicating worse overall anxiety. The intervention group resumed normal physical activity levels for one week post-intervention and then completed the survey once more. Results A significant group x time interaction effect was observed (F(1,37)=11.13; P=.002), with post-hoc contrast tests indicating increased OASIS scores in the intervention group in Visit 2 compared with Visit 1. That is, we observed an increase in anxiety levels when participants increased their sedentary behavior. OASIS scores significantly decreased from Visit 2 to Visit 3 (P=.001) in the intervention group. Conclusion A one-week sedentary behavior-inducing intervention has deleterious effects on anxiety in an active, young adult population. To prevent elevated anxiety levels among active individuals, consistent regular physical activity may be necessary. Clinicians treating inactive patients who have anxiety may recommend a physical activity program in addition to any other prescribed treatment.","author":[{"dropping-particle":"","family":"Edwards","given":"Meghan K.","non-dropping-particle":"","parse-names":false,"suffix":""},{"dropping-particle":"","family":"Loprinzi","given":"Paul D.","non-dropping-particle":"","parse-names":false,"suffix":""}],"container-title":"Journal of Affective Disorders","id":"ITEM-2","issued":{"date-parts":[["2016","11","1"]]},"page":"166-173","publisher":"Elsevier","title":"Experimentally increasing sedentary behavior results in increased anxiety in an active young adult population","type":"article-journal","volume":"204"},"uris":["http://www.mendeley.com/documents/?uuid=ffbc7521-b67c-3cec-b056-84c49a83b781"]}],"mendeley":{"formattedCitation":"[24,25]","plainTextFormattedCitation":"[24,25]","previouslyFormattedCitation":"[25,26]"},"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[24,25]</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To encourage healthy lifestyles in the whole population, </w:t>
      </w:r>
      <w:bookmarkStart w:id="12" w:name="OLE_LINK23"/>
      <w:bookmarkStart w:id="13" w:name="OLE_LINK24"/>
      <w:r>
        <w:rPr>
          <w:rFonts w:cs="Times New Roman" w:ascii="Minion Pro" w:hAnsi="Minion Pro"/>
          <w:bCs/>
          <w:sz w:val="24"/>
          <w:szCs w:val="24"/>
          <w:lang w:val="en-US"/>
        </w:rPr>
        <w:t xml:space="preserve">the Chinese government developed the 24-hour movement guidelines that advocate for daily </w:t>
      </w:r>
      <w:bookmarkEnd w:id="12"/>
      <w:bookmarkEnd w:id="13"/>
      <w:r>
        <w:rPr>
          <w:rFonts w:cs="Times New Roman" w:ascii="Minion Pro" w:hAnsi="Minion Pro"/>
          <w:bCs/>
          <w:sz w:val="24"/>
          <w:szCs w:val="24"/>
          <w:lang w:val="en-US"/>
        </w:rPr>
        <w:t xml:space="preserve">PA, balanced sedentary behavior, and adequate sleep </w:t>
      </w:r>
      <w:r>
        <w:fldChar w:fldCharType="begin"/>
      </w:r>
      <w:r>
        <w:rPr>
          <w:sz w:val="24"/>
          <w:szCs w:val="24"/>
          <w:bCs/>
          <w:rFonts w:cs="Times New Roman" w:ascii="Minion Pro" w:hAnsi="Minion Pro"/>
          <w:lang w:val="en-US"/>
        </w:rPr>
        <w:instrText>ADDIN CSL_CITATION {"citationItems":[{"id":"ITEM-1","itemData":{"DOI":"10.1186/s44167-022-00009-x","ISSN":"2731-4391","abstract":" Physical inactivity has long been a global public health issue. In response to this, China published new Physical Activity and Sedentary Behaviour Guidelines for Chinese People in 2021 (PASBG 2021). This is a milestone in China’s public health, behavioural epidemiology and an important contribution to the Healthy China 2030 initiative. This commentary summarises the contents and highlighted the significance of the new guidelines. The new Chinese PASBG provide foundations for population-based estimates of healthy behaviours, strategies addressing physical inactivity and messages designed to encourage people to be more active. While the contents of the PASBG 2021 are mostly consistent with the World Health Organisation physical activity guidelines, it is unclear on what evidence they are based, and whether this included research in Chinese people. Physical activity research in China is very limited and it is urgently needed to advance national-based physical activity research in China in accordance with the behavioural epidemiology framework. The development of new PASBG is only the first step, now it is what is done to communicate and disseminate, provide opportunities and supportive environments that will make a difference to physical activity levels in China. As such, we hope the PASBG 2021 will not only become a document for educating Chinese people to move more, but also an impetus for improving population health research. ","author":[{"dropping-particle":"","family":"Chen","given":"Sitong","non-dropping-particle":"","parse-names":false,"suffix":""},{"dropping-particle":"","family":"Ma","given":"Jiani","non-dropping-particle":"","parse-names":false,"suffix":""},{"dropping-particle":"","family":"Hong","given":"Jintao","non-dropping-particle":"","parse-names":false,"suffix":""},{"dropping-particle":"","family":"Chen","given":"Cheng","non-dropping-particle":"","parse-names":false,"suffix":""},{"dropping-particle":"","family":"Yang","given":"Yanxiang","non-dropping-particle":"","parse-names":false,"suffix":""},{"dropping-particle":"","family":"Yang","given":"Zhen","non-dropping-particle":"","parse-names":false,"suffix":""},{"dropping-particle":"","family":"Zheng","given":"Peixuan","non-dropping-particle":"","parse-names":false,"suffix":""},{"dropping-particle":"","family":"Tang","given":"Yiling","non-dropping-particle":"","parse-names":false,"suffix":""}],"container-title":"Journal of Activity, Sedentary and Sleep Behaviors","id":"ITEM-1","issue":"1","issued":{"date-parts":[["2022","12","2"]]},"page":"1-6","publisher":"BioMed Central","title":"A public health milestone: China publishes new Physical Activity and Sedentary Behaviour Guidelines","type":"article-journal","volume":"1"},"uris":["http://www.mendeley.com/documents/?uuid=eaac9385-756f-391c-b85d-c9131d53994d"]}],"mendeley":{"formattedCitation":"[26]","plainTextFormattedCitation":"[26]","previouslyFormattedCitation":"[27]"},"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[26]</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Although several studies have investigated how adherence to these guidelines impacts physical and psychological health outcomes in children and adolescents </w:t>
      </w:r>
      <w:r>
        <w:fldChar w:fldCharType="begin"/>
      </w:r>
      <w:r>
        <w:rPr>
          <w:sz w:val="24"/>
          <w:szCs w:val="24"/>
          <w:bCs/>
          <w:rFonts w:cs="Times New Roman" w:ascii="Minion Pro" w:hAnsi="Minion Pro"/>
          <w:lang w:val="en-US"/>
        </w:rPr>
        <w:instrText>ADDIN CSL_CITATION {"citationItems":[{"id":"ITEM-1","itemData":{"DOI":"10.1016/j.jshs.2022.12.003","ISSN":"22132961","PMID":"36496133","abstract":"Background: Adopting a healthy lifestyle during childhood could improve physical and mental health outcomes in adulthood and reduce relevant disease burdens. However, the lifestyles of children with mental, behavioral, and developmental disorders (MBDDs) remains under-described within the literature of public health field. This study aimed to examine adherence to 24-hour movement guidelines among children with MBDDs compared to population norms and whether these differences are affected by demographic characteristics. Methods: Data were from the 2016–2020 National Survey of Children's Health—A national, population-based, cross-sectional study. We used the data of 119,406 children aged 6–17 years, which included 38,571 participants with at least 1 MBDD and 80,835 without. Adherence to the 24-hour movement guidelines was measured using parent-reported physical activity, screen time, and sleep duration. Results: Among children with MBDDs, 20.3%, 37.0%, 60.7%, and 77.3% met the physical activity, screen time, sleep, and at least 1 of the 24-hour movement guidelines. These rates were lower than those in children without MBDDs (22.8%, 46.2%, 66.7%, and 83.4%, respectively; all p &lt; 0.001). Children with MBDDs were less likely to meet these guidelines (odds ratio (OR) = 1.21, 95% confidence interval (95%CI): 1.13–1.30; OR = 1.37, 95%CI: 1.29–1.45; OR = 1.29, 95%CI: 1.21–1.37; OR = 1.45, 95%CI: 1.35–1.56) than children without MBDDs. Children with emotional disorders had the highest odds of not meeting these guidelines (OR = 1.43, 95%CI: 1.29–1.57; OR = 1.48, 95%CI: 1.37–1.60; OR = 1.49, 95%CI: 1.39–1.61; OR = 1.72, 95%CI: 1.57–1.88) in comparison to children with other MBDDs. Among children aged 12–17 years, the difference in proportion of meeting physical activity and screen time guidelines for children with vs. children without MBDD was larger than that among children aged 6–11 years. Furthermore, the above difference of meeting physical activity guidelines in ethnic minority children was smaller than that in white children. Conclusion: Children with MBDDs were less likely to meet individual or combined 24-hour movement guidelines than children without MBDDs. In educational and clinical settings, the primary focus should be on increasing physical activity and limiting screen time in children aged 12–17 years who have MBDDs; and specifically for white children who have MBDDs, increasing physical activity may help.","author":[{"dropping-particle":"","family":"Pan","given":"Ning","non-dropping-particle":"","parse-names":false,"suffix":""},{"dropping-particle":"","family":"Lin","given":"Li Zi","non-dropping-particle":"","parse-names":false,"suffix":""},{"dropping-particle":"","family":"Nassis","given":"George P.","non-dropping-particle":"","parse-names":false,"suffix":""},{"dropping-particle":"","family":"Wang","given":"Xin","non-dropping-particle":"","parse-names":false,"suffix":""},{"dropping-particle":"","family":"Ou","given":"Xiao Xuan","non-dropping-particle":"","parse-names":false,"suffix":""},{"dropping-particle":"","family":"Cai","given":"Li","non-dropping-particle":"","parse-names":false,"suffix":""},{"dropping-particle":"","family":"Jing","given":"Jin","non-dropping-particle":"","parse-names":false,"suffix":""},{"dropping-particle":"","family":"Feng","given":"Qiang","non-dropping-particle":"","parse-names":false,"suffix":""},{"dropping-particle":"","family":"Dong","given":"Guang Hui","non-dropping-particle":"","parse-names":false,"suffix":""},{"dropping-particle":"","family":"Li","given":"Xiu Hong","non-dropping-particle":"","parse-names":false,"suffix":""}],"container-title":"Journal of Sport and Health Science","id":"ITEM-1","issue":"3","issued":{"date-parts":[["2023"]]},"page":"304-311","title":"Adherence to 24-hour movement guidelines in children with mental, behavioral, and developmental disorders: Data from the 2016–2020 National Survey of Children's Health","type":"article-journal","volume":"12"},"uris":["http://www.mendeley.com/documents/?uuid=3911e107-1dd3-3cc8-9ffa-290d2d73a1e6"]},{"id":"ITEM-2","itemData":{"DOI":"10.1016/j.mhpa.2022.100484","ISBN":"2022.100484","ISSN":"18780199","abstract":"Suicide is one of the leading causes of death among post-secondary students. It is, therefore, imperative that we identify behavioral risk factors that can have protective effects in preventing against suicide. This study examined whether different combinations of adherence to the Canadian 24-Hour Movement Guidelines for Adults (i.e., physical activity, sedentary behavior, sleep) were associated with reduced odds of suicidal ideation and planning among emerging adults attending post-secondary education. This cross-sectional observational study used data from the first cycle of the Canadian Campus Wellbeing Survey, which included a total of 17,633 students (Mean age = 21.7 ± 2.92 years; 67.1% female, 31.5% male, 1.4% other) enrolled in 20 Canadian post-secondary institutions. Logistic regression models with covariate balanced propensity score weighting were computed. Suicidal ideation and suicidal planning were reported by 14.4% and 4.9% of students, respectively. Adherence to the sleep (OR = 0.71; 95% CI: 0.58–0.86), physical activity and sleep (OR = 0.74; 95% CI: 0.62–0.88), sedentary behavior and sleep guidelines (OR = 0.64; 95% CI: 0.45–0.90) as well as concurrent adherence to all three guidelines (OR = 0.58; 95% CI: 0.44–0.75) were associated with significantly reduced odds of suicidal ideation. Among students who reported suicidal ideation, only adherence to the physical activity and sleep guidelines (OR = 0.67; 95% CI: 0.48–0.96) was associated with suicidal planning. Collectively, findings suggest the promotion of healthy movement behavior patterns may be a promising avenue for broad suicide and mental health prevention efforts on campus, although the potency of these effects may not extend to more severe suicidal thoughts.","author":[{"dropping-particle":"","family":"Brown","given":"Denver M.Y.","non-dropping-particle":"","parse-names":false,"suffix":""},{"dropping-particle":"","family":"Hill","given":"Ryan M.","non-dropping-particle":"","parse-names":false,"suffix":""},{"dropping-particle":"","family":"Wolf","given":"Julia K.","non-dropping-particle":"","parse-names":false,"suffix":""}],"container-title":"Mental Health and Physical Activity","id":"ITEM-2","issued":{"date-parts":[["2022"]]},"page":"1755-2966","title":"Cross-sectional associations between 24-h movement guideline adherence and suicidal thoughts among Canadian post-secondary students","type":"article-journal","volume":"23"},"uris":["http://www.mendeley.com/documents/?uuid=0edf2581-c30b-335c-8deb-d5e650a899a2"]},{"id":"ITEM-3","itemData":{"DOI":"10.1016/j.ctcp.2023.101792","ISSN":"17443881","abstract":"Background: The Canadian 24-hour movement behavior (24-HMB) guidelines recommend an adequate level of physical activity (PA), a limited amount of screen time (ST), and a sufficient sleep duration (SLP) to promote the healthy development of children. Although the positive effects of adhering to the 24-HMB guidelines have been established for several health parameters, less is known about how adherence to the 24-HMB guidelines relates to the myopia risk (i.e., inability to see distant objects properly). Thus, this study investigated associations between meeting 24-HMB guidelines and myopia risk in school-aged children. Method: Using a questionnaire survey, this cross-sectional study was conducted among parents of school-aged children (5–13 years) in China from 15th September to 15th October 2022, with a total of 1423 respondents with complete data for analysis. Parents reported their child's time spent in moderate-to-vigorous-intensity physical activity (MVPA), SLP, and ST. Multiple logistic regression analyses were performed to examine the associations between measures of PA, ST, and SLP alone and in combination, and the occurrence of myopia. Results: A relatively low percentage of the children being included in the current study (4.92%) met all 24-HMB guidelines, while 32.46% had myopia. Girls had a significantly higher risk of myopia compared to boys (OR = 1.3, 1.002 to 1.68, p = 0.049). Children of parents without myopia had a lower risk of myopia (OR = 0.45, 0.34–0.59, p &lt; 0.001). Children who lived in urban areas (OR = 1.83, 95% CI 1.33 to 2.52, p &lt; 0.001) or towns (OR = 1.60, 1.03 to 2.47, p = 0.04) had a significantly higher risk of myopia compared to those living in rural areas. Meeting SLP guidelines (OR = 0.50, 95% CI 0.31 to 0.82, p &lt; 0.01), meeting ST + SLP guidelines (OR = 0.47, 95% CI 0.32–0.69, &lt;0.001), and meeting all three guidelines were associated with significantly lower risk of myopia (OR = 0.40, 95% CI 0.20–0.82, p = 0.01). Meeting more 24-HMB guidelines was associated with a reduced risk of myopia. Conclusions: Our data suggest that adhering to SLP, ST + SLP, and ST + SLP + PA guidelines is associated with the risk of myopia. Future research investigating dose-response associations, and potential mechanisms, is necessary to achieve a more nuanced understanding of the observed associations.","author":[{"dropping-particle":"","family":"Zhao","given":"Mengxian","non-dropping-particle":"","parse-names":false,"suffix":""},{"dropping-particle":"","family":"Zhang","given":"Yanjie","non-dropping-particle":"","parse-names":false,"suffix":""},{"dropping-particle":"","family":"Herold","given":"Fabian","non-dropping-particle":"","parse-names":false,"suffix":""},{"dropping-particle":"","family":"Chen","given":"Jianyu","non-dropping-particle":"","parse-names":false,"suffix":""},{"dropping-particle":"","family":"Hou","given":"Meijun","non-dropping-particle":"","parse-names":false,"suffix":""},{"dropping-particle":"","family":"Zhang","given":"Zhihao","non-dropping-particle":"","parse-names":false,"suffix":""},{"dropping-particle":"","family":"Gao","given":"Yanping","non-dropping-particle":"","parse-names":false,"suffix":""},{"dropping-particle":"","family":"Sun","given":"Jing","non-dropping-particle":"","parse-names":false,"suffix":""},{"dropping-particle":"","family":"Hossain","given":"M. Mahbub","non-dropping-particle":"","parse-names":false,"suffix":""},{"dropping-particle":"","family":"Kramer","given":"Arthur F.","non-dropping-particle":"","parse-names":false,"suffix":""},{"dropping-particle":"","family":"Müller","given":"Notger G.","non-dropping-particle":"","parse-names":false,"suffix":""},{"dropping-particle":"","family":"Zou","given":"Liye","non-dropping-particle":"","parse-names":false,"suffix":""}],"container-title":"Complementary Therapies in Clinical Practice","id":"ITEM-3","issue":"June","issued":{"date-parts":[["2023"]]},"page":"101792","publisher":"Elsevier Ltd","title":"Associations between meeting 24-hour movement guidelines and myopia among school-aged children: A cross-sectional study","type":"article-journal","volume":"53"},"uris":["http://www.mendeley.com/documents/?uuid=b277720d-9c62-43fe-92e2-12fc0b0f7170"]},{"id":"ITEM-4","itemData":{"DOI":"10.1186/s13034-023-00588-w","ISBN":"1303402300","ISSN":"17532000","abstract":"Background: Evidence-based 24-h movement behavior (24-HMB) guidelines have been developed to integrate recommendations for the time spent on physical activity, sedentary behavior, and sleep. For children and adolescents, these 24-HMB guidelines recommend a maximum of two hours of recreational screen time (as part of sedentary behavior), a minimum of 60 min per day of moderate to vigorous physical activity (MVPA), and an age-appropriate sleep duration (9–11 h for 5 to 13-year-olds; 8–10 h for 14 to 17-year-olds). Although adherence to the guidelines has been associated with positive health outcomes, the effects of adhering to the 24-HMB recommendations have not been fully examined in children and adolescents with attention eficit/hyperactive disorder (ADHD). Therefore, this study examined potential associations between meeting the 24-HMB guidelines and indicators of cognitive and social difficulties in children and adolescents with ADHD. Methods: Cross-sectional data on 3470 children and adolescents with ADHD aged between 6 and 17 years was extracted from the National Survey for Children’s Health (NSCH 2020). Adherence to 24-HMB guidelines comprised screen time, physical activity, and sleep. ADHD-related outcomes included four indicators; one relating to cognitive difficulties (i.e., serious difficulties in concentrating, remembering, or making decisions) and three indicators of social difficulties (i.e., difficulties in making or keeping friends, bullying others, being bullied). Logistic regression was performed to determine the associations between adherence to 24-HMB guidelines and the cognitive and social outcomes described above, while adjusting for confounders. Results: In total, 44.8% of participants met at least one movement behavior guideline, while only 5.7% met all three. Adjusted logistic regressions further showed that meeting all three guidelines was associated with lower odds of cognitive difficulties in relation to none of the guidelines, but the strongest model included only screen time and physical activity as predictors (OR = 0.26, 95% CI 0.12–0.53, p &lt;.001). For social relationships, meeting all three guidelines was associated with lower odds of difficulty keeping friends (OR = 0.46, 95% CI 0.21–0.97, p =.04) in relation to none of the guidelines. Meeting the guideline for screen time was associated with lower odds of being bullied (OR = 0.61, 95% CI 0.39–0.97, p =.04) in relation to none of the guidelines. While screen time only, sle…","author":[{"dropping-particle":"","family":"Taylor","given":"Alyx","non-dropping-particle":"","parse-names":false,"suffix":""},{"dropping-particle":"","family":"Kong","given":"Chuidan","non-dropping-particle":"","parse-names":false,"suffix":""},{"dropping-particle":"","family":"Zhang","given":"Zhihao","non-dropping-particle":"","parse-names":false,"suffix":""},{"dropping-particle":"","family":"Herold","given":"Fabian","non-dropping-particle":"","parse-names":false,"suffix":""},{"dropping-particle":"","family":"Ludyga","given":"Sebastian","non-dropping-particle":"","parse-names":false,"suffix":""},{"dropping-particle":"","family":"Healy","given":"Sean","non-dropping-particle":"","parse-names":false,"suffix":""},{"dropping-particle":"","family":"Gerber","given":"Markus","non-dropping-particle":"","parse-names":false,"suffix":""},{"dropping-particle":"","family":"Cheval","given":"Boris","non-dropping-particle":"","parse-names":false,"suffix":""},{"dropping-particle":"","family":"Pontifex","given":"Matthew","non-dropping-particle":"","parse-names":false,"suffix":""},{"dropping-particle":"","family":"Kramer","given":"Arthur F.","non-dropping-particle":"","parse-names":false,"suffix":""},{"dropping-particle":"","family":"Chen","given":"Sitong","non-dropping-particle":"","parse-names":false,"suffix":""},{"dropping-particle":"","family":"Zhang","given":"Yanjie","non-dropping-particle":"","parse-names":false,"suffix":""},{"dropping-particle":"","family":"Müller","given":"Notger G.","non-dropping-particle":"","parse-names":false,"suffix":""},{"dropping-particle":"","family":"Tremblay","given":"Mark S.","non-dropping-particle":"","parse-names":false,"suffix":""},{"dropping-particle":"","family":"Zou","given":"Liye","non-dropping-particle":"","parse-names":false,"suffix":""}],"container-title":"Child and Adolescent Psychiatry and Mental Health","id":"ITEM-4","issue":"1","issued":{"date-parts":[["2023"]]},"page":"1-17","publisher":"BioMed Central","title":"Associations of meeting 24-h movement behavior guidelines with cognitive difficulty and social relationships in children and adolescents with attention deficit/hyperactive disorder","type":"article-journal","volume":"17"},"uris":["http://www.mendeley.com/documents/?uuid=b1764710-4469-43a4-8d5a-47a85e02d9fc"]}],"mendeley":{"formattedCitation":"[27–30]","plainTextFormattedCitation":"[27–30]","previouslyFormattedCitation":"[28–31]"},"properties":{"noteIndex":0},"schema":"https://github.com/citation-style-language/schema/raw/master/csl-citation.json"}</w:instrText>
      </w:r>
      <w:r>
        <w:rPr>
          <w:rFonts w:cs="Times New Roman" w:ascii="Minion Pro" w:hAnsi="Minion Pro"/>
          <w:bCs/>
          <w:sz w:val="24"/>
          <w:szCs w:val="24"/>
          <w:lang w:val="en-US"/>
        </w:rPr>
      </w:r>
      <w:r>
        <w:rPr>
          <w:sz w:val="24"/>
          <w:szCs w:val="24"/>
          <w:bCs/>
          <w:rFonts w:cs="Times New Roman" w:ascii="Minion Pro" w:hAnsi="Minion Pro"/>
          <w:lang w:val="en-US"/>
        </w:rPr>
        <w:fldChar w:fldCharType="separate"/>
      </w:r>
      <w:r>
        <w:rPr>
          <w:rFonts w:cs="Times New Roman" w:ascii="Minion Pro" w:hAnsi="Minion Pro"/>
          <w:bCs/>
          <w:sz w:val="24"/>
          <w:szCs w:val="24"/>
          <w:lang w:val="en-US"/>
        </w:rPr>
        <w:t>[27–30]</w:t>
      </w:r>
      <w:r>
        <w:rPr>
          <w:rFonts w:cs="Times New Roman" w:ascii="Minion Pro" w:hAnsi="Minion Pro"/>
          <w:bCs/>
          <w:sz w:val="24"/>
          <w:szCs w:val="24"/>
          <w:lang w:val="en-US"/>
        </w:rPr>
      </w:r>
      <w:r>
        <w:rPr>
          <w:sz w:val="24"/>
          <w:szCs w:val="24"/>
          <w:bCs/>
          <w:rFonts w:cs="Times New Roman" w:ascii="Minion Pro" w:hAnsi="Minion Pro"/>
          <w:lang w:val="en-US"/>
        </w:rPr>
        <w:fldChar w:fldCharType="end"/>
      </w:r>
      <w:r>
        <w:rPr>
          <w:rFonts w:cs="Times New Roman" w:ascii="Minion Pro" w:hAnsi="Minion Pro"/>
          <w:bCs/>
          <w:sz w:val="24"/>
          <w:szCs w:val="24"/>
          <w:lang w:val="en-US"/>
        </w:rPr>
        <w:t xml:space="preserve">, a knowledge gap regarding these associations among emerging adults in China still exists. Therefore, the present study aimed to understand the relationship between adherence to the 24-hour movement guidelines and four distinct psychological features—self-exploration, instability, possibilities, and responsibility—among Chinese emerging adults. </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Methods</w:t>
      </w:r>
    </w:p>
    <w:p>
      <w:pPr>
        <w:pStyle w:val="Normal"/>
        <w:spacing w:lineRule="auto" w:line="240"/>
        <w:rPr/>
      </w:pPr>
      <w:r>
        <w:rPr>
          <w:rFonts w:eastAsia="MyriadPro-Semibold" w:cs="Times New Roman" w:ascii="Minion Pro" w:hAnsi="Minion Pro"/>
          <w:b/>
          <w:bCs/>
          <w:color w:val="000000"/>
          <w:sz w:val="24"/>
          <w:szCs w:val="24"/>
          <w:lang w:val="en-US" w:eastAsia="zh-CN" w:bidi="ar"/>
        </w:rPr>
        <w:t xml:space="preserve">Study design and participants </w:t>
      </w:r>
    </w:p>
    <w:p>
      <w:pPr>
        <w:pStyle w:val="Normal"/>
        <w:spacing w:lineRule="auto" w:line="240"/>
        <w:jc w:val="both"/>
        <w:rPr>
          <w:rFonts w:ascii="Minion Pro" w:hAnsi="Minion Pro" w:cs="Times New Roman"/>
          <w:color w:val="000000" w:themeColor="text1"/>
          <w:sz w:val="24"/>
          <w:szCs w:val="24"/>
          <w:lang w:val="en-US"/>
        </w:rPr>
      </w:pPr>
      <w:r>
        <w:rPr>
          <w:rFonts w:eastAsia="WarnockPro-Regular" w:cs="Times New Roman" w:ascii="Minion Pro" w:hAnsi="Minion Pro"/>
          <w:color w:val="000000" w:themeColor="text1"/>
          <w:sz w:val="24"/>
          <w:szCs w:val="24"/>
          <w:lang w:val="en-US" w:eastAsia="zh-CN" w:bidi="ar"/>
        </w:rPr>
        <w:t xml:space="preserve">This study employed a cross-sectional online design. The participants were conveniently sample and recruited through advertisement and social media. The voluntarily completed an internet-based survey on the </w:t>
      </w:r>
      <w:r>
        <w:rPr>
          <w:rFonts w:cs="Times New Roman" w:ascii="Minion Pro" w:hAnsi="Minion Pro"/>
          <w:color w:val="000000" w:themeColor="text1"/>
          <w:sz w:val="24"/>
          <w:szCs w:val="24"/>
          <w:lang w:val="en-US"/>
        </w:rPr>
        <w:t xml:space="preserve">Questionnaire Star Platform from August to September 2022. Each participant's IP address could only be used once to fill out the questionnaire. The inclusion criteria were as follows: 1) age between 18 and 29 years; 2) absence of major physical or psychological illnesses; and 3) completion of a self-administered questionnaire that included questions on adherence to the </w:t>
      </w:r>
      <w:r>
        <w:rPr>
          <w:rFonts w:cs="Times New Roman" w:ascii="Minion Pro" w:hAnsi="Minion Pro"/>
          <w:bCs/>
          <w:sz w:val="24"/>
          <w:szCs w:val="24"/>
          <w:lang w:val="en-US" w:eastAsia="zh-CN"/>
        </w:rPr>
        <w:t xml:space="preserve">24-hour movement guidelines </w:t>
      </w:r>
      <w:r>
        <w:rPr>
          <w:rFonts w:cs="Times New Roman" w:ascii="Minion Pro" w:hAnsi="Minion Pro"/>
          <w:color w:val="000000" w:themeColor="text1"/>
          <w:sz w:val="24"/>
          <w:szCs w:val="24"/>
          <w:lang w:val="en-US"/>
        </w:rPr>
        <w:t xml:space="preserve">(PA, </w:t>
      </w:r>
      <w:r>
        <w:rPr>
          <w:rFonts w:eastAsia="宋体" w:cs="Times New Roman" w:ascii="Minion Pro" w:hAnsi="Minion Pro"/>
          <w:color w:val="000000" w:themeColor="text1"/>
          <w:sz w:val="24"/>
          <w:szCs w:val="24"/>
        </w:rPr>
        <w:t>sedentary behavior</w:t>
      </w:r>
      <w:r>
        <w:rPr>
          <w:rFonts w:eastAsia="宋体" w:cs="Times New Roman" w:ascii="Minion Pro" w:hAnsi="Minion Pro"/>
          <w:color w:val="000000" w:themeColor="text1"/>
          <w:sz w:val="24"/>
          <w:szCs w:val="24"/>
          <w:lang w:eastAsia="zh-CN"/>
        </w:rPr>
        <w:t>,</w:t>
      </w:r>
      <w:r>
        <w:rPr>
          <w:rFonts w:cs="Times New Roman" w:ascii="Minion Pro" w:hAnsi="Minion Pro"/>
          <w:color w:val="000000" w:themeColor="text1"/>
          <w:sz w:val="24"/>
          <w:szCs w:val="24"/>
          <w:lang w:val="en-US"/>
        </w:rPr>
        <w:t xml:space="preserve"> and sleep) and the IDEA-C. The exclusion cirteria were: age under 18 years or over 29 years; individuals with a history of drug addiction; incompleted data. A total of 1510 Chinese emerging adults aged 18-29 years </w:t>
      </w:r>
      <w:r>
        <w:rPr>
          <w:rFonts w:cs="Times New Roman" w:ascii="Minion Pro" w:hAnsi="Minion Pro"/>
          <w:color w:val="000000" w:themeColor="text1"/>
          <w:sz w:val="24"/>
          <w:szCs w:val="24"/>
          <w:lang w:val="en-US" w:eastAsia="zh-CN"/>
        </w:rPr>
        <w:t>provided complete responses</w:t>
      </w:r>
      <w:r>
        <w:rPr>
          <w:rFonts w:cs="Times New Roman" w:ascii="Minion Pro" w:hAnsi="Minion Pro"/>
          <w:color w:val="000000" w:themeColor="text1"/>
          <w:sz w:val="24"/>
          <w:szCs w:val="24"/>
          <w:lang w:val="en-US"/>
        </w:rPr>
        <w:t>.</w:t>
      </w:r>
      <w:r>
        <w:rPr>
          <w:rFonts w:cs="Times New Roman" w:ascii="Minion Pro" w:hAnsi="Minion Pro"/>
          <w:color w:val="000000" w:themeColor="text1"/>
          <w:sz w:val="24"/>
          <w:szCs w:val="24"/>
          <w:lang w:val="en-US" w:eastAsia="zh-CN"/>
        </w:rPr>
        <w:t xml:space="preserve"> All participants signed a written informed consent form before enrollment in the study. </w:t>
      </w:r>
      <w:r>
        <w:rPr>
          <w:rFonts w:ascii="Minion Pro" w:hAnsi="Minion Pro"/>
          <w:bCs/>
          <w:color w:val="000000" w:themeColor="text1"/>
          <w:w w:val="105"/>
          <w:sz w:val="24"/>
          <w:szCs w:val="24"/>
          <w:lang w:val="fr-FR"/>
        </w:rPr>
        <w:t xml:space="preserve">Ethics approval was obtianed from the Shenzhen Univesity Human Research Ethics Board </w:t>
      </w:r>
      <w:r>
        <w:rPr>
          <w:rFonts w:cs="Times New Roman" w:ascii="Minion Pro" w:hAnsi="Minion Pro"/>
          <w:color w:val="000000" w:themeColor="text1"/>
          <w:sz w:val="24"/>
          <w:szCs w:val="24"/>
        </w:rPr>
        <w:t>(No. PN-2021-048)</w:t>
      </w:r>
      <w:r>
        <w:rPr>
          <w:rFonts w:cs="Times New Roman" w:ascii="Minion Pro" w:hAnsi="Minion Pro"/>
          <w:color w:val="000000" w:themeColor="text1"/>
          <w:sz w:val="24"/>
          <w:szCs w:val="24"/>
          <w:lang w:val="en-US"/>
        </w:rPr>
        <w:t>.</w:t>
      </w:r>
      <w:r>
        <w:rPr>
          <w:rFonts w:ascii="Minion Pro" w:hAnsi="Minion Pro"/>
          <w:bCs/>
          <w:color w:val="000000" w:themeColor="text1"/>
          <w:w w:val="105"/>
          <w:sz w:val="24"/>
          <w:szCs w:val="24"/>
          <w:lang w:val="fr-FR"/>
        </w:rPr>
        <w:t xml:space="preserve"> All participants provided written informed consent</w:t>
      </w:r>
      <w:r>
        <w:rPr>
          <w:rFonts w:ascii="Minion Pro" w:hAnsi="Minion Pro"/>
          <w:bCs/>
          <w:color w:val="000000" w:themeColor="text1"/>
          <w:w w:val="105"/>
          <w:sz w:val="24"/>
          <w:szCs w:val="24"/>
          <w:lang w:val="fr-FR" w:eastAsia="zh-CN"/>
        </w:rPr>
        <w:t>.</w:t>
      </w:r>
    </w:p>
    <w:p>
      <w:pPr>
        <w:pStyle w:val="Normal"/>
        <w:spacing w:lineRule="auto" w:line="240"/>
        <w:rPr>
          <w:rFonts w:ascii="Minion Pro" w:hAnsi="Minion Pro" w:eastAsia="MyriadPro-Semibold" w:cs="Times New Roman"/>
          <w:b/>
          <w:b/>
          <w:bCs/>
          <w:color w:val="000000"/>
          <w:sz w:val="24"/>
          <w:szCs w:val="24"/>
          <w:lang w:val="en-US" w:eastAsia="zh-CN" w:bidi="ar"/>
        </w:rPr>
      </w:pPr>
      <w:r>
        <w:rPr>
          <w:rFonts w:eastAsia="MyriadPro-Semibold" w:cs="Times New Roman" w:ascii="Minion Pro" w:hAnsi="Minion Pro"/>
          <w:b/>
          <w:bCs/>
          <w:color w:val="000000"/>
          <w:sz w:val="24"/>
          <w:szCs w:val="24"/>
          <w:lang w:val="en-US" w:eastAsia="zh-CN" w:bidi="ar"/>
        </w:rPr>
        <w:t>Measures</w:t>
      </w:r>
    </w:p>
    <w:p>
      <w:pPr>
        <w:pStyle w:val="Normal"/>
        <w:spacing w:lineRule="auto" w:line="240"/>
        <w:jc w:val="both"/>
        <w:rPr>
          <w:rFonts w:ascii="Minion Pro" w:hAnsi="Minion Pro" w:eastAsia="WarnockPro-Regular" w:cs="Times New Roman"/>
          <w:b/>
          <w:b/>
          <w:color w:val="000000"/>
          <w:sz w:val="24"/>
          <w:szCs w:val="24"/>
          <w:lang w:val="en-US" w:eastAsia="zh-CN" w:bidi="ar"/>
        </w:rPr>
      </w:pPr>
      <w:r>
        <w:rPr>
          <w:rFonts w:eastAsia="WarnockPro-Regular" w:cs="Times New Roman" w:ascii="Minion Pro" w:hAnsi="Minion Pro"/>
          <w:b/>
          <w:color w:val="000000"/>
          <w:sz w:val="24"/>
          <w:szCs w:val="24"/>
          <w:lang w:val="en-US" w:eastAsia="zh-CN" w:bidi="ar"/>
        </w:rPr>
        <w:t>Guidelines</w:t>
      </w:r>
    </w:p>
    <w:p>
      <w:pPr>
        <w:pStyle w:val="Normal"/>
        <w:spacing w:lineRule="auto" w:line="240"/>
        <w:jc w:val="both"/>
        <w:rPr>
          <w:rFonts w:ascii="Minion Pro" w:hAnsi="Minion Pro" w:eastAsia="WarnockPro-Regular" w:cs="Times New Roman"/>
          <w:color w:val="000000"/>
          <w:sz w:val="24"/>
          <w:szCs w:val="24"/>
          <w:lang w:val="en-US" w:eastAsia="zh-CN" w:bidi="ar"/>
        </w:rPr>
      </w:pPr>
      <w:r>
        <w:rPr>
          <w:rFonts w:eastAsia="WarnockPro-Regular" w:cs="Times New Roman" w:ascii="Minion Pro" w:hAnsi="Minion Pro"/>
          <w:color w:val="000000"/>
          <w:sz w:val="24"/>
          <w:szCs w:val="24"/>
          <w:lang w:val="en-US" w:eastAsia="zh-CN" w:bidi="ar"/>
        </w:rPr>
        <w:t xml:space="preserve">The </w:t>
      </w:r>
      <w:bookmarkStart w:id="14" w:name="OLE_LINK2"/>
      <w:r>
        <w:rPr>
          <w:rFonts w:eastAsia="WarnockPro-Regular" w:cs="Times New Roman" w:ascii="Minion Pro" w:hAnsi="Minion Pro"/>
          <w:color w:val="000000"/>
          <w:sz w:val="24"/>
          <w:szCs w:val="24"/>
          <w:lang w:val="en-US" w:eastAsia="zh-CN" w:bidi="ar"/>
        </w:rPr>
        <w:t xml:space="preserve">Chinese version of the International Physical Activity Questionnaire-Short Form </w:t>
      </w:r>
      <w:bookmarkEnd w:id="14"/>
      <w:r>
        <w:rPr>
          <w:rFonts w:eastAsia="WarnockPro-Regular" w:cs="Times New Roman" w:ascii="Minion Pro" w:hAnsi="Minion Pro"/>
          <w:color w:val="000000"/>
          <w:sz w:val="24"/>
          <w:szCs w:val="24"/>
          <w:lang w:val="en-US" w:eastAsia="zh-CN" w:bidi="ar"/>
        </w:rPr>
        <w:t xml:space="preserve">was utilized to evaluate self-reported PA levels and sedentary behavior during the past 7 days </w:t>
      </w:r>
      <w:r>
        <w:fldChar w:fldCharType="begin"/>
      </w:r>
      <w:r>
        <w:rPr>
          <w:sz w:val="24"/>
          <w:szCs w:val="24"/>
          <w:rFonts w:eastAsia="WarnockPro-Regular" w:cs="Times New Roman" w:ascii="Minion Pro" w:hAnsi="Minion Pro"/>
          <w:color w:val="000000"/>
          <w:lang w:val="en-US" w:eastAsia="zh-CN" w:bidi="ar"/>
        </w:rPr>
        <w:instrText>ADDIN CSL_CITATION {"citationItems":[{"id":"ITEM-1","itemData":{"DOI":"10.1016/j.jsams.2006.05.003","ISSN":"14402440","PMID":"16807105","abstract":"The aim of this study was to examine the reliability and validity of the Chinese version of the International Physical Activity Questionnaire (IPAQ-C). The IPAQ-C was administered three times to each participant to examine the stability and reliability of the self-reported physical activity, whilst data to examine concurrent validity were acquired over 7 consecutive days using a physical activity log (PA-log), and an MTI accelerometer. A complete set of data was obtained from 49 Chinese residents (range 15-55 years; 30 males). The total physical activity recorded by IPAQ-C was acceptably reliable (ICC of 0.79 and %CV of 26%). There was weak agreement between IPAQ-C and the total MTI-derived activity and any of its constituent sub-components. Better agreement was seen between IPAQ-C and the PA-log data, with no significant difference between average total activity (3931 and 4047 MET min week-1, respectively, p = 0.51), and a bias and LOA of 3% and 94% of the mean score, respectively. Although these statistics are not dissimilar to those reported on other self-report physical activity questionnaires, suggesting the IPAQ-C is adequately reliable and valid for the measurement of total physical activity in a Chinese population, care needs to be taken, especially as the sub-components of total activity were markedly less valid and reliable. © 2006 Sports Medicine Australia.","author":[{"dropping-particle":"","family":"Macfarlane","given":"Duncan J.","non-dropping-particle":"","parse-names":false,"suffix":""},{"dropping-particle":"","family":"Lee","given":"Cherry C.Y.","non-dropping-particle":"","parse-names":false,"suffix":""},{"dropping-particle":"","family":"Ho","given":"Edmond Y.K.","non-dropping-particle":"","parse-names":false,"suffix":""},{"dropping-particle":"","family":"Chan","given":"K. L.","non-dropping-particle":"","parse-names":false,"suffix":""},{"dropping-particle":"","family":"Chan","given":"Dionise T.S.","non-dropping-particle":"","parse-names":false,"suffix":""}],"container-title":"Journal of Science and Medicine in Sport","id":"ITEM-1","issue":"1","issued":{"date-parts":[["2007"]]},"page":"45-51","title":"Reliability and validity of the Chinese version of IPAQ (short, last 7 days)","type":"article-journal","volume":"10"},"uris":["http://www.mendeley.com/documents/?uuid=d0d8e0f3-9bf3-4b5d-b5bb-7719e0b80f1a"]}],"mendeley":{"formattedCitation":"[31]","plainTextFormattedCitation":"[31]","previouslyFormattedCitation":"[32]"},"properties":{"noteIndex":0},"schema":"https://github.com/citation-style-language/schema/raw/master/csl-citation.json"}</w:instrText>
      </w:r>
      <w:r>
        <w:rPr>
          <w:rFonts w:eastAsia="WarnockPro-Regular" w:cs="Times New Roman" w:ascii="Minion Pro" w:hAnsi="Minion Pro"/>
          <w:color w:val="000000"/>
          <w:sz w:val="24"/>
          <w:szCs w:val="24"/>
          <w:lang w:val="en-US" w:eastAsia="zh-CN" w:bidi="ar"/>
        </w:rPr>
      </w:r>
      <w:r>
        <w:rPr>
          <w:sz w:val="24"/>
          <w:szCs w:val="24"/>
          <w:rFonts w:eastAsia="WarnockPro-Regular" w:cs="Times New Roman" w:ascii="Minion Pro" w:hAnsi="Minion Pro"/>
          <w:color w:val="000000"/>
          <w:lang w:val="en-US" w:eastAsia="zh-CN" w:bidi="ar"/>
        </w:rPr>
        <w:fldChar w:fldCharType="separate"/>
      </w:r>
      <w:r>
        <w:rPr>
          <w:rFonts w:eastAsia="WarnockPro-Regular" w:cs="Times New Roman" w:ascii="Minion Pro" w:hAnsi="Minion Pro"/>
          <w:color w:val="000000"/>
          <w:sz w:val="24"/>
          <w:szCs w:val="24"/>
          <w:lang w:val="en-US" w:eastAsia="zh-CN" w:bidi="ar"/>
        </w:rPr>
        <w:t>[31]</w:t>
      </w:r>
      <w:r>
        <w:rPr>
          <w:rFonts w:eastAsia="WarnockPro-Regular" w:cs="Times New Roman" w:ascii="Minion Pro" w:hAnsi="Minion Pro"/>
          <w:color w:val="000000"/>
          <w:sz w:val="24"/>
          <w:szCs w:val="24"/>
          <w:lang w:val="en-US" w:eastAsia="zh-CN" w:bidi="ar"/>
        </w:rPr>
      </w:r>
      <w:r>
        <w:rPr>
          <w:sz w:val="24"/>
          <w:szCs w:val="24"/>
          <w:rFonts w:eastAsia="WarnockPro-Regular" w:cs="Times New Roman" w:ascii="Minion Pro" w:hAnsi="Minion Pro"/>
          <w:color w:val="000000"/>
          <w:lang w:val="en-US" w:eastAsia="zh-CN" w:bidi="ar"/>
        </w:rPr>
        <w:fldChar w:fldCharType="end"/>
      </w:r>
      <w:r>
        <w:rPr>
          <w:rFonts w:eastAsia="WarnockPro-Regular" w:cs="Times New Roman" w:ascii="Minion Pro" w:hAnsi="Minion Pro"/>
          <w:color w:val="000000"/>
          <w:sz w:val="24"/>
          <w:szCs w:val="24"/>
          <w:lang w:val="en-US" w:eastAsia="zh-CN" w:bidi="ar"/>
        </w:rPr>
        <w:t>. Metabolic equivalents (METs) were used to classify the PA level. The METs for each PA level were consistent with previous studies, such as light PA (walking) =3.3 METs, moderate PA=4.0 METs, and vigorous PA=8.0 METs. The total PA amount for each participant was calculated by summing up: walking minutes x walking days x 3.3 METs + moderate PA minutes x moderate PA days x 4.0 METs + vigorous PA minutes x vigorous PA days x 8.0 METs per week. The time spent engaging in moderate and vigorous PA was employed to calculate the moderate-to-vigorous PA (MVPA) level. Sedentary behavior was measured using the question: “In the past 7 days, how much time did you spend sitting on a week day?” Responses to sitting for less than 8 hours a day indicated that the adults adhered to the sedentary behavior guideline. Sleep duration was measured using the following single question from the Pittsburgh Sleep Quality Index: “In the past month, how many hours of actual sleep did you have at night?” Responses ranging from 7 to 9 hours/day indicated compliance with the sleep duration guideline.</w:t>
      </w:r>
    </w:p>
    <w:p>
      <w:pPr>
        <w:pStyle w:val="Normal"/>
        <w:spacing w:lineRule="auto" w:line="240"/>
        <w:rPr>
          <w:rFonts w:ascii="Minion Pro" w:hAnsi="Minion Pro"/>
        </w:rPr>
      </w:pPr>
      <w:r>
        <w:rPr>
          <w:rFonts w:eastAsia="AdvP7B72" w:cs="Times New Roman" w:ascii="Minion Pro" w:hAnsi="Minion Pro"/>
          <w:b/>
          <w:bCs/>
          <w:color w:val="000000"/>
          <w:sz w:val="24"/>
          <w:szCs w:val="24"/>
          <w:lang w:val="en-US" w:eastAsia="zh-CN" w:bidi="ar"/>
        </w:rPr>
        <w:t>Dependent variables</w:t>
      </w:r>
    </w:p>
    <w:p>
      <w:pPr>
        <w:pStyle w:val="Normal"/>
        <w:spacing w:lineRule="auto" w:line="240"/>
        <w:rPr>
          <w:rFonts w:ascii="Minion Pro" w:hAnsi="Minion Pro" w:eastAsia="宋体" w:cs="Times New Roman"/>
          <w:b/>
          <w:b/>
          <w:bCs/>
          <w:sz w:val="24"/>
          <w:szCs w:val="24"/>
          <w:lang w:val="en-US" w:eastAsia="zh-CN"/>
        </w:rPr>
      </w:pPr>
      <w:r>
        <w:rPr>
          <w:rFonts w:eastAsia="宋体" w:cs="Times New Roman" w:ascii="Minion Pro" w:hAnsi="Minion Pro"/>
          <w:b/>
          <w:bCs/>
          <w:sz w:val="24"/>
          <w:szCs w:val="24"/>
          <w:lang w:val="en-US" w:eastAsia="zh-CN"/>
        </w:rPr>
        <w:t>Four Features</w:t>
      </w:r>
    </w:p>
    <w:p>
      <w:pPr>
        <w:pStyle w:val="Normal"/>
        <w:spacing w:lineRule="auto" w:line="240"/>
        <w:jc w:val="both"/>
        <w:rPr>
          <w:rFonts w:ascii="Minion Pro" w:hAnsi="Minion Pro" w:eastAsia="AdvTT5843c571" w:cs="Times New Roman"/>
          <w:color w:val="000000"/>
          <w:sz w:val="24"/>
          <w:szCs w:val="24"/>
          <w:lang w:val="en-US" w:eastAsia="zh-CN" w:bidi="ar"/>
        </w:rPr>
      </w:pPr>
      <w:r>
        <w:rPr>
          <w:rFonts w:eastAsia="AdvTT5843c571" w:cs="Times New Roman" w:ascii="Minion Pro" w:hAnsi="Minion Pro"/>
          <w:color w:val="000000"/>
          <w:sz w:val="24"/>
          <w:szCs w:val="24"/>
          <w:lang w:val="en-US" w:eastAsia="zh-CN" w:bidi="ar"/>
        </w:rPr>
        <w:t>The degree of identi</w:t>
      </w:r>
      <w:r>
        <w:rPr>
          <w:rFonts w:eastAsia="AdvTT5843c571 + fb" w:cs="Times New Roman" w:ascii="Minion Pro" w:hAnsi="Minion Pro"/>
          <w:color w:val="000000"/>
          <w:sz w:val="24"/>
          <w:szCs w:val="24"/>
          <w:lang w:val="en-US" w:eastAsia="zh-CN" w:bidi="ar"/>
        </w:rPr>
        <w:t>fi</w:t>
      </w:r>
      <w:r>
        <w:rPr>
          <w:rFonts w:eastAsia="AdvTT5843c571" w:cs="Times New Roman" w:ascii="Minion Pro" w:hAnsi="Minion Pro"/>
          <w:color w:val="000000"/>
          <w:sz w:val="24"/>
          <w:szCs w:val="24"/>
          <w:lang w:val="en-US" w:eastAsia="zh-CN" w:bidi="ar"/>
        </w:rPr>
        <w:t xml:space="preserve">cation with emerging adulthood features was assessed using the IDEA-C </w:t>
      </w:r>
      <w:r>
        <w:fldChar w:fldCharType="begin"/>
      </w:r>
      <w:r>
        <w:rPr>
          <w:sz w:val="24"/>
          <w:szCs w:val="24"/>
          <w:rFonts w:eastAsia="AdvTT5843c571" w:cs="Times New Roman" w:ascii="Minion Pro" w:hAnsi="Minion Pro"/>
          <w:color w:val="000000"/>
          <w:lang w:val="en-US" w:eastAsia="zh-CN" w:bidi="ar"/>
        </w:rPr>
        <w:instrText>ADDIN CSL_CITATION {"citationItems":[{"id":"ITEM-1","itemData":{"DOI":"10.1016/j.ijchp.2022.100331","ISSN":"16972600","abstract":"Background/Objective: Emerging adulthood (EA, age range between 18 to 29 years) is an important developmental stage that is characterized by marked social and psychological changes. Currently, its developmental features are quantified by the Inventory of the Dimensions of Emerging Adulthood (IDEA) but a validated Chinese version of this questionnaire (IDEA-C) is lacking. Thus, this research, which consists of two consecutive studies, aimed to investigate the psychometric properties of the translated IDEA in a Chinese sample of emerging adults. Method: Firstly, a forward-backward translation of the IDEA-C scale was conducted. Item analysis and exploratory factor analysis were performed in Sample 1a (n = 2438), followed by structural validity test in Sample 1b (n = 2461). Concurrent validity and internal consistency were evaluated in Sample 1(n = 4899). Finally, test-retest reliability was tested in Sample 2 (n = 185). Then, the second study aimed to test the factor structure proposed by study 1 in the non-student sample (n = 2200) by confirmatory factor analysis. In addition, the second study also investigated whether the attainment of college education influenced the EA experience of non-student emerging adults in China. And the association was examined between the socioeconomic status of emerging adults and the subscales of IDEA. Results: In the college sample, the IDEA-C scale presented a four-factor structure different from the original five-factor structure (χ2(190)=1116.84, p &lt; 0.001; CFI = 0.97; TLI = 0.96; SRMR = 0.039; RMSEA = 0.050 [90%CI=0.047-0.052]). In addition, IDEA-C exhibited good internal consistency reliability (Cronbach's alpha &gt;0.77), test-retest reliability (r&gt;0.49, p &lt; 0.01) and concurrent validity. And the CFA in non-student sample also showed an adequate fit indices (χ2(158) =710.10, p &lt; 0.001, TLI=0.93, CFI=0.94, SRMR=0.038, RMSEA=0.04 [90%CI=0.037-0.040]) and an adequate internal consistency (Cronbach's alpha &gt;0.64) and test-retest reliability (r&gt;0.43, p &lt; 0.01). Conclusion: The results of the present study confirmed that the Chinese version of the IDEA is found to be valid for measuring psychological characteristics of EA in Chinese-speaking samples of emerging adults.","author":[{"dropping-particle":"","family":"Kuang","given":"Jin","non-dropping-particle":"","parse-names":false,"suffix":""},{"dropping-particle":"","family":"Zhong","given":"Juan","non-dropping-particle":"","parse-names":false,"suffix":""},{"dropping-particle":"","family":"Yang","given":"Peiying","non-dropping-particle":"","parse-names":false,"suffix":""},{"dropping-particle":"","family":"Bai","given":"Xinran","non-dropping-particle":"","parse-names":false,"suffix":""},{"dropping-particle":"","family":"Liang","given":"Yinglan","non-dropping-particle":"","parse-names":false,"suffix":""},{"dropping-particle":"","family":"Cheval","given":"Boris","non-dropping-particle":"","parse-names":false,"suffix":""},{"dropping-particle":"","family":"Herold","given":"Fabian","non-dropping-particle":"","parse-names":false,"suffix":""},{"dropping-particle":"","family":"Wei","given":"Gaoxia","non-dropping-particle":"","parse-names":false,"suffix":""},{"dropping-particle":"","family":"Taylor","given":"Alyx","non-dropping-particle":"","parse-names":false,"suffix":""},{"dropping-particle":"","family":"Zhang","given":"Jieting","non-dropping-particle":"","parse-names":false,"suffix":""},{"dropping-particle":"","family":"Chen","given":"Chun","non-dropping-particle":"","parse-names":false,"suffix":""},{"dropping-particle":"","family":"Sun","given":"Jing","non-dropping-particle":"","parse-names":false,"suffix":""},{"dropping-particle":"","family":"Zou","given":"Liye","non-dropping-particle":"","parse-names":false,"suffix":""},{"dropping-particle":"","family":"Arnett","given":"Jeffrey Jensen","non-dropping-particle":"","parse-names":false,"suffix":""}],"container-title":"International Journal of Clinical and Health Psychology","id":"ITEM-1","issue":"1","issued":{"date-parts":[["2023"]]},"title":"Psychometric evaluation of the inventory of dimensions of emerging adulthood (IDEA) in China","type":"article-journal","volume":"23"},"uris":["http://www.mendeley.com/documents/?uuid=35c7a1fd-d606-3b51-8601-cc41c173c7c2"]}],"mendeley":{"formattedCitation":"[2]","plainTextFormattedCitation":"[2]","previouslyFormattedCitation":"[2]"},"properties":{"noteIndex":0},"schema":"https://github.com/citation-style-language/schema/raw/master/csl-citation.json"}</w:instrText>
      </w:r>
      <w:r>
        <w:rPr>
          <w:rFonts w:eastAsia="AdvTT5843c571" w:cs="Times New Roman" w:ascii="Minion Pro" w:hAnsi="Minion Pro"/>
          <w:color w:val="000000"/>
          <w:sz w:val="24"/>
          <w:szCs w:val="24"/>
          <w:lang w:val="en-US" w:eastAsia="zh-CN" w:bidi="ar"/>
        </w:rPr>
      </w:r>
      <w:r>
        <w:rPr>
          <w:sz w:val="24"/>
          <w:szCs w:val="24"/>
          <w:rFonts w:eastAsia="AdvTT5843c571" w:cs="Times New Roman" w:ascii="Minion Pro" w:hAnsi="Minion Pro"/>
          <w:color w:val="000000"/>
          <w:lang w:val="en-US" w:eastAsia="zh-CN" w:bidi="ar"/>
        </w:rPr>
        <w:fldChar w:fldCharType="separate"/>
      </w:r>
      <w:r>
        <w:rPr>
          <w:rFonts w:eastAsia="AdvTT5843c571" w:cs="Times New Roman" w:ascii="Minion Pro" w:hAnsi="Minion Pro"/>
          <w:color w:val="000000"/>
          <w:sz w:val="24"/>
          <w:szCs w:val="24"/>
          <w:lang w:val="en-US" w:eastAsia="zh-CN" w:bidi="ar"/>
        </w:rPr>
        <w:t>[2]</w:t>
      </w:r>
      <w:r>
        <w:rPr>
          <w:rFonts w:eastAsia="AdvTT5843c571" w:cs="Times New Roman" w:ascii="Minion Pro" w:hAnsi="Minion Pro"/>
          <w:color w:val="000000"/>
          <w:sz w:val="24"/>
          <w:szCs w:val="24"/>
          <w:lang w:val="en-US" w:eastAsia="zh-CN" w:bidi="ar"/>
        </w:rPr>
      </w:r>
      <w:r>
        <w:rPr>
          <w:sz w:val="24"/>
          <w:szCs w:val="24"/>
          <w:rFonts w:eastAsia="AdvTT5843c571" w:cs="Times New Roman" w:ascii="Minion Pro" w:hAnsi="Minion Pro"/>
          <w:color w:val="000000"/>
          <w:lang w:val="en-US" w:eastAsia="zh-CN" w:bidi="ar"/>
        </w:rPr>
        <w:fldChar w:fldCharType="end"/>
      </w:r>
      <w:r>
        <w:rPr>
          <w:rFonts w:eastAsia="AdvTT5843c571" w:cs="Times New Roman" w:ascii="Minion Pro" w:hAnsi="Minion Pro"/>
          <w:color w:val="000000"/>
          <w:sz w:val="24"/>
          <w:szCs w:val="24"/>
          <w:lang w:val="en-US" w:eastAsia="zh-CN" w:bidi="ar"/>
        </w:rPr>
        <w:t xml:space="preserve">. The IDEA-C has been shown to be effective in measuring the psychological characteristics of Chinese emerging adults. Compared with the original version of the IDEA developed by Reifman et al., which comprised 20 items with </w:t>
      </w:r>
      <w:r>
        <w:rPr>
          <w:rFonts w:eastAsia="AdvTT5843c571 + fb" w:cs="Times New Roman" w:ascii="Minion Pro" w:hAnsi="Minion Pro"/>
          <w:color w:val="000000"/>
          <w:sz w:val="24"/>
          <w:szCs w:val="24"/>
          <w:lang w:val="en-US" w:eastAsia="zh-CN" w:bidi="ar"/>
        </w:rPr>
        <w:t>fi</w:t>
      </w:r>
      <w:r>
        <w:rPr>
          <w:rFonts w:eastAsia="AdvTT5843c571" w:cs="Times New Roman" w:ascii="Minion Pro" w:hAnsi="Minion Pro"/>
          <w:color w:val="000000"/>
          <w:sz w:val="24"/>
          <w:szCs w:val="24"/>
          <w:lang w:val="en-US" w:eastAsia="zh-CN" w:bidi="ar"/>
        </w:rPr>
        <w:t xml:space="preserve">ve features. The items in IDEA-C are narrowed down to four features (self-exploration, instability, possibilities, and responsibility). The responses to the IDEA-C items were designed on a four-point Likert scale ranging from 1 = </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totally disagree</w:t>
      </w:r>
      <w:r>
        <w:rPr>
          <w:rFonts w:eastAsia="AdvTT5843c571 + 20" w:cs="Times New Roman" w:ascii="Minion Pro" w:hAnsi="Minion Pro"/>
          <w:color w:val="000000"/>
          <w:sz w:val="24"/>
          <w:szCs w:val="24"/>
          <w:lang w:val="en-US" w:eastAsia="zh-CN" w:bidi="ar"/>
        </w:rPr>
        <w:t xml:space="preserve">” </w:t>
      </w:r>
      <w:r>
        <w:rPr>
          <w:rFonts w:eastAsia="AdvTT5843c571" w:cs="Times New Roman" w:ascii="Minion Pro" w:hAnsi="Minion Pro"/>
          <w:color w:val="000000"/>
          <w:sz w:val="24"/>
          <w:szCs w:val="24"/>
          <w:lang w:val="en-US" w:eastAsia="zh-CN" w:bidi="ar"/>
        </w:rPr>
        <w:t xml:space="preserve">to 4 = </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totally agree</w:t>
      </w:r>
      <w:r>
        <w:rPr>
          <w:rFonts w:eastAsia="AdvTT5843c571 + 20" w:cs="Times New Roman" w:ascii="Minion Pro" w:hAnsi="Minion Pro"/>
          <w:color w:val="000000"/>
          <w:sz w:val="24"/>
          <w:szCs w:val="24"/>
          <w:lang w:val="en-US" w:eastAsia="zh-CN" w:bidi="ar"/>
        </w:rPr>
        <w:t>”</w:t>
      </w:r>
      <w:r>
        <w:rPr>
          <w:rFonts w:eastAsia="AdvTT5843c571" w:cs="Times New Roman" w:ascii="Minion Pro" w:hAnsi="Minion Pro"/>
          <w:color w:val="000000"/>
          <w:sz w:val="24"/>
          <w:szCs w:val="24"/>
          <w:lang w:val="en-US" w:eastAsia="zh-CN" w:bidi="ar"/>
        </w:rPr>
        <w:t>. Higher scores in each subscale indicated greater agreement with feature.</w:t>
      </w:r>
    </w:p>
    <w:p>
      <w:pPr>
        <w:pStyle w:val="Normal"/>
        <w:spacing w:lineRule="auto" w:line="240"/>
        <w:jc w:val="both"/>
        <w:rPr>
          <w:rFonts w:ascii="Minion Pro" w:hAnsi="Minion Pro" w:cs="Times New Roman"/>
          <w:sz w:val="24"/>
          <w:szCs w:val="24"/>
        </w:rPr>
      </w:pPr>
      <w:r>
        <w:rPr>
          <w:rFonts w:eastAsia="MyriadPro-Semibold" w:cs="Times New Roman" w:ascii="Minion Pro" w:hAnsi="Minion Pro"/>
          <w:b/>
          <w:bCs/>
          <w:color w:val="000000"/>
          <w:sz w:val="24"/>
          <w:szCs w:val="24"/>
          <w:lang w:val="en-US" w:eastAsia="zh-CN" w:bidi="ar"/>
        </w:rPr>
        <w:t>Covariates</w:t>
      </w:r>
    </w:p>
    <w:p>
      <w:pPr>
        <w:pStyle w:val="Normal"/>
        <w:spacing w:lineRule="auto" w:line="240"/>
        <w:jc w:val="both"/>
        <w:rPr>
          <w:rFonts w:ascii="Minion Pro" w:hAnsi="Minion Pro" w:eastAsia="MyriadPro-Semibold" w:cs="Times New Roman"/>
          <w:bCs/>
          <w:color w:val="000000"/>
          <w:sz w:val="24"/>
          <w:szCs w:val="24"/>
          <w:lang w:val="en-US" w:eastAsia="zh-CN" w:bidi="ar"/>
        </w:rPr>
      </w:pPr>
      <w:r>
        <w:rPr>
          <w:rFonts w:eastAsia="MyriadPro-Semibold" w:cs="Times New Roman" w:ascii="Minion Pro" w:hAnsi="Minion Pro"/>
          <w:bCs/>
          <w:color w:val="000000"/>
          <w:sz w:val="24"/>
          <w:szCs w:val="24"/>
          <w:lang w:val="en-US" w:eastAsia="zh-CN" w:bidi="ar"/>
        </w:rPr>
        <w:t xml:space="preserve">Participants’ demographics encompassing age, gender (men and women), ethnicity (Han and minorities), education level (no schooling, primary school, second school, high school, undergraduate/college, and postgraduate or higher), living situation (living alone, living with classmates, sharing a house with others, living with parents or partner, etc.), and body mass index (BMI). Detailed demographic data is shown in Table 1. </w:t>
      </w:r>
      <w:bookmarkStart w:id="15" w:name="OLE_LINK13"/>
      <w:bookmarkEnd w:id="15"/>
    </w:p>
    <w:p>
      <w:pPr>
        <w:pStyle w:val="Normal"/>
        <w:spacing w:lineRule="auto" w:line="240"/>
        <w:jc w:val="both"/>
        <w:rPr>
          <w:rFonts w:ascii="Minion Pro" w:hAnsi="Minion Pro" w:cs="Times New Roman"/>
          <w:sz w:val="24"/>
          <w:szCs w:val="24"/>
        </w:rPr>
      </w:pPr>
      <w:r>
        <w:rPr>
          <w:rFonts w:eastAsia="MyriadPro-Semibold" w:cs="Times New Roman" w:ascii="Minion Pro" w:hAnsi="Minion Pro"/>
          <w:b/>
          <w:bCs/>
          <w:color w:val="000000"/>
          <w:sz w:val="24"/>
          <w:szCs w:val="24"/>
          <w:lang w:val="en-US" w:eastAsia="zh-CN" w:bidi="ar"/>
        </w:rPr>
        <w:t>Statistical analysis</w:t>
      </w:r>
    </w:p>
    <w:p>
      <w:pPr>
        <w:pStyle w:val="Normal"/>
        <w:spacing w:lineRule="auto" w:line="240"/>
        <w:jc w:val="both"/>
        <w:rPr>
          <w:rFonts w:ascii="Minion Pro" w:hAnsi="Minion Pro" w:eastAsia="宋体" w:cs="Times New Roman"/>
          <w:b/>
          <w:b/>
          <w:bCs/>
          <w:sz w:val="21"/>
          <w:szCs w:val="21"/>
          <w:lang w:val="en-US" w:eastAsia="zh-CN"/>
        </w:rPr>
      </w:pPr>
      <w:r>
        <w:rPr>
          <w:rFonts w:eastAsia="WarnockPro-Regular" w:cs="Times New Roman" w:ascii="Minion Pro" w:hAnsi="Minion Pro"/>
          <w:color w:val="000000" w:themeColor="text1"/>
          <w:sz w:val="24"/>
          <w:szCs w:val="24"/>
          <w:lang w:val="en-US" w:eastAsia="zh-CN" w:bidi="ar"/>
        </w:rPr>
        <w:t xml:space="preserve">Descriptive statistics were calculated for all the variables. Continuous variables are described using means and standard deviations, and categorical variables are described using unweighted sample counts and percentages. </w:t>
      </w:r>
      <w:bookmarkStart w:id="16" w:name="OLE_LINK5"/>
      <w:r>
        <w:rPr>
          <w:rFonts w:eastAsia="WarnockPro-Regular" w:cs="Times New Roman" w:ascii="Minion Pro" w:hAnsi="Minion Pro"/>
          <w:color w:val="000000" w:themeColor="text1"/>
          <w:sz w:val="24"/>
          <w:szCs w:val="24"/>
          <w:lang w:val="en-US" w:eastAsia="zh-CN" w:bidi="ar"/>
        </w:rPr>
        <w:t>Multiple linear regression analysis</w:t>
      </w:r>
      <w:bookmarkEnd w:id="16"/>
      <w:r>
        <w:rPr>
          <w:rFonts w:eastAsia="WarnockPro-Regular" w:cs="Times New Roman" w:ascii="Minion Pro" w:hAnsi="Minion Pro"/>
          <w:color w:val="000000" w:themeColor="text1"/>
          <w:sz w:val="24"/>
          <w:szCs w:val="24"/>
          <w:lang w:val="en-US" w:eastAsia="zh-CN" w:bidi="ar"/>
        </w:rPr>
        <w:t xml:space="preserve"> was used to estimate odds ratios with 95% confidence intervals (CIs) in the association between </w:t>
      </w:r>
      <w:r>
        <w:rPr>
          <w:rFonts w:cs="Times New Roman" w:ascii="Minion Pro" w:hAnsi="Minion Pro"/>
          <w:color w:val="000000" w:themeColor="text1"/>
          <w:sz w:val="24"/>
          <w:szCs w:val="24"/>
          <w:lang w:val="en-US"/>
        </w:rPr>
        <w:t xml:space="preserve">adherence to the 24-hour movement guidelines </w:t>
      </w:r>
      <w:r>
        <w:rPr>
          <w:rFonts w:eastAsia="WarnockPro-Regular" w:cs="Times New Roman" w:ascii="Minion Pro" w:hAnsi="Minion Pro"/>
          <w:color w:val="000000" w:themeColor="text1"/>
          <w:sz w:val="24"/>
          <w:szCs w:val="24"/>
          <w:lang w:val="en-US" w:eastAsia="zh-CN" w:bidi="ar"/>
        </w:rPr>
        <w:t xml:space="preserve">and the </w:t>
      </w:r>
      <w:r>
        <w:rPr>
          <w:rFonts w:cs="Times New Roman" w:ascii="Minion Pro" w:hAnsi="Minion Pro"/>
          <w:color w:val="000000" w:themeColor="text1"/>
          <w:sz w:val="24"/>
          <w:szCs w:val="24"/>
          <w:lang w:val="en-US"/>
        </w:rPr>
        <w:t>four features (self-exploration, instability, possibilities, and</w:t>
      </w:r>
      <w:r>
        <w:rPr>
          <w:rFonts w:cs="Times New Roman" w:ascii="Minion Pro" w:hAnsi="Minion Pro"/>
          <w:color w:val="000000" w:themeColor="text1"/>
          <w:sz w:val="24"/>
          <w:szCs w:val="24"/>
          <w:lang w:val="en-US" w:eastAsia="zh-CN"/>
        </w:rPr>
        <w:t xml:space="preserve"> </w:t>
      </w:r>
      <w:r>
        <w:rPr>
          <w:rFonts w:cs="Times New Roman" w:ascii="Minion Pro" w:hAnsi="Minion Pro"/>
          <w:color w:val="000000" w:themeColor="text1"/>
          <w:sz w:val="24"/>
          <w:szCs w:val="24"/>
          <w:lang w:val="en-US"/>
        </w:rPr>
        <w:t>responsibility)</w:t>
      </w:r>
      <w:r>
        <w:rPr>
          <w:rFonts w:cs="Times New Roman" w:ascii="Minion Pro" w:hAnsi="Minion Pro"/>
          <w:color w:val="000000" w:themeColor="text1"/>
          <w:sz w:val="24"/>
          <w:szCs w:val="24"/>
          <w:lang w:val="en-US" w:eastAsia="zh-CN"/>
        </w:rPr>
        <w:t xml:space="preserve">. </w:t>
      </w:r>
      <w:r>
        <w:rPr>
          <w:rFonts w:eastAsia="WarnockPro-Regular" w:cs="Times New Roman" w:ascii="Minion Pro" w:hAnsi="Minion Pro"/>
          <w:color w:val="000000" w:themeColor="text1"/>
          <w:sz w:val="24"/>
          <w:szCs w:val="24"/>
          <w:lang w:val="en-US" w:eastAsia="zh-CN" w:bidi="ar"/>
        </w:rPr>
        <w:t xml:space="preserve">Separate analyses were performed for all three components of the </w:t>
      </w:r>
      <w:r>
        <w:rPr>
          <w:rFonts w:cs="Times New Roman" w:ascii="Minion Pro" w:hAnsi="Minion Pro"/>
          <w:color w:val="000000" w:themeColor="text1"/>
          <w:sz w:val="24"/>
          <w:szCs w:val="24"/>
          <w:lang w:val="en-US"/>
        </w:rPr>
        <w:t>24-hour movement guidelines</w:t>
      </w:r>
      <w:r>
        <w:rPr>
          <w:rFonts w:eastAsia="WarnockPro-Regular" w:cs="Times New Roman" w:ascii="Minion Pro" w:hAnsi="Minion Pro"/>
          <w:color w:val="000000" w:themeColor="text1"/>
          <w:sz w:val="24"/>
          <w:szCs w:val="24"/>
          <w:lang w:val="en-US" w:eastAsia="zh-CN" w:bidi="ar"/>
        </w:rPr>
        <w:t xml:space="preserve">  and specific combinations (PA, sleep, </w:t>
      </w:r>
      <w:r>
        <w:rPr>
          <w:rFonts w:eastAsia="宋体" w:cs="Times New Roman" w:ascii="Minion Pro" w:hAnsi="Minion Pro"/>
          <w:color w:val="000000" w:themeColor="text1"/>
          <w:sz w:val="24"/>
          <w:szCs w:val="24"/>
        </w:rPr>
        <w:t>sedentary</w:t>
      </w:r>
      <w:r>
        <w:rPr>
          <w:rFonts w:eastAsia="WarnockPro-Regular" w:cs="Times New Roman" w:ascii="Minion Pro" w:hAnsi="Minion Pro"/>
          <w:color w:val="000000" w:themeColor="text1"/>
          <w:sz w:val="24"/>
          <w:szCs w:val="24"/>
          <w:lang w:val="en-US" w:eastAsia="zh-CN" w:bidi="ar"/>
        </w:rPr>
        <w:t xml:space="preserve">,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sleep,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PA, sleep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PA, and PA</w:t>
      </w:r>
      <w:r>
        <w:rPr>
          <w:rFonts w:eastAsia="MTSY" w:cs="Times New Roman" w:ascii="Minion Pro" w:hAnsi="Minion Pro"/>
          <w:color w:val="000000" w:themeColor="text1"/>
          <w:sz w:val="24"/>
          <w:szCs w:val="24"/>
          <w:lang w:val="en-US" w:eastAsia="zh-CN" w:bidi="ar"/>
        </w:rPr>
        <w:t xml:space="preserve">+ </w:t>
      </w:r>
      <w:r>
        <w:rPr>
          <w:rFonts w:eastAsia="宋体" w:cs="Times New Roman" w:ascii="Minion Pro" w:hAnsi="Minion Pro"/>
          <w:color w:val="000000" w:themeColor="text1"/>
          <w:sz w:val="24"/>
          <w:szCs w:val="24"/>
        </w:rPr>
        <w:t xml:space="preserve">sedentary </w:t>
      </w:r>
      <w:r>
        <w:rPr>
          <w:rFonts w:eastAsia="WarnockPro-Regular" w:cs="Times New Roman" w:ascii="Minion Pro" w:hAnsi="Minion Pro"/>
          <w:color w:val="000000" w:themeColor="text1"/>
          <w:sz w:val="24"/>
          <w:szCs w:val="24"/>
          <w:lang w:val="en-US" w:eastAsia="zh-CN" w:bidi="ar"/>
        </w:rPr>
        <w:t xml:space="preserve"> </w:t>
      </w:r>
      <w:r>
        <w:rPr>
          <w:rFonts w:eastAsia="MTSY" w:cs="Times New Roman" w:ascii="Minion Pro" w:hAnsi="Minion Pro"/>
          <w:color w:val="000000" w:themeColor="text1"/>
          <w:sz w:val="24"/>
          <w:szCs w:val="24"/>
          <w:lang w:val="en-US" w:eastAsia="zh-CN" w:bidi="ar"/>
        </w:rPr>
        <w:t>+</w:t>
      </w:r>
      <w:r>
        <w:rPr>
          <w:rFonts w:eastAsia="WarnockPro-Regular" w:cs="Times New Roman" w:ascii="Minion Pro" w:hAnsi="Minion Pro"/>
          <w:color w:val="000000" w:themeColor="text1"/>
          <w:sz w:val="24"/>
          <w:szCs w:val="24"/>
          <w:lang w:val="en-US" w:eastAsia="zh-CN" w:bidi="ar"/>
        </w:rPr>
        <w:t xml:space="preserve"> sleep) as independent variables in the models. Socio-demographic data (age, sex, </w:t>
      </w:r>
      <w:r>
        <w:rPr>
          <w:rFonts w:eastAsia="宋体" w:cs="Times New Roman" w:ascii="Minion Pro" w:hAnsi="Minion Pro"/>
          <w:color w:val="000000" w:themeColor="text1"/>
          <w:sz w:val="24"/>
          <w:szCs w:val="24"/>
        </w:rPr>
        <w:t>marital status</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rPr>
        <w:t>number of children</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lang w:eastAsia="zh-CN"/>
        </w:rPr>
        <w:t>l</w:t>
      </w:r>
      <w:r>
        <w:rPr>
          <w:rFonts w:eastAsia="宋体" w:cs="Times New Roman" w:ascii="Minion Pro" w:hAnsi="Minion Pro"/>
          <w:color w:val="000000" w:themeColor="text1"/>
          <w:sz w:val="24"/>
          <w:szCs w:val="24"/>
        </w:rPr>
        <w:t>iving</w:t>
      </w:r>
      <w:r>
        <w:rPr>
          <w:rFonts w:eastAsia="宋体" w:cs="Times New Roman" w:ascii="Minion Pro" w:hAnsi="Minion Pro"/>
          <w:color w:val="000000" w:themeColor="text1"/>
          <w:sz w:val="24"/>
          <w:szCs w:val="24"/>
          <w:lang w:val="en-US" w:eastAsia="zh-CN"/>
        </w:rPr>
        <w:t xml:space="preserve">, </w:t>
      </w:r>
      <w:r>
        <w:rPr>
          <w:rFonts w:eastAsia="宋体" w:cs="Times New Roman" w:ascii="Minion Pro" w:hAnsi="Minion Pro"/>
          <w:color w:val="000000" w:themeColor="text1"/>
          <w:sz w:val="24"/>
          <w:szCs w:val="24"/>
        </w:rPr>
        <w:t>income level</w:t>
      </w:r>
      <w:r>
        <w:rPr>
          <w:rFonts w:eastAsia="宋体" w:cs="Times New Roman" w:ascii="Minion Pro" w:hAnsi="Minion Pro"/>
          <w:color w:val="000000" w:themeColor="text1"/>
          <w:sz w:val="24"/>
          <w:szCs w:val="24"/>
          <w:lang w:val="en-US" w:eastAsia="zh-CN"/>
        </w:rPr>
        <w:t xml:space="preserve">, and </w:t>
      </w:r>
      <w:r>
        <w:rPr>
          <w:rFonts w:eastAsia="宋体" w:cs="Times New Roman" w:ascii="Minion Pro" w:hAnsi="Minion Pro"/>
          <w:color w:val="000000" w:themeColor="text1"/>
          <w:sz w:val="24"/>
          <w:szCs w:val="24"/>
        </w:rPr>
        <w:t>highest education level</w:t>
      </w:r>
      <w:r>
        <w:rPr>
          <w:rFonts w:eastAsia="宋体" w:cs="Times New Roman" w:ascii="Minion Pro" w:hAnsi="Minion Pro"/>
          <w:color w:val="000000" w:themeColor="text1"/>
          <w:sz w:val="24"/>
          <w:szCs w:val="24"/>
          <w:lang w:val="en-US" w:eastAsia="zh-CN"/>
        </w:rPr>
        <w:t xml:space="preserve"> of </w:t>
      </w:r>
      <w:r>
        <w:rPr>
          <w:rFonts w:cs="Times New Roman" w:ascii="Minion Pro" w:hAnsi="Minion Pro"/>
          <w:color w:val="000000" w:themeColor="text1"/>
          <w:sz w:val="24"/>
          <w:szCs w:val="24"/>
          <w:lang w:val="en-US"/>
        </w:rPr>
        <w:t>emerging adults</w:t>
      </w:r>
      <w:r>
        <w:rPr>
          <w:rFonts w:eastAsia="宋体" w:cs="Times New Roman" w:ascii="Minion Pro" w:hAnsi="Minion Pro"/>
          <w:color w:val="000000" w:themeColor="text1"/>
          <w:sz w:val="24"/>
          <w:szCs w:val="24"/>
          <w:lang w:val="en-US" w:eastAsia="zh-CN"/>
        </w:rPr>
        <w:t xml:space="preserve">) </w:t>
      </w:r>
      <w:r>
        <w:rPr>
          <w:rFonts w:eastAsia="WarnockPro-Regular" w:cs="Times New Roman" w:ascii="Minion Pro" w:hAnsi="Minion Pro"/>
          <w:color w:val="000000" w:themeColor="text1"/>
          <w:sz w:val="24"/>
          <w:szCs w:val="24"/>
          <w:lang w:val="en-US" w:eastAsia="zh-CN" w:bidi="ar"/>
        </w:rPr>
        <w:t>were included as potential confounders. Data analysis was conducted using Stata 15.0, and the statistical significance level was set at p&lt;0.05.</w:t>
      </w:r>
    </w:p>
    <w:p>
      <w:pPr>
        <w:pStyle w:val="Normal"/>
        <w:widowControl w:val="false"/>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Results</w:t>
      </w:r>
    </w:p>
    <w:p>
      <w:pPr>
        <w:pStyle w:val="Normal"/>
        <w:widowControl w:val="false"/>
        <w:spacing w:lineRule="auto" w:line="240"/>
        <w:jc w:val="both"/>
        <w:rPr>
          <w:rFonts w:ascii="Minion Pro" w:hAnsi="Minion Pro" w:cs="Times New Roman"/>
          <w:b/>
          <w:b/>
          <w:bCs/>
          <w:sz w:val="24"/>
          <w:szCs w:val="24"/>
          <w:lang w:val="en-US" w:eastAsia="zh-CN"/>
        </w:rPr>
      </w:pPr>
      <w:r>
        <w:rPr>
          <w:rFonts w:cs="Times New Roman" w:ascii="Minion Pro" w:hAnsi="Minion Pro"/>
          <w:b/>
          <w:bCs/>
          <w:sz w:val="24"/>
          <w:szCs w:val="24"/>
          <w:lang w:val="en-US" w:eastAsia="zh-CN"/>
        </w:rPr>
        <w:t>Sample Characteristics</w:t>
      </w:r>
    </w:p>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bCs/>
          <w:color w:val="000000" w:themeColor="text1"/>
          <w:sz w:val="24"/>
          <w:szCs w:val="24"/>
          <w:lang w:val="en-US"/>
        </w:rPr>
        <w:t>Data on 1,510 Chinese emerging adults aged 18-29 years were included in this study</w:t>
      </w:r>
      <w:r>
        <w:rPr>
          <w:rFonts w:cs="Times New Roman" w:ascii="Minion Pro" w:hAnsi="Minion Pro"/>
          <w:bCs/>
          <w:color w:val="000000" w:themeColor="text1"/>
          <w:sz w:val="24"/>
          <w:szCs w:val="24"/>
          <w:lang w:val="en-US" w:eastAsia="zh-CN"/>
        </w:rPr>
        <w:t>.</w:t>
      </w:r>
      <w:r>
        <w:rPr>
          <w:rFonts w:eastAsia="AdvP7B6C" w:cs="Times New Roman" w:ascii="Minion Pro" w:hAnsi="Minion Pro"/>
          <w:bCs/>
          <w:color w:val="000000" w:themeColor="text1"/>
          <w:sz w:val="24"/>
          <w:szCs w:val="24"/>
          <w:lang w:val="en-US" w:eastAsia="zh-CN" w:bidi="ar"/>
        </w:rPr>
        <w:t xml:space="preserve"> The mean age of the participants was 20.08</w:t>
      </w:r>
      <w:r>
        <w:rPr>
          <w:rFonts w:cs="Times New Roman" w:ascii="Minion Pro" w:hAnsi="Minion Pro"/>
          <w:bCs/>
          <w:color w:val="000000" w:themeColor="text1"/>
          <w:sz w:val="24"/>
          <w:szCs w:val="24"/>
          <w:lang w:val="en-US" w:eastAsia="zh-CN" w:bidi="ar"/>
        </w:rPr>
        <w:t>±</w:t>
      </w:r>
      <w:r>
        <w:rPr>
          <w:rFonts w:eastAsia="宋体" w:cs="Times New Roman" w:ascii="Minion Pro" w:hAnsi="Minion Pro"/>
          <w:bCs/>
          <w:color w:val="000000" w:themeColor="text1"/>
          <w:sz w:val="24"/>
          <w:szCs w:val="24"/>
        </w:rPr>
        <w:t>3.36</w:t>
      </w:r>
      <w:r>
        <w:rPr>
          <w:rFonts w:eastAsia="AdvP7B6C" w:cs="Times New Roman" w:ascii="Minion Pro" w:hAnsi="Minion Pro"/>
          <w:bCs/>
          <w:color w:val="000000" w:themeColor="text1"/>
          <w:sz w:val="24"/>
          <w:szCs w:val="24"/>
          <w:lang w:val="en-US" w:eastAsia="zh-CN" w:bidi="ar"/>
        </w:rPr>
        <w:t xml:space="preserve"> years, and the majority were </w:t>
      </w:r>
      <w:r>
        <w:rPr>
          <w:rFonts w:eastAsia="宋体" w:cs="Times New Roman" w:ascii="Minion Pro" w:hAnsi="Minion Pro"/>
          <w:bCs/>
          <w:color w:val="000000" w:themeColor="text1"/>
          <w:sz w:val="24"/>
          <w:szCs w:val="24"/>
        </w:rPr>
        <w:t>single</w:t>
      </w:r>
      <w:r>
        <w:rPr>
          <w:rFonts w:eastAsia="宋体" w:cs="Times New Roman" w:ascii="Minion Pro" w:hAnsi="Minion Pro"/>
          <w:bCs/>
          <w:color w:val="000000" w:themeColor="text1"/>
          <w:sz w:val="24"/>
          <w:szCs w:val="24"/>
          <w:lang w:val="en-US" w:eastAsia="zh-CN"/>
        </w:rPr>
        <w:t xml:space="preserve"> </w:t>
      </w:r>
      <w:r>
        <w:rPr>
          <w:rFonts w:eastAsia="AdvP7B6C" w:cs="Times New Roman" w:ascii="Minion Pro" w:hAnsi="Minion Pro"/>
          <w:bCs/>
          <w:color w:val="000000" w:themeColor="text1"/>
          <w:sz w:val="24"/>
          <w:szCs w:val="24"/>
          <w:lang w:val="en-US" w:eastAsia="zh-CN" w:bidi="ar"/>
        </w:rPr>
        <w:t xml:space="preserve">(93.51%). Approximately 96% reported having no children. Of the participants, </w:t>
      </w:r>
      <w:r>
        <w:rPr>
          <w:rFonts w:eastAsia="宋体" w:cs="Times New Roman" w:ascii="Minion Pro" w:hAnsi="Minion Pro"/>
          <w:bCs/>
          <w:color w:val="000000" w:themeColor="text1"/>
          <w:sz w:val="24"/>
          <w:szCs w:val="24"/>
        </w:rPr>
        <w:t>69.01</w:t>
      </w:r>
      <w:r>
        <w:rPr>
          <w:rFonts w:eastAsia="宋体" w:cs="Times New Roman" w:ascii="Minion Pro" w:hAnsi="Minion Pro"/>
          <w:bCs/>
          <w:color w:val="000000" w:themeColor="text1"/>
          <w:sz w:val="24"/>
          <w:szCs w:val="24"/>
          <w:lang w:val="en-US" w:eastAsia="zh-CN"/>
        </w:rPr>
        <w:t>% lived</w:t>
      </w:r>
      <w:r>
        <w:rPr>
          <w:rFonts w:eastAsia="宋体" w:cs="Times New Roman" w:ascii="Minion Pro" w:hAnsi="Minion Pro"/>
          <w:bCs/>
          <w:color w:val="000000" w:themeColor="text1"/>
          <w:sz w:val="24"/>
          <w:szCs w:val="24"/>
        </w:rPr>
        <w:t xml:space="preserve"> with others</w:t>
      </w:r>
      <w:r>
        <w:rPr>
          <w:rFonts w:eastAsia="宋体" w:cs="Times New Roman" w:ascii="Minion Pro" w:hAnsi="Minion Pro"/>
          <w:bCs/>
          <w:color w:val="000000" w:themeColor="text1"/>
          <w:sz w:val="24"/>
          <w:szCs w:val="24"/>
          <w:lang w:val="en-US" w:eastAsia="zh-CN"/>
        </w:rPr>
        <w:t xml:space="preserve">, </w:t>
      </w:r>
      <w:r>
        <w:rPr>
          <w:rFonts w:eastAsia="宋体" w:cs="Times New Roman" w:ascii="Minion Pro" w:hAnsi="Minion Pro"/>
          <w:bCs/>
          <w:color w:val="000000" w:themeColor="text1"/>
          <w:sz w:val="24"/>
          <w:szCs w:val="24"/>
        </w:rPr>
        <w:t>23.11</w:t>
      </w:r>
      <w:r>
        <w:rPr>
          <w:rFonts w:eastAsia="宋体" w:cs="Times New Roman" w:ascii="Minion Pro" w:hAnsi="Minion Pro"/>
          <w:bCs/>
          <w:color w:val="000000" w:themeColor="text1"/>
          <w:sz w:val="24"/>
          <w:szCs w:val="24"/>
          <w:lang w:val="en-US" w:eastAsia="zh-CN"/>
        </w:rPr>
        <w:t>% lived</w:t>
      </w:r>
      <w:r>
        <w:rPr>
          <w:rFonts w:eastAsia="宋体" w:cs="Times New Roman" w:ascii="Minion Pro" w:hAnsi="Minion Pro"/>
          <w:bCs/>
          <w:color w:val="000000" w:themeColor="text1"/>
          <w:sz w:val="24"/>
          <w:szCs w:val="24"/>
        </w:rPr>
        <w:t xml:space="preserve"> with</w:t>
      </w:r>
      <w:r>
        <w:rPr>
          <w:rFonts w:eastAsia="宋体" w:cs="Times New Roman" w:ascii="Minion Pro" w:hAnsi="Minion Pro"/>
          <w:bCs/>
          <w:color w:val="000000" w:themeColor="text1"/>
          <w:sz w:val="24"/>
          <w:szCs w:val="24"/>
          <w:lang w:val="en-US" w:eastAsia="zh-CN"/>
        </w:rPr>
        <w:t xml:space="preserve"> their</w:t>
      </w:r>
      <w:r>
        <w:rPr>
          <w:rFonts w:eastAsia="宋体" w:cs="Times New Roman" w:ascii="Minion Pro" w:hAnsi="Minion Pro"/>
          <w:bCs/>
          <w:color w:val="000000" w:themeColor="text1"/>
          <w:sz w:val="24"/>
          <w:szCs w:val="24"/>
        </w:rPr>
        <w:t xml:space="preserve"> family</w:t>
      </w:r>
      <w:r>
        <w:rPr>
          <w:rFonts w:eastAsia="宋体" w:cs="Times New Roman" w:ascii="Minion Pro" w:hAnsi="Minion Pro"/>
          <w:bCs/>
          <w:color w:val="000000" w:themeColor="text1"/>
          <w:sz w:val="24"/>
          <w:szCs w:val="24"/>
          <w:lang w:val="en-US" w:eastAsia="zh-CN"/>
        </w:rPr>
        <w:t xml:space="preserve"> and </w:t>
      </w:r>
      <w:r>
        <w:rPr>
          <w:rFonts w:eastAsia="宋体" w:cs="Times New Roman" w:ascii="Minion Pro" w:hAnsi="Minion Pro"/>
          <w:bCs/>
          <w:color w:val="000000" w:themeColor="text1"/>
          <w:sz w:val="24"/>
          <w:szCs w:val="24"/>
        </w:rPr>
        <w:t>7.88</w:t>
      </w:r>
      <w:r>
        <w:rPr>
          <w:rFonts w:eastAsia="宋体" w:cs="Times New Roman" w:ascii="Minion Pro" w:hAnsi="Minion Pro"/>
          <w:bCs/>
          <w:color w:val="000000" w:themeColor="text1"/>
          <w:sz w:val="24"/>
          <w:szCs w:val="24"/>
          <w:lang w:val="en-US" w:eastAsia="zh-CN"/>
        </w:rPr>
        <w:t xml:space="preserve">% lived </w:t>
      </w:r>
      <w:r>
        <w:rPr>
          <w:rFonts w:eastAsia="宋体" w:cs="Times New Roman" w:ascii="Minion Pro" w:hAnsi="Minion Pro"/>
          <w:bCs/>
          <w:color w:val="000000" w:themeColor="text1"/>
          <w:sz w:val="24"/>
          <w:szCs w:val="24"/>
        </w:rPr>
        <w:t>alone</w:t>
      </w:r>
      <w:r>
        <w:rPr>
          <w:rFonts w:eastAsia="宋体" w:cs="Times New Roman" w:ascii="Minion Pro" w:hAnsi="Minion Pro"/>
          <w:bCs/>
          <w:color w:val="000000" w:themeColor="text1"/>
          <w:sz w:val="24"/>
          <w:szCs w:val="24"/>
          <w:lang w:val="en-US" w:eastAsia="zh-CN"/>
        </w:rPr>
        <w:t>. The majority (</w:t>
      </w:r>
      <w:r>
        <w:rPr>
          <w:rFonts w:eastAsia="宋体" w:cs="Times New Roman" w:ascii="Minion Pro" w:hAnsi="Minion Pro"/>
          <w:bCs/>
          <w:color w:val="000000" w:themeColor="text1"/>
          <w:sz w:val="24"/>
          <w:szCs w:val="24"/>
        </w:rPr>
        <w:t>80.73</w:t>
      </w:r>
      <w:r>
        <w:rPr>
          <w:rFonts w:eastAsia="宋体" w:cs="Times New Roman" w:ascii="Minion Pro" w:hAnsi="Minion Pro"/>
          <w:bCs/>
          <w:color w:val="000000" w:themeColor="text1"/>
          <w:sz w:val="24"/>
          <w:szCs w:val="24"/>
          <w:lang w:val="en-US" w:eastAsia="zh-CN"/>
        </w:rPr>
        <w:t>%) reported an income of less than ¥2000, while only a small proportion earned ¥</w:t>
      </w:r>
      <w:r>
        <w:rPr>
          <w:rFonts w:eastAsia="宋体" w:cs="Times New Roman" w:ascii="Minion Pro" w:hAnsi="Minion Pro"/>
          <w:bCs/>
          <w:color w:val="000000" w:themeColor="text1"/>
          <w:sz w:val="24"/>
          <w:szCs w:val="24"/>
        </w:rPr>
        <w:t xml:space="preserve">2000 - </w:t>
      </w:r>
      <w:r>
        <w:rPr>
          <w:rFonts w:eastAsia="宋体" w:cs="Times New Roman" w:ascii="Minion Pro" w:hAnsi="Minion Pro"/>
          <w:bCs/>
          <w:color w:val="000000" w:themeColor="text1"/>
          <w:sz w:val="24"/>
          <w:szCs w:val="24"/>
          <w:lang w:val="en-US" w:eastAsia="zh-CN"/>
        </w:rPr>
        <w:t>¥</w:t>
      </w:r>
      <w:r>
        <w:rPr>
          <w:rFonts w:eastAsia="宋体" w:cs="Times New Roman" w:ascii="Minion Pro" w:hAnsi="Minion Pro"/>
          <w:bCs/>
          <w:color w:val="000000" w:themeColor="text1"/>
          <w:sz w:val="24"/>
          <w:szCs w:val="24"/>
        </w:rPr>
        <w:t>5000</w:t>
      </w:r>
      <w:r>
        <w:rPr>
          <w:rFonts w:eastAsia="宋体" w:cs="Times New Roman" w:ascii="Minion Pro" w:hAnsi="Minion Pro"/>
          <w:bCs/>
          <w:color w:val="000000" w:themeColor="text1"/>
          <w:sz w:val="24"/>
          <w:szCs w:val="24"/>
          <w:lang w:val="en-US" w:eastAsia="zh-CN"/>
        </w:rPr>
        <w:t>(</w:t>
      </w:r>
      <w:r>
        <w:rPr>
          <w:rFonts w:eastAsia="宋体" w:cs="Times New Roman" w:ascii="Minion Pro" w:hAnsi="Minion Pro"/>
          <w:bCs/>
          <w:color w:val="000000" w:themeColor="text1"/>
          <w:sz w:val="24"/>
          <w:szCs w:val="24"/>
        </w:rPr>
        <w:t>10.66</w:t>
      </w:r>
      <w:r>
        <w:rPr>
          <w:rFonts w:eastAsia="宋体" w:cs="Times New Roman" w:ascii="Minion Pro" w:hAnsi="Minion Pro"/>
          <w:bCs/>
          <w:color w:val="000000" w:themeColor="text1"/>
          <w:sz w:val="24"/>
          <w:szCs w:val="24"/>
          <w:lang w:val="en-US" w:eastAsia="zh-CN"/>
        </w:rPr>
        <w:t>%)</w:t>
      </w:r>
      <w:r>
        <w:rPr>
          <w:rFonts w:eastAsia="AdvP7B6C" w:cs="Times New Roman" w:ascii="Minion Pro" w:hAnsi="Minion Pro"/>
          <w:bCs/>
          <w:color w:val="000000" w:themeColor="text1"/>
          <w:sz w:val="24"/>
          <w:szCs w:val="24"/>
          <w:lang w:val="en-US" w:eastAsia="zh-CN" w:bidi="ar"/>
        </w:rPr>
        <w:t>. Only a negligible percentage of emerging</w:t>
      </w:r>
      <w:r>
        <w:rPr>
          <w:rFonts w:cs="Times New Roman" w:ascii="Minion Pro" w:hAnsi="Minion Pro"/>
          <w:bCs/>
          <w:color w:val="000000" w:themeColor="text1"/>
          <w:sz w:val="24"/>
          <w:szCs w:val="24"/>
          <w:lang w:val="en-US"/>
        </w:rPr>
        <w:t xml:space="preserve"> </w:t>
      </w:r>
      <w:r>
        <w:rPr>
          <w:rFonts w:cs="Times New Roman" w:ascii="Minion Pro" w:hAnsi="Minion Pro"/>
          <w:bCs/>
          <w:color w:val="000000" w:themeColor="text1"/>
          <w:sz w:val="24"/>
          <w:szCs w:val="24"/>
          <w:lang w:val="en-US" w:eastAsia="zh-CN"/>
        </w:rPr>
        <w:t>a</w:t>
      </w:r>
      <w:r>
        <w:rPr>
          <w:rFonts w:cs="Times New Roman" w:ascii="Minion Pro" w:hAnsi="Minion Pro"/>
          <w:bCs/>
          <w:color w:val="000000" w:themeColor="text1"/>
          <w:sz w:val="24"/>
          <w:szCs w:val="24"/>
          <w:lang w:val="en-US"/>
        </w:rPr>
        <w:t>dults</w:t>
      </w:r>
      <w:r>
        <w:rPr>
          <w:rFonts w:cs="Times New Roman" w:ascii="Minion Pro" w:hAnsi="Minion Pro"/>
          <w:bCs/>
          <w:color w:val="000000" w:themeColor="text1"/>
          <w:sz w:val="24"/>
          <w:szCs w:val="24"/>
          <w:lang w:val="en-US" w:eastAsia="zh-CN"/>
        </w:rPr>
        <w:t xml:space="preserve"> </w:t>
      </w:r>
      <w:r>
        <w:rPr>
          <w:rFonts w:eastAsia="AdvP7B6C" w:cs="Times New Roman" w:ascii="Minion Pro" w:hAnsi="Minion Pro"/>
          <w:bCs/>
          <w:color w:val="000000" w:themeColor="text1"/>
          <w:sz w:val="24"/>
          <w:szCs w:val="24"/>
          <w:lang w:val="en-US" w:eastAsia="zh-CN" w:bidi="ar"/>
        </w:rPr>
        <w:t>(0.20%) responded that they had not completed high school (see Table 1).</w:t>
      </w:r>
    </w:p>
    <w:p>
      <w:pPr>
        <w:pStyle w:val="Normal"/>
        <w:spacing w:lineRule="auto" w:line="240"/>
        <w:rPr>
          <w:rFonts w:ascii="Minion Pro" w:hAnsi="Minion Pro" w:cs="Times New Roman"/>
          <w:b/>
          <w:b/>
          <w:bCs/>
          <w:sz w:val="24"/>
          <w:szCs w:val="24"/>
        </w:rPr>
      </w:pPr>
      <w:r>
        <w:rPr>
          <w:rFonts w:eastAsia="AdvP7B72" w:cs="Times New Roman" w:ascii="Minion Pro" w:hAnsi="Minion Pro"/>
          <w:b/>
          <w:bCs/>
          <w:color w:val="000000"/>
          <w:sz w:val="24"/>
          <w:szCs w:val="24"/>
          <w:lang w:val="en-US" w:eastAsia="zh-CN" w:bidi="ar"/>
        </w:rPr>
        <w:t>Adherence to the 24-hour movement guidelines</w:t>
      </w:r>
    </w:p>
    <w:p>
      <w:pPr>
        <w:pStyle w:val="Normal"/>
        <w:spacing w:lineRule="auto" w:line="240"/>
        <w:jc w:val="both"/>
        <w:rPr>
          <w:rFonts w:ascii="Minion Pro" w:hAnsi="Minion Pro" w:eastAsia="AdvP7B6C" w:cs="Times New Roman"/>
          <w:color w:val="000000" w:themeColor="text1"/>
          <w:sz w:val="24"/>
          <w:szCs w:val="24"/>
          <w:lang w:val="en-US" w:eastAsia="zh-CN" w:bidi="ar"/>
        </w:rPr>
      </w:pPr>
      <w:r>
        <w:rPr>
          <w:rFonts w:eastAsia="AdvP7B6C" w:cs="Times New Roman" w:ascii="Minion Pro" w:hAnsi="Minion Pro"/>
          <w:color w:val="000000" w:themeColor="text1"/>
          <w:sz w:val="24"/>
          <w:szCs w:val="24"/>
          <w:lang w:val="en-US" w:eastAsia="zh-CN" w:bidi="ar"/>
        </w:rPr>
        <w:t>Table 2 and Figure 1 present the estimated percentages of adherence to the 24-hour movement guidelines maong Chinese emerging adults. In total, 6</w:t>
      </w:r>
      <w:r>
        <w:rPr>
          <w:rFonts w:eastAsia="宋体" w:cs="Times New Roman" w:ascii="Minion Pro" w:hAnsi="Minion Pro"/>
          <w:color w:val="000000" w:themeColor="text1"/>
          <w:sz w:val="24"/>
          <w:szCs w:val="24"/>
        </w:rPr>
        <w:t>5.36</w:t>
      </w:r>
      <w:r>
        <w:rPr>
          <w:rFonts w:eastAsia="AdvP7B6C" w:cs="Times New Roman" w:ascii="Minion Pro" w:hAnsi="Minion Pro"/>
          <w:color w:val="000000" w:themeColor="text1"/>
          <w:sz w:val="24"/>
          <w:szCs w:val="24"/>
          <w:lang w:val="en-US" w:eastAsia="zh-CN" w:bidi="ar"/>
        </w:rPr>
        <w:t>% (</w:t>
      </w:r>
      <w:r>
        <w:rPr>
          <w:rFonts w:eastAsia="AdvP7B72" w:cs="Times New Roman" w:ascii="Minion Pro" w:hAnsi="Minion Pro"/>
          <w:color w:val="000000" w:themeColor="text1"/>
          <w:sz w:val="24"/>
          <w:szCs w:val="24"/>
          <w:lang w:val="en-US" w:eastAsia="zh-CN" w:bidi="ar"/>
        </w:rPr>
        <w:t xml:space="preserve">n </w:t>
      </w:r>
      <w:r>
        <w:rPr>
          <w:rFonts w:eastAsia="AdvP7B6C" w:cs="Times New Roman" w:ascii="Minion Pro" w:hAnsi="Minion Pro"/>
          <w:color w:val="000000" w:themeColor="text1"/>
          <w:sz w:val="24"/>
          <w:szCs w:val="24"/>
          <w:lang w:val="en-US" w:eastAsia="zh-CN" w:bidi="ar"/>
        </w:rPr>
        <w:t>= 987) of the participants met the sedentary behavior recommendation, 61.66% (n = 931) met the sleep duration recommendation, and 74.50% (n = 1,125) met the PA recommendation. A third of the participants (n = 479, 31.72%) adhered to all three guidelines, while a small proportion (n=67, 4.44%) did not adhere to any of the guidelines. Among those who followed two of the three recommendations (n=642, 42.52%), most complied with the sedentary behavior and PA recommendations.</w:t>
      </w:r>
      <w:r>
        <w:rPr>
          <w:rFonts w:ascii="Minion Pro" w:hAnsi="Minion Pro"/>
          <w:color w:val="000000" w:themeColor="text1"/>
          <w:sz w:val="21"/>
          <w:szCs w:val="21"/>
        </w:rPr>
        <w:t xml:space="preserve"> </w:t>
      </w:r>
    </w:p>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b/>
          <w:bCs/>
          <w:sz w:val="24"/>
          <w:szCs w:val="24"/>
          <w:lang w:val="en-US"/>
        </w:rPr>
        <w:t>Table 1.</w:t>
      </w:r>
      <w:r>
        <w:rPr>
          <w:rFonts w:cs="Times New Roman" w:ascii="Minion Pro" w:hAnsi="Minion Pro"/>
          <w:sz w:val="24"/>
          <w:szCs w:val="24"/>
          <w:lang w:val="en-US"/>
        </w:rPr>
        <w:t xml:space="preserve"> Participant characteristics</w:t>
      </w:r>
      <w:r>
        <w:rPr>
          <w:rFonts w:cs="Times New Roman" w:ascii="Minion Pro" w:hAnsi="Minion Pro"/>
          <w:sz w:val="24"/>
          <w:szCs w:val="24"/>
          <w:lang w:val="en-US"/>
        </w:rPr>
        <w:t>table</w:t>
      </w:r>
    </w:p>
    <w:tbl>
      <w:tblPr>
        <w:tblStyle w:val="PlainTable21"/>
        <w:tblW w:w="8789" w:type="dxa"/>
        <w:jc w:val="left"/>
        <w:tblInd w:w="0" w:type="dxa"/>
        <w:tblCellMar>
          <w:top w:w="0" w:type="dxa"/>
          <w:left w:w="108" w:type="dxa"/>
          <w:bottom w:w="0" w:type="dxa"/>
          <w:right w:w="108" w:type="dxa"/>
        </w:tblCellMar>
        <w:tblLook w:val="04a0" w:noHBand="0" w:noVBand="1" w:firstColumn="1" w:lastRow="0" w:lastColumn="0" w:firstRow="1"/>
      </w:tblPr>
      <w:tblGrid>
        <w:gridCol w:w="6945"/>
        <w:gridCol w:w="1843"/>
      </w:tblGrid>
      <w:tr>
        <w:trPr>
          <w:trHeight w:val="454" w:hRule="atLeast"/>
          <w:cnfStyle w:val="100000000000" w:firstRow="1" w:lastRow="0" w:firstColumn="0" w:lastColumn="0" w:oddVBand="0" w:evenVBand="0" w:oddHBand="0" w:evenHBand="0" w:firstRowFirstColumn="0" w:firstRowLastColumn="0" w:lastRowFirstColumn="0" w:lastRowLastColumn="0"/>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rFonts w:ascii="Minion Pro" w:hAnsi="Minion Pro" w:eastAsia="宋体" w:cs="Times New Roman"/>
                <w:b w:val="false"/>
                <w:b w:val="false"/>
                <w:bCs w:val="false"/>
                <w:kern w:val="2"/>
                <w:sz w:val="21"/>
                <w:szCs w:val="21"/>
              </w:rPr>
            </w:pPr>
            <w:r>
              <w:rPr>
                <w:rFonts w:eastAsia="宋体" w:cs="Times New Roman" w:ascii="Minion Pro" w:hAnsi="Minion Pro"/>
                <w:b/>
                <w:bCs/>
                <w:kern w:val="2"/>
                <w:sz w:val="21"/>
                <w:szCs w:val="21"/>
                <w:lang w:val="en-CA" w:eastAsia="en-CA"/>
              </w:rPr>
              <w:t>Emerging adults (</w:t>
            </w:r>
            <w:r>
              <w:rPr>
                <w:rFonts w:eastAsia="宋体" w:cs="Times New Roman" w:ascii="Minion Pro" w:hAnsi="Minion Pro"/>
                <w:b/>
                <w:bCs/>
                <w:i/>
                <w:iCs/>
                <w:kern w:val="2"/>
                <w:sz w:val="21"/>
                <w:szCs w:val="21"/>
                <w:lang w:val="en-CA" w:eastAsia="en-CA"/>
              </w:rPr>
              <w:t>n</w:t>
            </w:r>
            <w:r>
              <w:rPr>
                <w:rFonts w:eastAsia="宋体" w:cs="Times New Roman" w:ascii="Minion Pro" w:hAnsi="Minion Pro"/>
                <w:b/>
                <w:bCs/>
                <w:kern w:val="2"/>
                <w:sz w:val="21"/>
                <w:szCs w:val="21"/>
                <w:lang w:val="en-CA" w:eastAsia="en-CA"/>
              </w:rPr>
              <w:t xml:space="preserve"> = 1510)</w:t>
            </w:r>
          </w:p>
        </w:tc>
      </w:tr>
      <w:tr>
        <w:trPr>
          <w:trHeight w:val="90"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b w:val="false"/>
                <w:b w:val="false"/>
                <w:bCs w:val="false"/>
                <w:kern w:val="2"/>
                <w:sz w:val="21"/>
                <w:szCs w:val="21"/>
              </w:rPr>
            </w:pPr>
            <w:r>
              <w:rPr>
                <w:rFonts w:eastAsia="宋体" w:cs="Times New Roman" w:ascii="Minion Pro" w:hAnsi="Minion Pro"/>
                <w:b/>
                <w:bCs/>
                <w:kern w:val="2"/>
                <w:sz w:val="21"/>
                <w:szCs w:val="21"/>
                <w:lang w:val="en-CA" w:eastAsia="en-CA"/>
              </w:rPr>
              <w:t>Characteristics</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
                <w:b/>
                <w:bCs/>
                <w:kern w:val="2"/>
                <w:sz w:val="21"/>
                <w:szCs w:val="21"/>
              </w:rPr>
            </w:pPr>
            <w:r>
              <w:rPr>
                <w:rFonts w:eastAsia="宋体" w:cs="Times New Roman" w:ascii="Minion Pro" w:hAnsi="Minion Pro"/>
                <w:b/>
                <w:bCs/>
                <w:kern w:val="2"/>
                <w:sz w:val="21"/>
                <w:szCs w:val="21"/>
                <w:lang w:val="en-CA" w:eastAsia="en-CA"/>
              </w:rPr>
              <w:t>Value</w:t>
            </w:r>
            <w:r>
              <w:rPr>
                <w:rFonts w:eastAsia="宋体" w:cs="Times New Roman" w:ascii="Minion Pro" w:hAnsi="Minion Pro"/>
                <w:b/>
                <w:bCs/>
                <w:kern w:val="2"/>
                <w:sz w:val="21"/>
                <w:szCs w:val="21"/>
                <w:vertAlign w:val="superscript"/>
                <w:lang w:val="en-CA" w:eastAsia="en-CA"/>
              </w:rPr>
              <w:t>1</w:t>
            </w:r>
          </w:p>
        </w:tc>
      </w:tr>
      <w:tr>
        <w:trPr>
          <w:trHeight w:val="35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Age (M, SD)</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20.08 (3.36)</w:t>
            </w:r>
          </w:p>
        </w:tc>
      </w:tr>
      <w:tr>
        <w:trPr>
          <w:trHeight w:val="35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G</w:t>
            </w:r>
            <w:r>
              <w:rPr>
                <w:rFonts w:eastAsia="宋体" w:cs="Times New Roman" w:ascii="Minion Pro" w:hAnsi="Minion Pro"/>
                <w:b/>
                <w:bCs/>
                <w:kern w:val="2"/>
                <w:sz w:val="21"/>
                <w:szCs w:val="21"/>
                <w:lang w:val="en-CA" w:eastAsia="zh-CN"/>
              </w:rPr>
              <w:t>ender</w:t>
            </w:r>
            <w:r>
              <w:rPr>
                <w:rFonts w:eastAsia="宋体" w:cs="Times New Roman" w:ascii="Minion Pro" w:hAnsi="Minion Pro"/>
                <w:b/>
                <w:bCs/>
                <w:kern w:val="2"/>
                <w:sz w:val="21"/>
                <w:szCs w:val="21"/>
                <w:lang w:val="en-CA" w:eastAsia="en-CA"/>
              </w:rPr>
              <w:t xml:space="preserve"> (n,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Male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700 (46.36)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Female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810 (53.64)</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Marital status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Single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1412 (93.51)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left="220" w:hanging="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Married </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98 (6.49)</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Number of children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1488 (95.89)</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1</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40 (2.65)</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2</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19 (1.26)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  </w:t>
            </w:r>
            <w:r>
              <w:rPr>
                <w:rFonts w:eastAsia="宋体" w:cs="Times New Roman" w:ascii="Minion Pro" w:hAnsi="Minion Pro"/>
                <w:b w:val="false"/>
                <w:bCs/>
                <w:kern w:val="2"/>
                <w:sz w:val="21"/>
                <w:szCs w:val="21"/>
                <w:lang w:val="en-CA" w:eastAsia="en-CA"/>
              </w:rPr>
              <w:t>3</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zh-CN"/>
              </w:rPr>
              <w:t>L</w:t>
            </w:r>
            <w:r>
              <w:rPr>
                <w:rFonts w:eastAsia="宋体" w:cs="Times New Roman" w:ascii="Minion Pro" w:hAnsi="Minion Pro"/>
                <w:b/>
                <w:bCs/>
                <w:kern w:val="2"/>
                <w:sz w:val="21"/>
                <w:szCs w:val="21"/>
                <w:lang w:val="en-CA" w:eastAsia="en-CA"/>
              </w:rPr>
              <w:t>iving status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Live alone</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119 (7.88)</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Live with other people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1042 (69.01)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 xml:space="preserve">Live with your family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349 (23.11)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kern w:val="2"/>
                <w:sz w:val="21"/>
                <w:szCs w:val="21"/>
              </w:rPr>
            </w:pPr>
            <w:r>
              <w:rPr>
                <w:rFonts w:eastAsia="宋体" w:cs="Times New Roman" w:ascii="Minion Pro" w:hAnsi="Minion Pro"/>
                <w:b/>
                <w:bCs/>
                <w:kern w:val="2"/>
                <w:sz w:val="21"/>
                <w:szCs w:val="21"/>
                <w:lang w:val="en-CA" w:eastAsia="en-CA"/>
              </w:rPr>
              <w:t>Monthly income level (n, %)</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&lt;2000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1219 (80.73)</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2000&lt; - &lt;5000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161 (10.66)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5000≤ - &lt;10000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78 (5.17)</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10000≤ - &lt;50000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44 (2.91)</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50000≤ - &lt;100000</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w:t>
            </w:r>
            <w:r>
              <w:rPr>
                <w:rFonts w:eastAsia="宋体" w:cs="Times New Roman" w:ascii="Minion Pro" w:hAnsi="Minion Pro"/>
                <w:b w:val="false"/>
                <w:bCs/>
                <w:kern w:val="2"/>
                <w:sz w:val="21"/>
                <w:szCs w:val="21"/>
                <w:lang w:val="en-CA" w:eastAsia="en-CA"/>
              </w:rPr>
              <w:t>100000</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 xml:space="preserve">5 </w:t>
            </w:r>
            <w:r>
              <w:rPr>
                <w:rFonts w:eastAsia="宋体" w:cs="Times New Roman" w:ascii="Minion Pro" w:hAnsi="Minion Pro"/>
                <w:kern w:val="2"/>
                <w:sz w:val="21"/>
                <w:szCs w:val="21"/>
                <w:lang w:val="en-CA" w:eastAsia="zh-CN"/>
              </w:rPr>
              <w:t>(0.33)</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rFonts w:ascii="Minion Pro" w:hAnsi="Minion Pro" w:eastAsia="宋体" w:cs="Times New Roman"/>
                <w:kern w:val="2"/>
                <w:sz w:val="21"/>
                <w:szCs w:val="21"/>
              </w:rPr>
            </w:pPr>
            <w:bookmarkStart w:id="17" w:name="OLE_LINK10"/>
            <w:r>
              <w:rPr>
                <w:rFonts w:eastAsia="宋体" w:cs="Times New Roman" w:ascii="Minion Pro" w:hAnsi="Minion Pro"/>
                <w:b/>
                <w:bCs/>
                <w:kern w:val="2"/>
                <w:sz w:val="21"/>
                <w:szCs w:val="21"/>
                <w:lang w:val="en-CA" w:eastAsia="en-CA"/>
              </w:rPr>
              <w:t>Highest education level</w:t>
            </w:r>
            <w:bookmarkEnd w:id="17"/>
            <w:r>
              <w:rPr>
                <w:rFonts w:eastAsia="宋体" w:cs="Times New Roman" w:ascii="Minion Pro" w:hAnsi="Minion Pro"/>
                <w:b/>
                <w:bCs/>
                <w:kern w:val="2"/>
                <w:sz w:val="21"/>
                <w:szCs w:val="21"/>
                <w:lang w:val="en-CA" w:eastAsia="en-CA"/>
              </w:rPr>
              <w:t xml:space="preserve"> (n,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Less than high school</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3 (0.20)</w:t>
            </w:r>
          </w:p>
        </w:tc>
      </w:tr>
      <w:tr>
        <w:trPr>
          <w:trHeight w:val="324"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bCs w:val="false"/>
                <w:kern w:val="2"/>
                <w:sz w:val="21"/>
                <w:szCs w:val="21"/>
              </w:rPr>
            </w:pPr>
            <w:r>
              <w:rPr>
                <w:rFonts w:eastAsia="宋体" w:cs="Times New Roman" w:ascii="Minion Pro" w:hAnsi="Minion Pro"/>
                <w:b w:val="false"/>
                <w:bCs/>
                <w:kern w:val="2"/>
                <w:sz w:val="21"/>
                <w:szCs w:val="21"/>
                <w:lang w:val="en-CA" w:eastAsia="en-CA"/>
              </w:rPr>
              <w:t>High school</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120 (7.94)</w:t>
            </w:r>
          </w:p>
        </w:tc>
      </w:tr>
      <w:tr>
        <w:trPr>
          <w:trHeight w:val="324"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Some college or associated degree</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1275 (84.44)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210"/>
              <w:rPr>
                <w:rFonts w:ascii="Minion Pro" w:hAnsi="Minion Pro" w:eastAsia="宋体" w:cs="Times New Roman"/>
                <w:kern w:val="2"/>
                <w:sz w:val="21"/>
                <w:szCs w:val="21"/>
              </w:rPr>
            </w:pPr>
            <w:r>
              <w:rPr>
                <w:rFonts w:eastAsia="宋体" w:cs="Times New Roman" w:ascii="Minion Pro" w:hAnsi="Minion Pro"/>
                <w:b w:val="false"/>
                <w:bCs/>
                <w:kern w:val="2"/>
                <w:sz w:val="21"/>
                <w:szCs w:val="21"/>
                <w:lang w:val="en-CA" w:eastAsia="en-CA"/>
              </w:rPr>
              <w:t>College degree or higher</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kern w:val="2"/>
                <w:sz w:val="21"/>
                <w:szCs w:val="21"/>
              </w:rPr>
            </w:pPr>
            <w:r>
              <w:rPr>
                <w:rFonts w:eastAsia="宋体" w:cs="Times New Roman" w:ascii="Minion Pro" w:hAnsi="Minion Pro"/>
                <w:kern w:val="2"/>
                <w:sz w:val="21"/>
                <w:szCs w:val="21"/>
                <w:lang w:val="en-CA" w:eastAsia="en-CA"/>
              </w:rPr>
              <w:t>112 (7.42)</w:t>
            </w:r>
          </w:p>
        </w:tc>
      </w:tr>
      <w:tr>
        <w:trPr>
          <w:trHeight w:val="317" w:hRule="atLeast"/>
        </w:trPr>
        <w:tc>
          <w:tcPr>
            <w:tcW w:w="8788" w:type="dxa"/>
            <w:gridSpan w:val="2"/>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rFonts w:ascii="Minion Pro" w:hAnsi="Minion Pro" w:eastAsia="宋体" w:cs="Times New Roman"/>
                <w:color w:val="000000" w:themeColor="text1"/>
                <w:kern w:val="2"/>
                <w:sz w:val="21"/>
                <w:szCs w:val="21"/>
              </w:rPr>
            </w:pPr>
            <w:r>
              <w:rPr>
                <w:rFonts w:eastAsia="宋体" w:cs="Times New Roman" w:ascii="Minion Pro" w:hAnsi="Minion Pro"/>
                <w:b/>
                <w:bCs/>
                <w:color w:val="000000" w:themeColor="text1"/>
                <w:kern w:val="2"/>
                <w:sz w:val="21"/>
                <w:szCs w:val="21"/>
                <w:lang w:val="en-CA" w:eastAsia="en-CA"/>
              </w:rPr>
              <w:t>Four features of emerging adults</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 xml:space="preserve">Self-exploration </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25.10 (7.28)</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Instability</w:t>
            </w:r>
          </w:p>
        </w:tc>
        <w:tc>
          <w:tcPr>
            <w:tcW w:w="1843"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olor w:val="000000" w:themeColor="text1"/>
                <w:kern w:val="2"/>
                <w:sz w:val="21"/>
                <w:szCs w:val="21"/>
              </w:rPr>
            </w:pPr>
            <w:r>
              <w:rPr>
                <w:rFonts w:ascii="Minion Pro" w:hAnsi="Minion Pro"/>
                <w:color w:val="000000" w:themeColor="text1"/>
                <w:kern w:val="2"/>
                <w:sz w:val="21"/>
                <w:szCs w:val="21"/>
                <w:lang w:val="en-CA" w:eastAsia="en-CA"/>
              </w:rPr>
              <w:t>14.03 (4.40)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Possibilities</w:t>
            </w:r>
          </w:p>
        </w:tc>
        <w:tc>
          <w:tcPr>
            <w:tcW w:w="1843" w:type="dxa"/>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9.61 (2.85)</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spacing w:lineRule="auto" w:line="240" w:before="0" w:after="0"/>
              <w:ind w:firstLine="176"/>
              <w:rPr>
                <w:rFonts w:ascii="Minion Pro" w:hAnsi="Minion Pro" w:eastAsia="宋体" w:cs="Times New Roman"/>
                <w:color w:val="000000" w:themeColor="text1"/>
                <w:kern w:val="2"/>
                <w:sz w:val="21"/>
                <w:szCs w:val="21"/>
              </w:rPr>
            </w:pPr>
            <w:r>
              <w:rPr>
                <w:rFonts w:eastAsia="宋体" w:cs="Times New Roman" w:ascii="Minion Pro" w:hAnsi="Minion Pro"/>
                <w:b w:val="false"/>
                <w:bCs w:val="false"/>
                <w:color w:val="000000" w:themeColor="text1"/>
                <w:kern w:val="2"/>
                <w:sz w:val="21"/>
                <w:szCs w:val="21"/>
                <w:lang w:val="en-CA" w:eastAsia="en-CA"/>
              </w:rPr>
              <w:t>Responsibility</w:t>
            </w:r>
          </w:p>
        </w:tc>
        <w:tc>
          <w:tcPr>
            <w:tcW w:w="1843" w:type="dxa"/>
            <w:tcBorders>
              <w:top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color w:val="000000" w:themeColor="text1"/>
                <w:kern w:val="2"/>
                <w:sz w:val="21"/>
                <w:szCs w:val="21"/>
              </w:rPr>
            </w:pPr>
            <w:r>
              <w:rPr>
                <w:rFonts w:ascii="Minion Pro" w:hAnsi="Minion Pro"/>
                <w:color w:val="000000" w:themeColor="text1"/>
                <w:kern w:val="2"/>
                <w:sz w:val="21"/>
                <w:szCs w:val="21"/>
                <w:lang w:val="en-CA" w:eastAsia="en-CA"/>
              </w:rPr>
              <w:t>9.68 (3.28)</w:t>
            </w:r>
          </w:p>
        </w:tc>
      </w:tr>
    </w:tbl>
    <w:p>
      <w:pPr>
        <w:pStyle w:val="Normal"/>
        <w:widowControl w:val="false"/>
        <w:spacing w:lineRule="auto" w:line="240"/>
        <w:jc w:val="both"/>
        <w:rPr>
          <w:rFonts w:ascii="Minion Pro" w:hAnsi="Minion Pro" w:cs="Times New Roman"/>
          <w:sz w:val="24"/>
          <w:szCs w:val="24"/>
          <w:lang w:val="en-US"/>
        </w:rPr>
      </w:pPr>
      <w:r>
        <w:rPr>
          <w:rFonts w:cs="Times New Roman" w:ascii="Minion Pro" w:hAnsi="Minion Pro"/>
          <w:sz w:val="24"/>
          <w:szCs w:val="24"/>
          <w:lang w:val="en-US"/>
        </w:rPr>
        <w:t>Note: Values are mean (SD) or n (%). N (%) represents sample counts and sample sizes.</w:t>
      </w:r>
    </w:p>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r>
    </w:p>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t>Table 2. Descriptive statistics of adherence to the 24-hour movement guidelines</w:t>
      </w:r>
    </w:p>
    <w:tbl>
      <w:tblPr>
        <w:tblStyle w:val="PlainTable21"/>
        <w:tblW w:w="8789" w:type="dxa"/>
        <w:jc w:val="left"/>
        <w:tblInd w:w="0" w:type="dxa"/>
        <w:tblCellMar>
          <w:top w:w="0" w:type="dxa"/>
          <w:left w:w="108" w:type="dxa"/>
          <w:bottom w:w="0" w:type="dxa"/>
          <w:right w:w="108" w:type="dxa"/>
        </w:tblCellMar>
        <w:tblLook w:val="04a0" w:noHBand="0" w:noVBand="1" w:firstColumn="1" w:lastRow="0" w:lastColumn="0" w:firstRow="1"/>
      </w:tblPr>
      <w:tblGrid>
        <w:gridCol w:w="6945"/>
        <w:gridCol w:w="1843"/>
      </w:tblGrid>
      <w:tr>
        <w:trPr>
          <w:trHeight w:val="317" w:hRule="atLeast"/>
          <w:cnfStyle w:val="100000000000" w:firstRow="1" w:lastRow="0" w:firstColumn="0" w:lastColumn="0" w:oddVBand="0" w:evenVBand="0" w:oddHBand="0" w:evenHBand="0" w:firstRowFirstColumn="0" w:firstRowLastColumn="0" w:lastRowFirstColumn="0" w:lastRowLastColumn="0"/>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rPr>
                <w:rFonts w:ascii="Minion Pro" w:hAnsi="Minion Pro" w:cs="Times New Roman"/>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Compliance with the 24-hour movement guidelines </w:t>
            </w:r>
          </w:p>
        </w:tc>
        <w:tc>
          <w:tcPr>
            <w:tcW w:w="1843" w:type="dxa"/>
            <w:tcBorders>
              <w:left w:val="single" w:sz="8" w:space="0" w:color="000000"/>
            </w:tcBorders>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rFonts w:ascii="Minion Pro" w:hAnsi="Minion Pro" w:eastAsia="宋体" w:cs="Times New Roman"/>
                <w:b w:val="false"/>
                <w:b w:val="false"/>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 %)</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Not meeting recommendations </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67 (4.44)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bottom w:val="nil"/>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Sedentary behaviour </w:t>
            </w:r>
            <w:bookmarkStart w:id="18" w:name="OLE_LINK35"/>
            <w:bookmarkStart w:id="19" w:name="OLE_LINK34"/>
            <w:r>
              <w:rPr>
                <w:rFonts w:cs="Times New Roman" w:ascii="Minion Pro" w:hAnsi="Minion Pro"/>
                <w:b w:val="false"/>
                <w:bCs/>
                <w:color w:val="000000" w:themeColor="text1"/>
                <w:kern w:val="2"/>
                <w:sz w:val="21"/>
                <w:szCs w:val="21"/>
                <w:lang w:val="en-CA" w:eastAsia="en-CA"/>
              </w:rPr>
              <w:t>recommendation</w:t>
            </w:r>
            <w:bookmarkEnd w:id="18"/>
            <w:bookmarkEnd w:id="19"/>
            <w:r>
              <w:rPr>
                <w:rFonts w:cs="Times New Roman" w:ascii="Minion Pro" w:hAnsi="Minion Pro"/>
                <w:b w:val="false"/>
                <w:bCs/>
                <w:color w:val="000000" w:themeColor="text1"/>
                <w:kern w:val="2"/>
                <w:sz w:val="21"/>
                <w:szCs w:val="21"/>
                <w:lang w:val="en-CA" w:eastAsia="en-CA"/>
              </w:rPr>
              <w:t>s</w:t>
            </w:r>
          </w:p>
        </w:tc>
        <w:tc>
          <w:tcPr>
            <w:tcW w:w="1843" w:type="dxa"/>
            <w:tcBorders>
              <w:top w:val="single" w:sz="8" w:space="0" w:color="000000"/>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987 (65.36)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523 (34.64)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Sleep recommendations</w:t>
            </w:r>
          </w:p>
        </w:tc>
        <w:tc>
          <w:tcPr>
            <w:tcW w:w="1843" w:type="dxa"/>
            <w:tcBorders>
              <w:top w:val="single" w:sz="8" w:space="0" w:color="000000"/>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nil"/>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top w:val="nil"/>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931 (61.66)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579 (38.34)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single" w:sz="8" w:space="0" w:color="000000"/>
              <w:bottom w:val="nil"/>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Physical activity recommendations</w:t>
            </w:r>
          </w:p>
        </w:tc>
        <w:tc>
          <w:tcPr>
            <w:tcW w:w="1843" w:type="dxa"/>
            <w:tcBorders>
              <w:top w:val="single" w:sz="8" w:space="0" w:color="000000"/>
              <w:left w:val="single" w:sz="8" w:space="0" w:color="000000"/>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1125 (74.50)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eastAsia="宋体" w:cs="Times New Roman" w:ascii="Minion Pro" w:hAnsi="Minion Pro"/>
                <w:bCs/>
                <w:color w:val="000000" w:themeColor="text1"/>
                <w:kern w:val="2"/>
                <w:sz w:val="21"/>
                <w:szCs w:val="21"/>
                <w:lang w:val="en-CA" w:eastAsia="en-CA"/>
              </w:rPr>
              <w:t>385 (25.50)</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at least one recommendations</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322 (21.32)</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Sedentary behavior + Sleep recommendations </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617 (40.86)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893 (59.14)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Physical activity + sedentary behavior recommendations </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765 (50.66)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745 (49.34)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 xml:space="preserve">Physical activity + sleep recommendations </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697 (46.16)</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ind w:firstLine="176"/>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Not meeting</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cs="Times New Roman"/>
                <w:color w:val="000000" w:themeColor="text1"/>
                <w:kern w:val="2"/>
                <w:sz w:val="21"/>
                <w:szCs w:val="21"/>
              </w:rPr>
            </w:pPr>
            <w:r>
              <w:rPr>
                <w:rFonts w:cs="Times New Roman" w:ascii="Minion Pro" w:hAnsi="Minion Pro"/>
                <w:color w:val="000000" w:themeColor="text1"/>
                <w:kern w:val="2"/>
                <w:sz w:val="21"/>
                <w:szCs w:val="21"/>
                <w:lang w:val="en-CA" w:eastAsia="en-CA"/>
              </w:rPr>
              <w:t>813 (53.84)</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at least two recommendations</w:t>
            </w:r>
          </w:p>
        </w:tc>
        <w:tc>
          <w:tcPr>
            <w:tcW w:w="1843" w:type="dxa"/>
            <w:tcBorders>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642 (42.52)</w:t>
            </w:r>
          </w:p>
        </w:tc>
      </w:tr>
      <w:tr>
        <w:trPr>
          <w:trHeight w:val="317" w:hRule="atLeast"/>
        </w:trPr>
        <w:tc>
          <w:tcPr>
            <w:tcW w:w="6945" w:type="dxa"/>
            <w:cnfStyle w:val="001000000000" w:firstRow="0" w:lastRow="0" w:firstColumn="1" w:lastColumn="0" w:oddVBand="0" w:evenVBand="0" w:oddHBand="0" w:evenHBand="0" w:firstRowFirstColumn="0" w:firstRowLastColumn="0" w:lastRowFirstColumn="0" w:lastRowLastColumn="0"/>
            <w:tcBorders>
              <w:top w:val="nil"/>
              <w:bottom w:val="single" w:sz="8" w:space="0" w:color="000000"/>
              <w:right w:val="single" w:sz="8" w:space="0" w:color="000000"/>
            </w:tcBorders>
          </w:tcPr>
          <w:p>
            <w:pPr>
              <w:pStyle w:val="Normal"/>
              <w:spacing w:lineRule="auto" w:line="240" w:before="0" w:after="160"/>
              <w:rPr>
                <w:rFonts w:ascii="Minion Pro" w:hAnsi="Minion Pro" w:cs="Times New Roman"/>
                <w:bCs w:val="false"/>
                <w:color w:val="000000" w:themeColor="text1"/>
                <w:kern w:val="2"/>
                <w:sz w:val="21"/>
                <w:szCs w:val="21"/>
              </w:rPr>
            </w:pPr>
            <w:r>
              <w:rPr>
                <w:rFonts w:cs="Times New Roman" w:ascii="Minion Pro" w:hAnsi="Minion Pro"/>
                <w:b w:val="false"/>
                <w:bCs/>
                <w:color w:val="000000" w:themeColor="text1"/>
                <w:kern w:val="2"/>
                <w:sz w:val="21"/>
                <w:szCs w:val="21"/>
                <w:lang w:val="en-CA" w:eastAsia="en-CA"/>
              </w:rPr>
              <w:t>Meeting three recommendations</w:t>
            </w:r>
          </w:p>
        </w:tc>
        <w:tc>
          <w:tcPr>
            <w:tcW w:w="1843" w:type="dxa"/>
            <w:tcBorders>
              <w:top w:val="nil"/>
              <w:left w:val="single" w:sz="8" w:space="0" w:color="000000"/>
              <w:bottom w:val="single" w:sz="8" w:space="0" w:color="000000"/>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Minion Pro" w:hAnsi="Minion Pro" w:eastAsia="宋体" w:cs="Times New Roman"/>
                <w:bCs/>
                <w:color w:val="000000" w:themeColor="text1"/>
                <w:kern w:val="2"/>
                <w:sz w:val="21"/>
                <w:szCs w:val="21"/>
              </w:rPr>
            </w:pPr>
            <w:r>
              <w:rPr>
                <w:rFonts w:cs="Times New Roman" w:ascii="Minion Pro" w:hAnsi="Minion Pro"/>
                <w:color w:val="000000" w:themeColor="text1"/>
                <w:kern w:val="2"/>
                <w:sz w:val="21"/>
                <w:szCs w:val="21"/>
                <w:lang w:val="en-CA" w:eastAsia="en-CA"/>
              </w:rPr>
              <w:t>479 (31.72)</w:t>
            </w:r>
          </w:p>
        </w:tc>
      </w:tr>
    </w:tbl>
    <w:p>
      <w:pPr>
        <w:pStyle w:val="Normal"/>
        <w:spacing w:lineRule="auto" w:line="240"/>
        <w:jc w:val="both"/>
        <w:rPr>
          <w:rFonts w:ascii="Minion Pro" w:hAnsi="Minion Pro" w:cs="Times New Roman"/>
          <w:b/>
          <w:b/>
          <w:bCs/>
          <w:sz w:val="24"/>
          <w:szCs w:val="24"/>
          <w:lang w:val="en-US"/>
        </w:rPr>
      </w:pPr>
      <w:r>
        <w:rPr>
          <w:rFonts w:cs="Times New Roman" w:ascii="Minion Pro" w:hAnsi="Minion Pro"/>
          <w:b/>
          <w:bCs/>
          <w:sz w:val="24"/>
          <w:szCs w:val="24"/>
          <w:lang w:val="en-US"/>
        </w:rPr>
      </w:r>
    </w:p>
    <w:p>
      <w:pPr>
        <w:pStyle w:val="Normal"/>
        <w:spacing w:lineRule="auto" w:line="240"/>
        <w:jc w:val="both"/>
        <w:rPr>
          <w:rFonts w:ascii="Minion Pro" w:hAnsi="Minion Pro" w:cs="Times New Roman"/>
          <w:b/>
          <w:b/>
          <w:bCs/>
          <w:sz w:val="24"/>
          <w:szCs w:val="24"/>
          <w:lang w:val="en-US"/>
        </w:rPr>
      </w:pPr>
      <w:r>
        <w:rPr/>
        <w:drawing>
          <wp:inline distT="0" distB="0" distL="0" distR="0">
            <wp:extent cx="5485130" cy="334454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Normal"/>
        <w:spacing w:lineRule="auto" w:line="240" w:before="0" w:after="160"/>
        <w:jc w:val="both"/>
        <w:rPr>
          <w:rFonts w:ascii="Minion Pro" w:hAnsi="Minion Pro" w:cs="Times New Roman"/>
          <w:b/>
          <w:b/>
          <w:bCs/>
          <w:sz w:val="24"/>
          <w:szCs w:val="24"/>
          <w:lang w:val="en-US"/>
        </w:rPr>
      </w:pPr>
      <w:r>
        <w:rPr/>
      </w:r>
    </w:p>
    <w:sectPr>
      <w:headerReference w:type="default" r:id="rId3"/>
      <w:type w:val="nextPage"/>
      <w:pgSz w:w="12240" w:h="15840"/>
      <w:pgMar w:left="862" w:right="743" w:header="709" w:top="919" w:footer="0" w:bottom="27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Microsoft YaHei UI">
    <w:charset w:val="01"/>
    <w:family w:val="roman"/>
    <w:pitch w:val="variable"/>
  </w:font>
  <w:font w:name="PMingLiU">
    <w:charset w:val="01"/>
    <w:family w:val="roman"/>
    <w:pitch w:val="variable"/>
  </w:font>
  <w:font w:name="Liberation Sans">
    <w:altName w:val="Arial"/>
    <w:charset w:val="01"/>
    <w:family w:val="roman"/>
    <w:pitch w:val="variable"/>
  </w:font>
  <w:font w:name="Minion Pr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320"/>
        <w:tab w:val="clear" w:pos="8640"/>
        <w:tab w:val="left" w:pos="7911" w:leader="none"/>
      </w:tabs>
      <w:rPr/>
    </w:pPr>
    <w:r>
      <w:drawing>
        <wp:anchor behindDoc="1" distT="0" distB="0" distL="0" distR="0" simplePos="0" locked="0" layoutInCell="1" allowOverlap="1" relativeHeight="8">
          <wp:simplePos x="0" y="0"/>
          <wp:positionH relativeFrom="column">
            <wp:posOffset>5396230</wp:posOffset>
          </wp:positionH>
          <wp:positionV relativeFrom="paragraph">
            <wp:posOffset>-1270</wp:posOffset>
          </wp:positionV>
          <wp:extent cx="1287780" cy="192405"/>
          <wp:effectExtent l="0" t="0" r="0" b="0"/>
          <wp:wrapNone/>
          <wp:docPr id="2" name="图片 1873745769"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73745769" descr="图形用户界面&#10;&#10;低可信度描述已自动生成"/>
                  <pic:cNvPicPr>
                    <a:picLocks noChangeAspect="1" noChangeArrowheads="1"/>
                  </pic:cNvPicPr>
                </pic:nvPicPr>
                <pic:blipFill>
                  <a:blip r:embed="rId1"/>
                  <a:stretch>
                    <a:fillRect/>
                  </a:stretch>
                </pic:blipFill>
                <pic:spPr bwMode="auto">
                  <a:xfrm>
                    <a:off x="0" y="0"/>
                    <a:ext cx="1287780" cy="192405"/>
                  </a:xfrm>
                  <a:prstGeom prst="rect">
                    <a:avLst/>
                  </a:prstGeom>
                </pic:spPr>
              </pic:pic>
            </a:graphicData>
          </a:graphic>
        </wp:anchor>
      </w:drawing>
    </w:r>
    <w:r>
      <w:rPr/>
      <w:drawing>
        <wp:inline distT="0" distB="0" distL="0" distR="0">
          <wp:extent cx="1667510" cy="414020"/>
          <wp:effectExtent l="0" t="0" r="0" b="0"/>
          <wp:docPr id="3" name="图片 1611574245"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11574245" descr="图形用户界面, 文本, 应用程序&#10;&#10;描述已自动生成"/>
                  <pic:cNvPicPr>
                    <a:picLocks noChangeAspect="1" noChangeArrowheads="1"/>
                  </pic:cNvPicPr>
                </pic:nvPicPr>
                <pic:blipFill>
                  <a:blip r:embed="rId2"/>
                  <a:srcRect l="3138" t="0" r="0" b="3833"/>
                  <a:stretch>
                    <a:fillRect/>
                  </a:stretch>
                </pic:blipFill>
                <pic:spPr bwMode="auto">
                  <a:xfrm>
                    <a:off x="0" y="0"/>
                    <a:ext cx="1667510" cy="414020"/>
                  </a:xfrm>
                  <a:prstGeom prst="rect">
                    <a:avLst/>
                  </a:prstGeom>
                </pic:spPr>
              </pic:pic>
            </a:graphicData>
          </a:graphic>
        </wp:inline>
      </w:drawing>
    </w:r>
    <w:r>
      <w:rPr/>
      <w:tab/>
    </w:r>
  </w:p>
</w:hdr>
</file>

<file path=word/settings.xml><?xml version="1.0" encoding="utf-8"?>
<w:settings xmlns:w="http://schemas.openxmlformats.org/wordprocessingml/2006/main">
  <w:zoom w:percent="80"/>
  <w:defaultTabStop w:val="720"/>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GB" w:eastAsia="en-US" w:bidi="ar-SA"/>
    </w:rPr>
  </w:style>
  <w:style w:type="paragraph" w:styleId="Heading3">
    <w:name w:val="Heading 3"/>
    <w:basedOn w:val="Heading"/>
    <w:next w:val="TextBody"/>
    <w:qFormat/>
    <w:pPr>
      <w:spacing w:before="140" w:after="120"/>
      <w:outlineLvl w:val="2"/>
    </w:pPr>
    <w:rPr>
      <w:rFonts w:ascii="Liberation Serif" w:hAnsi="Liberation Serif" w:eastAsia="Noto Serif CJK SC" w:cs="DejaVu Sans"/>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qFormat/>
    <w:rPr>
      <w:color w:val="0000FF"/>
      <w:u w:val="single"/>
    </w:rPr>
  </w:style>
  <w:style w:type="character" w:styleId="Annotationreference">
    <w:name w:val="annotation reference"/>
    <w:basedOn w:val="DefaultParagraphFont"/>
    <w:uiPriority w:val="99"/>
    <w:semiHidden/>
    <w:unhideWhenUsed/>
    <w:qFormat/>
    <w:rPr>
      <w:sz w:val="16"/>
      <w:szCs w:val="16"/>
    </w:rPr>
  </w:style>
  <w:style w:type="character" w:styleId="Style13" w:customStyle="1">
    <w:name w:val="批注文字 字符"/>
    <w:basedOn w:val="DefaultParagraphFont"/>
    <w:link w:val="a3"/>
    <w:uiPriority w:val="99"/>
    <w:qFormat/>
    <w:rPr>
      <w:sz w:val="20"/>
      <w:szCs w:val="20"/>
      <w:lang w:val="en-GB" w:eastAsia="en-US"/>
    </w:rPr>
  </w:style>
  <w:style w:type="character" w:styleId="Style14" w:customStyle="1">
    <w:name w:val="批注框文本 字符"/>
    <w:basedOn w:val="DefaultParagraphFont"/>
    <w:link w:val="a7"/>
    <w:uiPriority w:val="99"/>
    <w:semiHidden/>
    <w:qFormat/>
    <w:rPr>
      <w:rFonts w:ascii="Microsoft YaHei UI" w:hAnsi="Microsoft YaHei UI" w:eastAsia="Microsoft YaHei UI"/>
      <w:sz w:val="18"/>
      <w:szCs w:val="18"/>
      <w:lang w:val="en-GB" w:eastAsia="en-US"/>
    </w:rPr>
  </w:style>
  <w:style w:type="character" w:styleId="Style15" w:customStyle="1">
    <w:name w:val="页眉 字符"/>
    <w:basedOn w:val="DefaultParagraphFont"/>
    <w:link w:val="ab"/>
    <w:uiPriority w:val="99"/>
    <w:qFormat/>
    <w:rPr>
      <w:lang w:val="en-GB" w:eastAsia="en-US"/>
    </w:rPr>
  </w:style>
  <w:style w:type="character" w:styleId="Style16" w:customStyle="1">
    <w:name w:val="页脚 字符"/>
    <w:basedOn w:val="DefaultParagraphFont"/>
    <w:link w:val="a9"/>
    <w:uiPriority w:val="99"/>
    <w:qFormat/>
    <w:rPr>
      <w:lang w:val="en-GB" w:eastAsia="en-US"/>
    </w:rPr>
  </w:style>
  <w:style w:type="character" w:styleId="Style17" w:customStyle="1">
    <w:name w:val="批注主题 字符"/>
    <w:basedOn w:val="Style13"/>
    <w:link w:val="ae"/>
    <w:uiPriority w:val="99"/>
    <w:semiHidden/>
    <w:qFormat/>
    <w:rPr>
      <w:rFonts w:ascii="Calibri" w:hAnsi="Calibri" w:eastAsia="等线" w:cs="" w:asciiTheme="minorHAnsi" w:cstheme="minorBidi" w:eastAsiaTheme="minorEastAsia" w:hAnsiTheme="minorHAnsi"/>
      <w:b/>
      <w:bCs/>
      <w:sz w:val="20"/>
      <w:szCs w:val="20"/>
      <w:lang w:val="en-GB" w:eastAsia="en-US"/>
    </w:rPr>
  </w:style>
  <w:style w:type="character" w:styleId="Label" w:customStyle="1">
    <w:name w:val="label"/>
    <w:basedOn w:val="DefaultParagraphFont"/>
    <w:qFormat/>
    <w:rPr/>
  </w:style>
  <w:style w:type="character" w:styleId="Style18" w:customStyle="1">
    <w:name w:val="正文文本 字符"/>
    <w:basedOn w:val="DefaultParagraphFont"/>
    <w:link w:val="a5"/>
    <w:uiPriority w:val="1"/>
    <w:qFormat/>
    <w:rPr>
      <w:rFonts w:ascii="PMingLiU" w:hAnsi="PMingLiU" w:eastAsia="PMingLiU" w:cs="PMingLiU"/>
      <w:lang w:eastAsia="en-US"/>
    </w:rPr>
  </w:style>
  <w:style w:type="character" w:styleId="VisitedInternetLink">
    <w:name w:val="FollowedHyperlink"/>
    <w:basedOn w:val="DefaultParagraphFont"/>
    <w:uiPriority w:val="99"/>
    <w:semiHidden/>
    <w:unhideWhenUsed/>
    <w:rsid w:val="000f2940"/>
    <w:rPr>
      <w:color w:val="954F72" w:themeColor="followedHyperlink"/>
      <w:u w:val="single"/>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a6"/>
    <w:autoRedefine/>
    <w:uiPriority w:val="1"/>
    <w:qFormat/>
    <w:pPr>
      <w:widowControl w:val="false"/>
      <w:spacing w:lineRule="auto" w:line="240" w:before="0" w:after="0"/>
      <w:ind w:left="103" w:hanging="0"/>
    </w:pPr>
    <w:rPr>
      <w:rFonts w:ascii="PMingLiU" w:hAnsi="PMingLiU" w:eastAsia="PMingLiU" w:cs="PMingLiU"/>
      <w:sz w:val="20"/>
      <w:szCs w:val="2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a4"/>
    <w:uiPriority w:val="99"/>
    <w:unhideWhenUsed/>
    <w:qFormat/>
    <w:pPr>
      <w:spacing w:lineRule="auto" w:line="240"/>
    </w:pPr>
    <w:rPr>
      <w:sz w:val="20"/>
      <w:szCs w:val="20"/>
    </w:rPr>
  </w:style>
  <w:style w:type="paragraph" w:styleId="BalloonText">
    <w:name w:val="Balloon Text"/>
    <w:basedOn w:val="Normal"/>
    <w:link w:val="a8"/>
    <w:uiPriority w:val="99"/>
    <w:semiHidden/>
    <w:unhideWhenUsed/>
    <w:qFormat/>
    <w:pPr>
      <w:spacing w:lineRule="auto" w:line="240" w:before="0" w:after="0"/>
    </w:pPr>
    <w:rPr>
      <w:rFonts w:ascii="Microsoft YaHei UI" w:hAnsi="Microsoft YaHei UI" w:eastAsia="Microsoft YaHei UI"/>
      <w:sz w:val="18"/>
      <w:szCs w:val="18"/>
    </w:rPr>
  </w:style>
  <w:style w:type="paragraph" w:styleId="HeaderandFooter">
    <w:name w:val="Header and Footer"/>
    <w:basedOn w:val="Normal"/>
    <w:qFormat/>
    <w:pPr/>
    <w:rPr/>
  </w:style>
  <w:style w:type="paragraph" w:styleId="Footer">
    <w:name w:val="Footer"/>
    <w:basedOn w:val="Normal"/>
    <w:link w:val="aa"/>
    <w:uiPriority w:val="99"/>
    <w:unhideWhenUsed/>
    <w:qFormat/>
    <w:pPr>
      <w:tabs>
        <w:tab w:val="clear" w:pos="720"/>
        <w:tab w:val="center" w:pos="4320" w:leader="none"/>
        <w:tab w:val="right" w:pos="8640" w:leader="none"/>
      </w:tabs>
      <w:spacing w:lineRule="auto" w:line="240" w:before="0" w:after="0"/>
    </w:pPr>
    <w:rPr/>
  </w:style>
  <w:style w:type="paragraph" w:styleId="Header">
    <w:name w:val="Header"/>
    <w:basedOn w:val="Normal"/>
    <w:link w:val="ac"/>
    <w:uiPriority w:val="99"/>
    <w:unhideWhenUsed/>
    <w:qFormat/>
    <w:pPr>
      <w:tabs>
        <w:tab w:val="clear" w:pos="720"/>
        <w:tab w:val="center" w:pos="4320" w:leader="none"/>
        <w:tab w:val="right" w:pos="8640" w:leader="none"/>
      </w:tabs>
      <w:spacing w:lineRule="auto" w:line="240" w:before="0" w:after="0"/>
    </w:pPr>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eastAsia="Times New Roman" w:cs="Times New Roman"/>
      <w:sz w:val="24"/>
      <w:szCs w:val="24"/>
      <w:lang w:val="en-US" w:eastAsia="zh-CN"/>
    </w:rPr>
  </w:style>
  <w:style w:type="paragraph" w:styleId="Annotationsubject">
    <w:name w:val="annotation subject"/>
    <w:basedOn w:val="Annotationtext"/>
    <w:next w:val="Annotationtext"/>
    <w:link w:val="af"/>
    <w:autoRedefine/>
    <w:uiPriority w:val="99"/>
    <w:semiHidden/>
    <w:unhideWhenUsed/>
    <w:qFormat/>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0">
    <w:name w:val="Table Grid"/>
    <w:basedOn w:val="a1"/>
    <w:uiPriority w:val="99"/>
    <w:qFormat/>
    <w:pPr>
      <w:jc w:val="both"/>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21">
    <w:name w:val="Plain Table 21"/>
    <w:basedOn w:val="a1"/>
    <w:uiPriority w:val="42"/>
    <w:qFormat/>
    <w:rPr>
      <w:lang w:val="en-CA" w:eastAsia="en-CA"/>
    </w:rPr>
    <w:tblPr>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3866875"/>
          <c:y val="0.0233333333333333"/>
          <c:w val="0.557375"/>
          <c:h val="0.909333333333333"/>
        </c:manualLayout>
      </c:layout>
      <c:barChart>
        <c:barDir val="bar"/>
        <c:grouping val="clustered"/>
        <c:varyColors val="0"/>
        <c:ser>
          <c:idx val="0"/>
          <c:order val="0"/>
          <c:tx>
            <c:strRef>
              <c:f>label 0</c:f>
              <c:strCache>
                <c:ptCount val="1"/>
                <c:pt idx="0">
                  <c:v>Series1</c:v>
                </c:pt>
              </c:strCache>
            </c:strRef>
          </c:tx>
          <c:spPr>
            <a:pattFill prst="ltVert">
              <a:fgClr>
                <a:srgbClr val="5b9bd5"/>
              </a:fgClr>
              <a:bgClr>
                <a:srgbClr val="deebf7"/>
              </a:bgClr>
            </a:pattFill>
            <a:ln>
              <a:noFill/>
            </a:ln>
          </c:spPr>
          <c:invertIfNegative val="0"/>
          <c:dLbls>
            <c:numFmt formatCode="General" sourceLinked="0"/>
            <c:txPr>
              <a:bodyPr/>
              <a:lstStyle/>
              <a:p>
                <a:pPr>
                  <a:defRPr b="0" sz="900" spc="-1" strike="noStrike">
                    <a:solidFill>
                      <a:srgbClr val="404040"/>
                    </a:solidFill>
                    <a:latin typeface="Calibri"/>
                  </a:defRPr>
                </a:pPr>
              </a:p>
            </c:txPr>
            <c:dLblPos val="outEnd"/>
            <c:showLegendKey val="0"/>
            <c:showVal val="1"/>
            <c:showCatName val="0"/>
            <c:showSerName val="0"/>
            <c:showPercent val="0"/>
            <c:separator>; </c:separator>
            <c:showLeaderLines val="0"/>
          </c:dLbls>
          <c:cat>
            <c:strRef>
              <c:f>categories</c:f>
              <c:strCache>
                <c:ptCount val="8"/>
                <c:pt idx="0">
                  <c:v>None</c:v>
                </c:pt>
                <c:pt idx="1">
                  <c:v>Sedentary only</c:v>
                </c:pt>
                <c:pt idx="2">
                  <c:v>Sleep only</c:v>
                </c:pt>
                <c:pt idx="3">
                  <c:v>Physical activity only</c:v>
                </c:pt>
                <c:pt idx="4">
                  <c:v>Sedentary behavior &amp; sleep</c:v>
                </c:pt>
                <c:pt idx="5">
                  <c:v>Physical activity &amp; sedentary behavior</c:v>
                </c:pt>
                <c:pt idx="6">
                  <c:v>Physical activity &amp; sleep </c:v>
                </c:pt>
                <c:pt idx="7">
                  <c:v>All three</c:v>
                </c:pt>
              </c:strCache>
            </c:strRef>
          </c:cat>
          <c:val>
            <c:numRef>
              <c:f>0</c:f>
              <c:numCache>
                <c:formatCode>General</c:formatCode>
                <c:ptCount val="8"/>
                <c:pt idx="0">
                  <c:v>4.44</c:v>
                </c:pt>
                <c:pt idx="1">
                  <c:v>65.36</c:v>
                </c:pt>
                <c:pt idx="2">
                  <c:v>61.66</c:v>
                </c:pt>
                <c:pt idx="3">
                  <c:v>74.5</c:v>
                </c:pt>
                <c:pt idx="4">
                  <c:v>40.86</c:v>
                </c:pt>
                <c:pt idx="5">
                  <c:v>50.66</c:v>
                </c:pt>
                <c:pt idx="6">
                  <c:v>46.16</c:v>
                </c:pt>
                <c:pt idx="7">
                  <c:v>31.72</c:v>
                </c:pt>
              </c:numCache>
            </c:numRef>
          </c:val>
        </c:ser>
        <c:gapWidth val="227"/>
        <c:overlap val="-48"/>
        <c:axId val="21756578"/>
        <c:axId val="53691049"/>
      </c:barChart>
      <c:catAx>
        <c:axId val="21756578"/>
        <c:scaling>
          <c:orientation val="minMax"/>
        </c:scaling>
        <c:delete val="0"/>
        <c:axPos val="b"/>
        <c:numFmt formatCode="[$-409]mm/dd/yyyy" sourceLinked="1"/>
        <c:majorTickMark val="none"/>
        <c:minorTickMark val="none"/>
        <c:tickLblPos val="nextTo"/>
        <c:spPr>
          <a:ln w="19080">
            <a:noFill/>
          </a:ln>
        </c:spPr>
        <c:txPr>
          <a:bodyPr/>
          <a:lstStyle/>
          <a:p>
            <a:pPr>
              <a:defRPr b="0" sz="1000" spc="-1" strike="noStrike">
                <a:solidFill>
                  <a:srgbClr val="000000"/>
                </a:solidFill>
                <a:latin typeface="Times New Roman"/>
              </a:defRPr>
            </a:pPr>
          </a:p>
        </c:txPr>
        <c:crossAx val="53691049"/>
        <c:crosses val="autoZero"/>
        <c:auto val="1"/>
        <c:lblAlgn val="ctr"/>
        <c:lblOffset val="100"/>
        <c:noMultiLvlLbl val="0"/>
      </c:catAx>
      <c:valAx>
        <c:axId val="53691049"/>
        <c:scaling>
          <c:orientation val="minMax"/>
        </c:scaling>
        <c:delete val="0"/>
        <c:axPos val="l"/>
        <c:numFmt formatCode="0.00"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21756578"/>
        <c:crosses val="autoZero"/>
        <c:crossBetween val="between"/>
      </c:valAx>
      <c:spPr>
        <a:noFill/>
        <a:ln>
          <a:noFill/>
        </a:ln>
      </c:spPr>
    </c:plotArea>
    <c:plotVisOnly val="1"/>
    <c:dispBlanksAs val="gap"/>
  </c:chart>
  <c:spPr>
    <a:solidFill>
      <a:srgbClr val="ffffff"/>
    </a:solidFill>
    <a:ln w="9360">
      <a:noFill/>
    </a:ln>
  </c:spPr>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5671F-A319-455B-A58F-8A1805762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LibreOffice/6.4.7.2$Linux_X86_64 LibreOffice_project/40$Build-2</Application>
  <Pages>7</Pages>
  <Words>2399</Words>
  <Characters>14143</Characters>
  <CharactersWithSpaces>16324</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2024-02-06T14:05:00Z</dcterms:created>
  <dc:creator>ZZ</dc:creator>
  <dc:description/>
  <dc:language>en-US</dc:language>
  <cp:lastModifiedBy/>
  <dcterms:modified xsi:type="dcterms:W3CDTF">2024-05-29T11:43:37Z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C818533CA4404FA7BD2B658576DFF305_13</vt:lpwstr>
  </property>
  <property fmtid="{D5CDD505-2E9C-101B-9397-08002B2CF9AE}" pid="6" name="KSOProductBuildVer">
    <vt:lpwstr>2052-12.1.0.16250</vt:lpwstr>
  </property>
  <property fmtid="{D5CDD505-2E9C-101B-9397-08002B2CF9AE}" pid="7" name="LinksUpToDate">
    <vt:bool>0</vt:bool>
  </property>
  <property fmtid="{D5CDD505-2E9C-101B-9397-08002B2CF9AE}" pid="8" name="Mendeley Citation Style_1">
    <vt:lpwstr>http://www.zotero.org/styles/international-journal-of-environmental-research-and-public-health</vt:lpwstr>
  </property>
  <property fmtid="{D5CDD505-2E9C-101B-9397-08002B2CF9AE}" pid="9" name="Mendeley Document_1">
    <vt:lpwstr>True</vt:lpwstr>
  </property>
  <property fmtid="{D5CDD505-2E9C-101B-9397-08002B2CF9AE}" pid="10" name="Mendeley Recent Style Id 0_1">
    <vt:lpwstr>http://csl.mendeley.com/styles/513661591/ComplementaryTherapiesClinicalPractice-2</vt:lpwstr>
  </property>
  <property fmtid="{D5CDD505-2E9C-101B-9397-08002B2CF9AE}" pid="11" name="Mendeley Recent Style Id 1_1">
    <vt:lpwstr>http://www.zotero.org/styles/evidence-based-complementary-and-alternative-medicine</vt:lpwstr>
  </property>
  <property fmtid="{D5CDD505-2E9C-101B-9397-08002B2CF9AE}" pid="12" name="Mendeley Recent Style Id 2_1">
    <vt:lpwstr>http://www.zotero.org/styles/frontiers-in-medicine</vt:lpwstr>
  </property>
  <property fmtid="{D5CDD505-2E9C-101B-9397-08002B2CF9AE}" pid="13" name="Mendeley Recent Style Id 3_1">
    <vt:lpwstr>http://www.zotero.org/styles/frontiers-in-public-health</vt:lpwstr>
  </property>
  <property fmtid="{D5CDD505-2E9C-101B-9397-08002B2CF9AE}" pid="14" name="Mendeley Recent Style Id 4_1">
    <vt:lpwstr>http://csl.mendeley.com/styles/513661591/multidisciplinary-digital-publishing-institute-2</vt:lpwstr>
  </property>
  <property fmtid="{D5CDD505-2E9C-101B-9397-08002B2CF9AE}" pid="15" name="Mendeley Recent Style Id 5_1">
    <vt:lpwstr>http://www.zotero.org/styles/international-journal-of-environmental-research-and-public-health</vt:lpwstr>
  </property>
  <property fmtid="{D5CDD505-2E9C-101B-9397-08002B2CF9AE}" pid="16" name="Mendeley Recent Style Id 6_1">
    <vt:lpwstr>http://www.zotero.org/styles/jama</vt:lpwstr>
  </property>
  <property fmtid="{D5CDD505-2E9C-101B-9397-08002B2CF9AE}" pid="17" name="Mendeley Recent Style Id 7_1">
    <vt:lpwstr>http://csl.mendeley.com/styles/513661591/Yonsei-Medical-Journal-22</vt:lpwstr>
  </property>
  <property fmtid="{D5CDD505-2E9C-101B-9397-08002B2CF9AE}" pid="18" name="Mendeley Recent Style Id 8_1">
    <vt:lpwstr>https://csl.mendeley.com/styles/513661591/springer-vancouver-brackets</vt:lpwstr>
  </property>
  <property fmtid="{D5CDD505-2E9C-101B-9397-08002B2CF9AE}" pid="19" name="Mendeley Recent Style Id 9_1">
    <vt:lpwstr>https://csl.mendeley.com/styles/513661591/taylor-and-francis-national-library-of-medicine</vt:lpwstr>
  </property>
  <property fmtid="{D5CDD505-2E9C-101B-9397-08002B2CF9AE}" pid="20" name="Mendeley Recent Style Name 0_1">
    <vt:lpwstr>Complementary Therapies in Clinical Practice- Yanjie Zhang</vt:lpwstr>
  </property>
  <property fmtid="{D5CDD505-2E9C-101B-9397-08002B2CF9AE}" pid="21" name="Mendeley Recent Style Name 1_1">
    <vt:lpwstr>Evidence-Based Complementary and Alternative Medicine</vt:lpwstr>
  </property>
  <property fmtid="{D5CDD505-2E9C-101B-9397-08002B2CF9AE}" pid="22" name="Mendeley Recent Style Name 2_1">
    <vt:lpwstr>Frontiers in Medicine</vt:lpwstr>
  </property>
  <property fmtid="{D5CDD505-2E9C-101B-9397-08002B2CF9AE}" pid="23" name="Mendeley Recent Style Name 3_1">
    <vt:lpwstr>Frontiers in Public Health</vt:lpwstr>
  </property>
  <property fmtid="{D5CDD505-2E9C-101B-9397-08002B2CF9AE}" pid="24" name="Mendeley Recent Style Name 4_1">
    <vt:lpwstr>IJMHP  - Yanjie Zhang</vt:lpwstr>
  </property>
  <property fmtid="{D5CDD505-2E9C-101B-9397-08002B2CF9AE}" pid="25" name="Mendeley Recent Style Name 5_1">
    <vt:lpwstr>International Journal of Environmental Research and Public Health</vt:lpwstr>
  </property>
  <property fmtid="{D5CDD505-2E9C-101B-9397-08002B2CF9AE}" pid="26" name="Mendeley Recent Style Name 6_1">
    <vt:lpwstr>JAMA (The Journal of the American Medical Association)</vt:lpwstr>
  </property>
  <property fmtid="{D5CDD505-2E9C-101B-9397-08002B2CF9AE}" pid="27" name="Mendeley Recent Style Name 7_1">
    <vt:lpwstr>Multidisciplinary Digital Publishing Institute - Yanjie Zhang</vt:lpwstr>
  </property>
  <property fmtid="{D5CDD505-2E9C-101B-9397-08002B2CF9AE}" pid="28" name="Mendeley Recent Style Name 8_1">
    <vt:lpwstr>Springer - Vancouver (brackets) - Yanjie Zhang</vt:lpwstr>
  </property>
  <property fmtid="{D5CDD505-2E9C-101B-9397-08002B2CF9AE}" pid="29" name="Mendeley Recent Style Name 9_1">
    <vt:lpwstr>Taylor &amp; Francis - National Library of Medicine - Yanjie Zhang</vt:lpwstr>
  </property>
  <property fmtid="{D5CDD505-2E9C-101B-9397-08002B2CF9AE}" pid="30" name="Mendeley Unique User Id_1">
    <vt:lpwstr>69f08f0a-577e-37c6-881f-e399dbbb6597</vt:lpwstr>
  </property>
  <property fmtid="{D5CDD505-2E9C-101B-9397-08002B2CF9AE}" pid="31" name="ScaleCrop">
    <vt:bool>0</vt:bool>
  </property>
  <property fmtid="{D5CDD505-2E9C-101B-9397-08002B2CF9AE}" pid="32" name="ShareDoc">
    <vt:bool>0</vt:bool>
  </property>
</Properties>
</file>