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tabs>
          <w:tab w:val="clear" w:pos="720"/>
          <w:tab w:val="left" w:pos="8100" w:leader="none"/>
        </w:tabs>
        <w:rPr>
          <w:rFonts w:ascii="Minion Pro" w:hAnsi="Minion Pro" w:cs="Arial"/>
          <w:color w:val="000000" w:themeColor="text1"/>
          <w:sz w:val="18"/>
          <w:szCs w:val="18"/>
          <w:lang w:val="fr-FR"/>
        </w:rPr>
      </w:pPr>
      <w:r>
        <w:rPr>
          <w:rFonts w:cs="Arial" w:ascii="Minion Pro" w:hAnsi="Minion Pro"/>
          <w:color w:val="000000" w:themeColor="text1"/>
          <w:sz w:val="18"/>
          <w:szCs w:val="18"/>
          <w:lang w:val="fr-FR"/>
        </w:rPr>
        <w:t>DOI: XXXXX</w:t>
      </w:r>
    </w:p>
    <w:p>
      <w:pPr>
        <w:pStyle w:val="TextBody"/>
        <w:snapToGrid w:val="false"/>
        <w:ind w:left="0" w:hanging="0"/>
        <w:rPr>
          <w:rFonts w:ascii="Minion Pro" w:hAnsi="Minion Pro" w:eastAsia="等线" w:eastAsiaTheme="minorEastAsia"/>
          <w:color w:val="000000" w:themeColor="text1"/>
          <w:lang w:val="fr-FR" w:eastAsia="zh-CN"/>
        </w:rPr>
      </w:pPr>
      <w:r>
        <w:rPr>
          <w:rFonts w:eastAsia="等线" w:eastAsiaTheme="minorEastAsia" w:ascii="Minion Pro" w:hAnsi="Minion Pro"/>
          <w:color w:val="000000" w:themeColor="text1"/>
          <w:lang w:val="fr-FR" w:eastAsia="zh-CN"/>
        </w:rPr>
      </w:r>
    </w:p>
    <w:p>
      <w:pPr>
        <w:pStyle w:val="Normal"/>
        <w:tabs>
          <w:tab w:val="clear" w:pos="720"/>
          <w:tab w:val="left" w:pos="440" w:leader="none"/>
        </w:tabs>
        <w:snapToGrid w:val="false"/>
        <w:spacing w:before="0" w:after="120"/>
        <w:rPr>
          <w:rFonts w:ascii="Minion Pro" w:hAnsi="Minion Pro" w:cs="Arial"/>
          <w:color w:val="000000" w:themeColor="text1"/>
          <w:sz w:val="18"/>
          <w:szCs w:val="18"/>
          <w:lang w:val="fr-FR"/>
        </w:rPr>
      </w:pPr>
      <w:r>
        <w:rPr>
          <w:rFonts w:cs="Arial" w:ascii="Minion Pro" w:hAnsi="Minion Pro"/>
          <w:b/>
          <w:bCs/>
          <w:color w:val="000000" w:themeColor="text1"/>
          <w:sz w:val="18"/>
          <w:szCs w:val="18"/>
          <w:u w:val="single"/>
          <w:lang w:val="fr-FR"/>
        </w:rPr>
        <w:t>COMMENTARY</w:t>
      </w:r>
    </w:p>
    <w:p>
      <w:pPr>
        <w:pStyle w:val="Normal"/>
        <w:spacing w:lineRule="auto" w:line="240"/>
        <w:ind w:left="357" w:hanging="357"/>
        <w:rPr>
          <w:rFonts w:ascii="Minion Pro" w:hAnsi="Minion Pro" w:cs="PMingLiU"/>
          <w:b/>
          <w:b/>
          <w:bCs/>
          <w:color w:val="000000" w:themeColor="text1"/>
          <w:w w:val="110"/>
          <w:sz w:val="52"/>
          <w:szCs w:val="52"/>
          <w:lang w:val="fr-FR" w:eastAsia="zh-CN"/>
        </w:rPr>
      </w:pPr>
      <w:r>
        <w:rPr>
          <w:rFonts w:eastAsia="PMingLiU" w:cs="PMingLiU" w:ascii="Minion Pro" w:hAnsi="Minion Pro"/>
          <w:b/>
          <w:bCs/>
          <w:color w:val="000000" w:themeColor="text1"/>
          <w:w w:val="110"/>
          <w:sz w:val="52"/>
          <w:szCs w:val="52"/>
          <w:lang w:val="fr-FR"/>
        </w:rPr>
        <w:t xml:space="preserve">Se situer dans la continuité d’un dialogue interdisciplinaire de recherche : entre transmission et renégociation du « commun </w:t>
      </w:r>
    </w:p>
    <w:p>
      <w:pPr>
        <w:pStyle w:val="Normal"/>
        <w:spacing w:lineRule="auto" w:line="240"/>
        <w:ind w:left="357" w:hanging="357"/>
        <w:rPr>
          <w:rFonts w:ascii="Minion Pro" w:hAnsi="Minion Pro" w:cs="PMingLiU"/>
          <w:b/>
          <w:b/>
          <w:bCs/>
          <w:color w:val="000000" w:themeColor="text1"/>
          <w:w w:val="110"/>
          <w:sz w:val="52"/>
          <w:szCs w:val="52"/>
          <w:lang w:eastAsia="zh-CN"/>
        </w:rPr>
      </w:pPr>
      <w:r>
        <w:rPr>
          <w:rFonts w:eastAsia="PMingLiU" w:cs="PMingLiU" w:ascii="Minion Pro" w:hAnsi="Minion Pro"/>
          <w:b/>
          <w:bCs/>
          <w:color w:val="000000" w:themeColor="text1"/>
          <w:w w:val="110"/>
          <w:sz w:val="52"/>
          <w:szCs w:val="52"/>
        </w:rPr>
        <w:t>Aligning in the continuity of an interdisciplinary research dialogue: between transmission and renegotiation of the 'common</w:t>
      </w:r>
    </w:p>
    <w:p>
      <w:pPr>
        <w:pStyle w:val="Author"/>
        <w:keepNext w:val="false"/>
        <w:widowControl w:val="false"/>
        <w:snapToGrid w:val="false"/>
        <w:spacing w:before="240" w:after="120"/>
        <w:jc w:val="both"/>
        <w:rPr>
          <w:rFonts w:ascii="Minion Pro" w:hAnsi="Minion Pro" w:cs="Arial"/>
          <w:i w:val="false"/>
          <w:i w:val="false"/>
          <w:color w:val="000000" w:themeColor="text1"/>
          <w:sz w:val="24"/>
          <w:szCs w:val="24"/>
          <w:lang w:val="fr-FR"/>
        </w:rPr>
      </w:pPr>
      <w:r>
        <w:rPr>
          <w:rFonts w:cs="Arial" w:ascii="Minion Pro" w:hAnsi="Minion Pro"/>
          <w:i w:val="false"/>
          <w:color w:val="000000" w:themeColor="text1"/>
          <w:sz w:val="24"/>
          <w:szCs w:val="24"/>
          <w:lang w:val="fr-FR"/>
        </w:rPr>
        <w:t>Cassandra Patinet</w:t>
      </w:r>
      <w:r>
        <w:rPr>
          <w:rFonts w:cs="Arial" w:ascii="Minion Pro" w:hAnsi="Minion Pro"/>
          <w:i w:val="false"/>
          <w:color w:val="000000" w:themeColor="text1"/>
          <w:sz w:val="24"/>
          <w:szCs w:val="24"/>
          <w:vertAlign w:val="superscript"/>
          <w:lang w:val="fr-FR"/>
        </w:rPr>
        <w:t>1</w:t>
      </w:r>
      <w:r>
        <w:rPr>
          <w:rFonts w:ascii="Minion Pro" w:hAnsi="Minion Pro" w:cs="Arial"/>
          <w:i w:val="false"/>
          <w:color w:val="000000" w:themeColor="text1"/>
          <w:sz w:val="24"/>
          <w:szCs w:val="24"/>
          <w:vertAlign w:val="superscript"/>
          <w:lang w:val="fr-FR"/>
        </w:rPr>
        <w:t xml:space="preserve">， </w:t>
      </w:r>
      <w:r>
        <w:rPr>
          <w:rFonts w:cs="Arial" w:ascii="Minion Pro" w:hAnsi="Minion Pro"/>
          <w:i w:val="false"/>
          <w:color w:val="000000" w:themeColor="text1"/>
          <w:sz w:val="24"/>
          <w:szCs w:val="24"/>
          <w:vertAlign w:val="superscript"/>
          <w:lang w:val="fr-FR"/>
        </w:rPr>
        <w:t>*</w:t>
      </w:r>
    </w:p>
    <w:p>
      <w:pPr>
        <w:pStyle w:val="Normal"/>
        <w:rPr>
          <w:rFonts w:ascii="Minion Pro" w:hAnsi="Minion Pro" w:cs="Times New Roman"/>
          <w:sz w:val="20"/>
          <w:szCs w:val="20"/>
          <w:lang w:val="fr-FR"/>
        </w:rPr>
      </w:pPr>
      <w:r>
        <w:rPr>
          <w:rFonts w:cs="Times New Roman" w:ascii="Minion Pro" w:hAnsi="Minion Pro"/>
          <w:sz w:val="20"/>
          <w:szCs w:val="20"/>
          <w:vertAlign w:val="superscript"/>
          <w:lang w:val="fr-FR"/>
        </w:rPr>
        <w:t>1</w:t>
      </w:r>
      <w:r>
        <w:rPr>
          <w:rFonts w:cs="Times New Roman" w:ascii="Minion Pro" w:hAnsi="Minion Pro"/>
          <w:sz w:val="20"/>
          <w:szCs w:val="20"/>
          <w:lang w:val="fr-FR"/>
        </w:rPr>
        <w:t>Université Sorbonne Paris Nord (USPN)</w:t>
      </w:r>
      <w:r>
        <w:rPr>
          <w:rFonts w:cs="Times New Roman" w:ascii="Minion Pro" w:hAnsi="Minion Pro"/>
          <w:sz w:val="20"/>
          <w:szCs w:val="20"/>
          <w:lang w:val="fr-FR" w:eastAsia="zh-CN"/>
        </w:rPr>
        <w:t>,</w:t>
      </w:r>
      <w:r>
        <w:rPr>
          <w:rFonts w:cs="Arial" w:ascii="Minion Pro" w:hAnsi="Minion Pro"/>
          <w:color w:val="000000" w:themeColor="text1"/>
          <w:sz w:val="19"/>
          <w:szCs w:val="19"/>
          <w:lang w:val="fr-FR"/>
        </w:rPr>
        <w:t xml:space="preserve">Villetaneuse, 93430, France  </w:t>
      </w:r>
    </w:p>
    <w:p>
      <w:pPr>
        <w:pStyle w:val="Normal"/>
        <w:rPr>
          <w:rFonts w:ascii="Minion Pro" w:hAnsi="Minion Pro" w:cs="Arial"/>
          <w:color w:val="000000" w:themeColor="text1"/>
          <w:sz w:val="19"/>
          <w:szCs w:val="19"/>
          <w:lang w:val="fr-FR"/>
        </w:rPr>
      </w:pPr>
      <w:r>
        <w:rPr>
          <w:rFonts w:cs="Arial" w:ascii="Minion Pro" w:hAnsi="Minion Pro"/>
          <w:color w:val="000000" w:themeColor="text1"/>
          <w:sz w:val="19"/>
          <w:szCs w:val="19"/>
          <w:vertAlign w:val="superscript"/>
          <w:lang w:val="fr-FR"/>
        </w:rPr>
        <w:t>*</w:t>
      </w:r>
      <w:r>
        <w:rPr>
          <w:rFonts w:cs="Arial" w:ascii="Minion Pro" w:hAnsi="Minion Pro"/>
          <w:color w:val="000000" w:themeColor="text1"/>
          <w:sz w:val="19"/>
          <w:szCs w:val="19"/>
          <w:lang w:val="fr-FR"/>
        </w:rPr>
        <w:t xml:space="preserve">Corresponding Author : Cassandra Patient. Email : </w:t>
      </w:r>
      <w:hyperlink r:id="rId2">
        <w:r>
          <w:rPr>
            <w:rStyle w:val="InternetLink"/>
            <w:rFonts w:ascii="Minion Pro" w:hAnsi="Minion Pro"/>
            <w:color w:val="000000" w:themeColor="text1"/>
            <w:sz w:val="19"/>
            <w:szCs w:val="19"/>
            <w:lang w:val="fr-FR"/>
          </w:rPr>
          <w:t>cassandra.pat29@gmail.com</w:t>
        </w:r>
      </w:hyperlink>
      <w:r>
        <w:rPr>
          <w:rFonts w:ascii="Minion Pro" w:hAnsi="Minion Pro"/>
          <w:color w:val="000000" w:themeColor="text1"/>
          <w:sz w:val="19"/>
          <w:szCs w:val="19"/>
          <w:lang w:val="fr-FR"/>
        </w:rPr>
        <w:t xml:space="preserve"> </w:t>
      </w:r>
    </w:p>
    <w:p>
      <w:pPr>
        <w:pStyle w:val="Normal"/>
        <w:snapToGrid w:val="false"/>
        <w:spacing w:before="0" w:after="120"/>
        <w:rPr>
          <w:rFonts w:ascii="Minion Pro" w:hAnsi="Minion Pro" w:cs="Arial"/>
          <w:color w:val="000000" w:themeColor="text1"/>
          <w:sz w:val="19"/>
          <w:szCs w:val="19"/>
          <w:lang w:val="fr-FR" w:eastAsia="zh-CN"/>
        </w:rPr>
      </w:pPr>
      <w:r>
        <w:rPr>
          <w:rFonts w:cs="Arial" w:ascii="Minion Pro" w:hAnsi="Minion Pro"/>
          <w:color w:val="000000" w:themeColor="text1"/>
          <w:sz w:val="19"/>
          <w:szCs w:val="19"/>
          <w:lang w:val="fr-FR"/>
        </w:rPr>
        <w:t xml:space="preserve">Received: </w:t>
      </w:r>
      <w:r>
        <w:rPr>
          <w:rFonts w:cs="Arial" w:ascii="Minion Pro" w:hAnsi="Minion Pro"/>
          <w:color w:val="000000" w:themeColor="text1"/>
          <w:sz w:val="19"/>
          <w:szCs w:val="19"/>
          <w:lang w:val="fr-FR" w:eastAsia="zh-CN"/>
        </w:rPr>
        <w:t>10 January 2024</w:t>
      </w:r>
      <w:r>
        <w:rPr>
          <w:rFonts w:cs="Arial" w:ascii="Minion Pro" w:hAnsi="Minion Pro"/>
          <w:color w:val="000000" w:themeColor="text1"/>
          <w:sz w:val="19"/>
          <w:szCs w:val="19"/>
          <w:lang w:val="fr-FR"/>
        </w:rPr>
        <w:t xml:space="preserve">    Accepted: </w:t>
      </w:r>
      <w:r>
        <w:rPr>
          <w:rFonts w:cs="Arial" w:ascii="Minion Pro" w:hAnsi="Minion Pro"/>
          <w:color w:val="000000" w:themeColor="text1"/>
          <w:sz w:val="19"/>
          <w:szCs w:val="19"/>
          <w:lang w:val="fr-FR" w:eastAsia="zh-CN"/>
        </w:rPr>
        <w:t>11 March 2024</w:t>
      </w:r>
    </w:p>
    <w:p>
      <w:pPr>
        <w:pStyle w:val="Normal"/>
        <w:rPr>
          <w:rFonts w:ascii="Minion Pro" w:hAnsi="Minion Pro" w:cs="Times New Roman"/>
          <w:b/>
          <w:b/>
          <w:bCs/>
          <w:sz w:val="19"/>
          <w:szCs w:val="19"/>
          <w:lang w:val="fr-FR"/>
        </w:rPr>
      </w:pPr>
      <w:r>
        <w:rPr>
          <w:rFonts w:cs="Times New Roman" w:ascii="Minion Pro" w:hAnsi="Minion Pro"/>
          <w:b/>
          <w:bCs/>
          <w:sz w:val="19"/>
          <w:szCs w:val="19"/>
          <w:lang w:val="fr-FR"/>
        </w:rPr>
        <w:t>Résumé</w:t>
      </w:r>
    </w:p>
    <w:p>
      <w:pPr>
        <w:pStyle w:val="Normal"/>
        <w:snapToGrid w:val="false"/>
        <w:jc w:val="both"/>
        <w:rPr>
          <w:rFonts w:ascii="Minion Pro" w:hAnsi="Minion Pro" w:cs="Times New Roman"/>
          <w:sz w:val="19"/>
          <w:szCs w:val="19"/>
          <w:lang w:val="fr-FR"/>
        </w:rPr>
      </w:pPr>
      <w:r>
        <w:rPr>
          <w:rFonts w:cs="Times New Roman" w:ascii="Minion Pro" w:hAnsi="Minion Pro"/>
          <w:sz w:val="19"/>
          <w:szCs w:val="19"/>
          <w:lang w:val="fr-FR"/>
        </w:rPr>
        <w:t xml:space="preserve">Cet article vise à éclairer les enjeux de continuité et de reprise du dialogue interdisciplinaire entre médecins et psychologues d’orientation psychanalytique sur le terrain de la recherche, après que cette collaboration se soit institutionnalisée et pérennisée sur le plan institutionnel. A partir de la mise en regard de deux dispositifs de recherche se situant dans le prolongement l’un de l’autre sur un même terrain de recherche, nous questionnerons les modalités de négociation du dialogue interdisciplinaire et les voies par lesquelles il se manifeste sur le terrain de la recherche, médié par la rencontre entre soignants et chercheurs. </w:t>
      </w:r>
    </w:p>
    <w:p>
      <w:pPr>
        <w:pStyle w:val="Normal"/>
        <w:snapToGrid w:val="false"/>
        <w:spacing w:before="120" w:after="160"/>
        <w:rPr>
          <w:rFonts w:ascii="Minion Pro" w:hAnsi="Minion Pro" w:cs="Times New Roman"/>
          <w:b/>
          <w:b/>
          <w:bCs/>
          <w:sz w:val="19"/>
          <w:szCs w:val="19"/>
          <w:lang w:val="fr-FR"/>
        </w:rPr>
      </w:pPr>
      <w:r>
        <w:rPr>
          <w:rFonts w:cs="Times New Roman" w:ascii="Minion Pro" w:hAnsi="Minion Pro"/>
          <w:b/>
          <w:bCs/>
          <w:sz w:val="19"/>
          <w:szCs w:val="19"/>
          <w:lang w:val="fr-FR"/>
        </w:rPr>
        <w:t>MOTS CLÉS</w:t>
      </w:r>
    </w:p>
    <w:p>
      <w:pPr>
        <w:pStyle w:val="Normal"/>
        <w:snapToGrid w:val="false"/>
        <w:spacing w:before="0" w:after="120"/>
        <w:rPr>
          <w:rFonts w:ascii="Minion Pro" w:hAnsi="Minion Pro" w:cs="Times New Roman"/>
          <w:spacing w:val="-3"/>
          <w:sz w:val="19"/>
          <w:szCs w:val="19"/>
          <w:lang w:val="fr-FR"/>
        </w:rPr>
      </w:pPr>
      <w:r>
        <w:rPr>
          <w:rFonts w:cs="Times New Roman" w:ascii="Minion Pro" w:hAnsi="Minion Pro"/>
          <w:spacing w:val="-3"/>
          <w:sz w:val="19"/>
          <w:szCs w:val="19"/>
          <w:lang w:val="fr-FR"/>
        </w:rPr>
        <w:t>Interdisciplinarité ; médecine ; psychanalyse ; théorisation ancrée ; dispositif de recherche ; terrain de recherche</w:t>
      </w:r>
    </w:p>
    <w:p>
      <w:pPr>
        <w:pStyle w:val="Normal"/>
        <w:snapToGrid w:val="false"/>
        <w:spacing w:before="0" w:after="120"/>
        <w:jc w:val="both"/>
        <w:rPr>
          <w:rFonts w:ascii="Minion Pro" w:hAnsi="Minion Pro" w:cs="Times New Roman"/>
          <w:b/>
          <w:b/>
          <w:bCs/>
          <w:spacing w:val="-3"/>
          <w:sz w:val="19"/>
          <w:szCs w:val="19"/>
        </w:rPr>
      </w:pPr>
      <w:r>
        <w:rPr>
          <w:rFonts w:cs="Times New Roman" w:ascii="Minion Pro" w:hAnsi="Minion Pro"/>
          <w:b/>
          <w:bCs/>
          <w:spacing w:val="-3"/>
          <w:sz w:val="19"/>
          <w:szCs w:val="19"/>
        </w:rPr>
        <w:t>Abstract</w:t>
      </w:r>
    </w:p>
    <w:p>
      <w:pPr>
        <w:pStyle w:val="Normal"/>
        <w:snapToGrid w:val="false"/>
        <w:spacing w:before="240" w:after="160"/>
        <w:jc w:val="both"/>
        <w:rPr>
          <w:rFonts w:ascii="Minion Pro" w:hAnsi="Minion Pro" w:cs="Times New Roman"/>
          <w:sz w:val="19"/>
          <w:szCs w:val="19"/>
        </w:rPr>
      </w:pPr>
      <w:r>
        <w:rPr>
          <w:rFonts w:cs="Times New Roman" w:ascii="Minion Pro" w:hAnsi="Minion Pro"/>
          <w:sz w:val="19"/>
          <w:szCs w:val="19"/>
        </w:rPr>
        <w:t>This paper aims to highlight the challenges of continuing and resuming interdisciplinary dialogue between physicians and psychologists in the field of research, after the institutionalization and establishment of this collaboration at the institutional level. By comparing two research frameworks that follow each other in the same research field, we will examine the negotiation process of interdisciplinary dialogue and the ways in which it manifests in the research field, mediated by the interaction between healthcare professionals and researchers.</w:t>
      </w:r>
    </w:p>
    <w:p>
      <w:pPr>
        <w:pStyle w:val="Normal"/>
        <w:snapToGrid w:val="false"/>
        <w:spacing w:before="120" w:after="160"/>
        <w:jc w:val="both"/>
        <w:rPr>
          <w:rFonts w:ascii="Minion Pro" w:hAnsi="Minion Pro" w:cs="Times New Roman"/>
          <w:b/>
          <w:b/>
          <w:sz w:val="19"/>
          <w:szCs w:val="19"/>
        </w:rPr>
      </w:pPr>
      <w:r>
        <w:rPr>
          <w:rFonts w:cs="Times New Roman" w:ascii="Minion Pro" w:hAnsi="Minion Pro"/>
          <w:b/>
          <w:bCs/>
          <w:sz w:val="19"/>
          <w:szCs w:val="19"/>
        </w:rPr>
        <w:t>KEYWORDS</w:t>
      </w:r>
    </w:p>
    <w:p>
      <w:pPr>
        <w:pStyle w:val="Normal"/>
        <w:snapToGrid w:val="false"/>
        <w:jc w:val="both"/>
        <w:rPr>
          <w:rFonts w:ascii="Minion Pro" w:hAnsi="Minion Pro" w:cs="Times New Roman"/>
          <w:sz w:val="19"/>
          <w:szCs w:val="19"/>
        </w:rPr>
      </w:pPr>
      <w:r>
        <w:rPr>
          <w:rFonts w:cs="Times New Roman" w:ascii="Minion Pro" w:hAnsi="Minion Pro"/>
          <w:sz w:val="19"/>
          <w:szCs w:val="19"/>
        </w:rPr>
        <w:t>Interdisciplinarity; medicine; psychoanalysis; Grounded theory; research setting; field</w:t>
      </w:r>
    </w:p>
    <w:p>
      <w:pPr>
        <w:pStyle w:val="Heading1"/>
        <w:numPr>
          <w:ilvl w:val="0"/>
          <w:numId w:val="0"/>
        </w:numPr>
        <w:ind w:left="0" w:hanging="0"/>
        <w:rPr>
          <w:rFonts w:ascii="Minion Pro" w:hAnsi="Minion Pro"/>
          <w:sz w:val="20"/>
          <w:szCs w:val="20"/>
        </w:rPr>
      </w:pPr>
      <w:r>
        <w:rPr>
          <w:rFonts w:ascii="Minion Pro" w:hAnsi="Minion Pro"/>
          <w:sz w:val="20"/>
          <w:szCs w:val="20"/>
        </w:rPr>
        <w:t xml:space="preserve">Introduction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La pratique de recherche interdisciplinaire se distingue habituellement de la pluridisciplinarité par le fait qu’elle ne consiste pas seulement dans l’addition de plusieurs regards, de plusieurs disciplines autour d’un même objet d’étude. En effet, l’interdisciplinarité</w:t>
      </w:r>
      <w:r>
        <w:fldChar w:fldCharType="begin"/>
      </w:r>
      <w:r>
        <w:rPr>
          <w:sz w:val="20"/>
          <w:szCs w:val="20"/>
          <w:rFonts w:cs="Times New Roman" w:ascii="Minion Pro" w:hAnsi="Minion Pro"/>
          <w:lang w:val="fr-FR"/>
        </w:rPr>
        <w:instrText>ADDIN ZOTERO_ITEM CSL_CITATION {"citationID":"jFSkPNDx","properties":{"formattedCitation":"(1)","plainCitation":"(1)","noteIndex":0},"citationItems":[{"id":686,"uris":["http://zotero.org/users/local/p5c4wIc0/items/WSPLKRN8"],"itemData":{"id":686,"type":"article-journal","abstract":"Interdisciplinarity employs multiple academic fields of knowledge in order to create a comprehensive understanding of a globally relevant phenomenon, a region, or its people, and to find solutions to concrete problems. Interdisciplinarity evolved in the 20th century in response to the institutionalization and segmentation of academic research and major transitions in society. Many geography departments have interdisciplinary profiles, but the daily practice of interdisciplinarity depends on the networks of individual academics. The results of interdisciplinary collaboration include research books, textbooks, and journal articles, the market of which continues to diversify. Authors of interdisciplinary textbooks and teachers of interdisciplinary classes must pay special attention to teaching philosophy and communication skills in order to satisfy the needs of a heterogeneous body of students interested in interdisciplinary learning. Interdisciplinarity means different things in different contexts, and practices and challenges vary. Some see interdisciplinarity as an exciting opportunity, while others feel threatened by the downsides of crossing disciplinary boundaries.","container-title":"International Encyclopedia of Human Geography","DOI":"10.1016/B978-0-08-102295-5.10659-6","journalAbbreviation":"International Encyclopedia of Human Geography","note":"PMID: null\nPMCID: PMC7153341","page":"357-363","source":"PubMed Central","title":"Interdisciplinarity","author":[{"family":"Raento","given":"Pauliina"}],"issued":{"date-parts":[["2020"]]}}}],"schema":"https://github.com/citation-style-language/schema/raw/master/csl-citation.json"}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pose le rapport à l’autre, à la différence, en tant qu’elle implique des zones de rencontre, de frottement, entre disciplines issues de paradigmes théoriques, épistémologiques et méthodologiques parfois fort différents </w:t>
      </w:r>
      <w:r>
        <w:fldChar w:fldCharType="begin"/>
      </w:r>
      <w:r>
        <w:rPr>
          <w:sz w:val="20"/>
          <w:szCs w:val="20"/>
          <w:rFonts w:cs="Times New Roman" w:ascii="Minion Pro" w:hAnsi="Minion Pro"/>
          <w:lang w:val="fr-FR"/>
        </w:rPr>
        <w:instrText>ADDIN ZOTERO_ITEM CSL_CITATION {"citationID":"AoJN1Ams","properties":{"formattedCitation":"(2,3)","plainCitation":"(2,3)","noteIndex":0},"citationItems":[{"id":571,"uris":["http://zotero.org/users/local/p5c4wIc0/items/WRS5RWGD"],"itemData":{"id":571,"type":"article-journal","abstract":"The three most widely used terms associated with interdisciplinarity – multidisciplinary, interdisciplinary, transdisciplinary – constitute a core taxonomy for understanding the degree of interaction and integration among disciplines and the degree of collaboration in teamwork. Typologies further distinguish methodological activities aimed at improving results from theoretical frameworks which are of a more comprehensive or epistemological form. Bridge building leaves existing approaches intact, while restructuration produces new interdisciplines and fields. Instrumental or opportunistic problem solving differs from critical forms that question the existing structure of knowledge and education. Transdisciplinarity encompasses the quest for unity as well as new transcendent frameworks for understanding complex phenomena and trans-sector research involving stakeholders in society.","container-title":"Nouvelles perspectives en sciences sociales : revue internationale de systémique complexe et d'études relationnelles","DOI":"10.7202/1007080ar","ISSN":"1712-8307, 1918-7475","issue":"1","journalAbbreviation":"npss","language":"fr","note":"publisher: Prise de parole","page":"15-48","source":"www.erudit.org","title":"Une taxinomie de l’interdisciplinarité","volume":"7","author":[{"family":"Thompson Klein","given":"Julie"}],"issued":{"date-parts":[["2011"]]}}},{"id":569,"uris":["http://zotero.org/users/local/p5c4wIc0/items/ZQSH3G3P"],"itemData":{"id":569,"type":"book","abstract":"Research policy favours projects that integrate disciplinary knowledge and involve non-academic stakeholders. Consequently, integrative concepts – interdisciplinarity and transdisciplinarity – are gaining currency in landscape research and planning. Researchers are excited by the prospect of merging disciplinary and non-academic expertise to improve their understanding and performance, but often struggle with the challenges of operationalizing integration. This book provides guidelines for those coping with these challenges, whether they are members of an integrative research team or individuals working on a problem that demands integration. They must define terminology, choose appropriate methodologies, overcome epistemological barriers and cope with the high expectations of some stakeholders while encouraging others to participate at all. The book deals with the development of integrative theory and concepts, the development of integrative tools and methods, training and education for integration, and the application of integrative concepts in landscape research. As it also presents examples of successful integrative PhD studies, it is not only valuable for experienced scientists but will also help other PhD students find their way in integrative research.","ISBN":"978-1-4020-3978-2","language":"en","note":"Google-Books-ID: MkgR0zyTba4C","number-of-pages":"456","publisher":"Springer Science &amp; Business Media","source":"Google Books","title":"From Landscape Research to Landscape Planning: Aspects of Integration, Education and Application","title-short":"From Landscape Research to Landscape Planning","author":[{"family":"Tress","given":"Bärbel"},{"family":"Tres","given":"Gunther"},{"family":"Fry","given":"Gary"},{"family":"Opdam","given":"Paul"}],"issued":{"date-parts":[["2005",10,25]]}}}],"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[2,3]</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En ce sens, elle relève fondamentalement d’une pratique</w:t>
      </w:r>
      <w:r>
        <w:fldChar w:fldCharType="begin"/>
      </w:r>
      <w:r>
        <w:rPr>
          <w:sz w:val="20"/>
          <w:szCs w:val="20"/>
          <w:rFonts w:cs="Times New Roman" w:ascii="Minion Pro" w:hAnsi="Minion Pro"/>
          <w:lang w:val="fr-FR"/>
        </w:rPr>
        <w:instrText>ADDIN ZOTERO_ITEM CSL_CITATION {"citationID":"6Wvi2l1l","properties":{"formattedCitation":"(4,5)","plainCitation":"(4,5)","noteIndex":0},"citationItems":[{"id":681,"uris":["http://zotero.org/users/local/p5c4wIc0/items/TC2BDM2I"],"itemData":{"id":681,"type":"article-journal","abstract":"Ce texte constitue le prologue du numéro 11 du Journal on Interdisciplinary  Methodologies and Issues in Science : Penser l'interdisciplinarité en pratique. L'ensemble des 10 contributions est brièvement présenté à partir des fondements qui font l'interdisciplinarité en pratique :  les dispositions des chercheurs, leur posture indisciplinaire et le contexte complexe dans lequel s'opère l'interdisciplinarité.","container-title":"Journal of Interdisciplinary Methodologies and Issues in Science","DOI":"10.46298/jimis.11316","note":"publisher: Éditions universitaires d'Avignon","source":"HAL Archives Ouvertes","title":"Comment penser l'interdisciplinarité en pratique ? Une question de disposition, d'indisciplinarité et de complexité","title-short":"Comment penser l'interdisciplinarité en pratique ?","URL":"https://hal.science/hal-04063971","volume":"11","author":[{"family":"Nourrit-Lucas","given":"Déborah"}],"accessed":{"date-parts":[["2024",2,27]]},"issued":{"date-parts":[["2023"]]}}},{"id":689,"uris":["http://zotero.org/users/local/p5c4wIc0/items/E45V2768"],"itemData":{"id":689,"type":"article-journal","abstract":"Objectif : L’objectif de cet article est de poser quelques jalons théorico-pratiques pour penser les défis de la recherche interdisciplinaire en soins palliatifs.Méthode : Les principaux défis de la recherche interdisciplinaire documentés dans la littérature scientifique sont mis en perspective au plan théorique, puis illustrés dans leurs aspects pratiques à travers la présentation de deux projets de recherche relatifs à l’amélioration de l’organisation des soins et des services dans le domaine des soins palliatifs.Résultats : Les soins palliatifs se structurent, de par leur objet et leur philosophie de soin, autour d’une culture de l’interdisciplinarité. Or, sa mise en œuvre dans la recherche ne va pas de soi et suppose de faire dialoguer les paradigmes dans lesquels s’inscrivent les disciplines scientifiques qui structurent la recherche en soins palliatifs. Au-delà des habiletés relationnelles inhérentes au travail collectif, ce dialogue suppose de la part des chercheurs de pouvoir rendre compte de la manière dont chaque discipline mobilisée construit ses savoirs théoriques et pratiques.Conclusion : L’interdisciplinarité est nécessaire pour étudier des objets de recherche du champ des soins palliatifs dont la complexité requiert la mobilisation des connaissances de plusieurs disciplines. Deux défis majeurs doivent encore être relevés pour continuer à développer une recherche interdisciplinaire en soins palliatifs. Le premier est de faire évoluer la formation à la recherche en santé en introduisant, dès la formation initiale des professionnels de santé et des scientifiques évoluant dans le secteur de la santé, futurs acteurs de la recherche en santé, une notion des fondements théoriques et une expérience pratique de l’interdisciplinarité. Le deuxième défi est celui d’une intégration de la nécessité d’un dialogue des épistémologies au niveau des dispositifs de soutien à la recherche clinique.","container-title":"Santé Publique","DOI":"10.3917/spub.212.0199","ISSN":"0995-3914","issue":"2","journalAbbreviation":"Santé Publique","language":"fr","note":"publisher-place: Laxou\npublisher: S.F.S.P.","page":"199-209","source":"Cairn.info","title":"Méthodologies de la recherche en soins palliatifs : les défis de l’interdisciplinarité","title-short":"Méthodologies de la recherche en soins palliatifs","volume":"33","author":[{"family":"Bagaragaza","given":"Emmanuel"},{"family":"Pujol","given":"Nicolas"},{"family":"Evin","given":"Adrien"},{"family":"Colombet","given":"Isabelle"}],"issued":{"date-parts":[["2021"]]}}}],"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[4,5]</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d’un « faire avec » qui engage les différents acteurs dans un dialogue confrontant dont il n’est pas toujours aisé de retracer les étapes. Car, si ce dialogue peut prendre la forme d’une discussion ouverte sur un sujet, il peut également se déployer selon des modalités moins explicites, plus silencieuses, faisant apparaître les points de contacts, les zones de négociation, précisément dans ce qui résiste ou apparaît sur le moment comme une impasse dans la capacité à s’entendre, à travailler avec </w:t>
      </w:r>
      <w:r>
        <w:fldChar w:fldCharType="begin"/>
      </w:r>
      <w:r>
        <w:rPr>
          <w:sz w:val="20"/>
          <w:szCs w:val="20"/>
          <w:rFonts w:cs="Times New Roman" w:ascii="Minion Pro" w:hAnsi="Minion Pro"/>
          <w:lang w:val="fr-FR"/>
        </w:rPr>
        <w:instrText>ADDIN ZOTERO_ITEM CSL_CITATION {"citationID":"cjJjG3tu","properties":{"formattedCitation":"(6)","plainCitation":"(6)","noteIndex":0},"citationItems":[{"id":587,"uris":["http://zotero.org/users/local/p5c4wIc0/items/R8DYQ4CL"],"itemData":{"id":587,"type":"article-journal","abstract":"We explore the practical difficulties of interdisciplinary research in the context of a regional- or local-scale project. We posit four barriers to interdisciplinarity that are common across many disciplines and draw on our own experience and on other sources to explore how these barriers are manifested. Values enter into scientific theories and data collection through scientists' hidden assumptions about disciplines other than their own, through the differences between quantitative and interpretive social sciences, and through roadblocks created by the organization of academia and the relationship between academics and the larger society. Participants in interdisciplinary projects need to be self-reflective about the value judgments embedded in their choice of variables and models. They should identify and use a core set of shared concerns to motivate the effort, be willing to respect and to learn more about the “other,” be able to work with new models and alternative taxonomies, and allow for plurality and incompleteness.","container-title":"BioScience","DOI":"10.1641/0006-3568(2005)055[0967:PI]2.0.CO;2","ISSN":"0006-3568","issue":"11","journalAbbreviation":"BioScience","page":"967-975","source":"Silverchair","title":"Practicing Interdisciplinarity","volume":"55","author":[{"family":"Lélé","given":"Sharachchandra"},{"family":"Norgaard","given":"Richard B."}],"issued":{"date-parts":[["2005"]]}}}],"schema":"https://github.com/citation-style-language/schema/raw/master/csl-citation.json"}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[6]</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En ce sens, s’il est souvent fait référence à la notion « d’intégration » dans la littérature </w:t>
      </w:r>
      <w:r>
        <w:fldChar w:fldCharType="begin"/>
      </w:r>
      <w:r>
        <w:rPr>
          <w:sz w:val="20"/>
          <w:szCs w:val="20"/>
          <w:rFonts w:cs="Times New Roman" w:ascii="Minion Pro" w:hAnsi="Minion Pro"/>
          <w:lang w:val="fr-FR"/>
        </w:rPr>
        <w:instrText>ADDIN ZOTERO_ITEM CSL_CITATION {"citationID":"A2zB0dhr","properties":{"formattedCitation":"(7\\uc0\\u8211{}9)","plainCitation":"(7–9)","noteIndex":0},"citationItems":[{"id":579,"uris":["http://zotero.org/users/local/p5c4wIc0/items/SWBTEVH7"],"itemData":{"id":579,"type":"article-journal","abstract":"Interdisciplinarity constitutes a common and fertile scientific practice; accordingly, there are numerous interdisciplinary theories, but there is no theory of interdisciplinarity. Essays on interdisciplinarity speak of an approach destined to save the world, dichotomize monodisciplinarity and interdisciplinarity, or draw typologies of interdisciplinary work. However, they do not generate theories of interdisciplinarity. In fact, the project of such a theory is absurd because if scientific theories exist, a theory of science cannot. This is what the current paper will argue.","container-title":"Nouvelles perspectives en sciences sociales : revue internationale de systémique complexe et d'études relationnelles","DOI":"10.7202/1007081ar","ISSN":"1712-8307, 1918-7475","issue":"1","journalAbbreviation":"npss","language":"fr","note":"publisher: Prise de parole","page":"49-64","source":"www.erudit.org","title":"Recherche interdisciplinaire et réflexion sur l’interdisciplinarité","volume":"7","author":[{"family":"Laflamme","given":"Simon"}],"issued":{"date-parts":[["2011"]]}}},{"id":576,"uris":["http://zotero.org/users/local/p5c4wIc0/items/RIXR4S9N"],"itemData":{"id":576,"type":"article-journal","abstract":"What is interdisciplinary research? Why is it vital to the advancement of the field of hazards and disaster research? What theory, methods, and approaches are fundamental to interdisciplinary research projects and their applications? This article addresses these and other pressing questions by taking stock of recent advancements in interdisciplinary studies of hazards and disasters. It also introduces the special issue of Risk Analysis, which includes this introductory article and 25 original perspectives papers meant to highlight new trends and applications in the field. The papers were written following two National Science Foundation-supported workshops that were organized in response to the growing interest in interdisciplinary hazards and disaster research, the increasing number of interdisciplinary funding opportunities and collaborations in the field, and the need for more rigorous guidance for interdisciplinary researchers and research teams. This introductory article and the special collection are organized around the cross-cutting themes of theory, methods, approaches, interdisciplinary research projects, and applications to advance interdisciplinarity in hazards and disaster research.","container-title":"Risk Analysis","DOI":"10.1111/risa.13777","ISSN":"1539-6924","issue":"7","language":"en","license":"© 2021 The Authors. Risk Analysis published by Wiley Periodicals LLC on behalf of Society for Risk Analysis","note":"_eprint: https://onlinelibrary.wiley.com/doi/pdf/10.1111/risa.13777","page":"1047-1058","source":"Wiley Online Library","title":"Interdisciplinary Theory, Methods, and Approaches for Hazards and Disaster Research: An Introduction to the Special Issue","title-short":"Interdisciplinary Theory, Methods, and Approaches for Hazards and Disaster Research","volume":"41","author":[{"family":"Peek","given":"Lori"},{"family":"Guikema","given":"Seth"}],"issued":{"date-parts":[["2021"]]}}},{"id":683,"uris":["http://zotero.org/users/local/p5c4wIc0/items/M9EF5FCG"],"itemData":{"id":683,"type":"article-journal","abstract":"As emphasis on interdisciplinary and convergent research grows, researchers and institutions can benefit from additional insights into how to build interdisciplinary integration within the research process. This article presents signs of successful interdisciplinary research and proposes strategies that researchers can implement to help create and sustain integration across fields. Drawing on the authors’ experiences, other examples from hazards research, and the literature on interdisciplinarity, the article asserts that successful interdisciplinary research incorporates full intellectual participation by each contributing field, forming a multiway partnership. Such work can frame new research questions, develop novel approaches, and generate innovative insights across and within disciplines. It can also address complex questions at the intersections of established fields, beyond what the collection of contributing fields can produce on their own. To build integration across fields, researchers can use strategies such as interweaving perspectives in the research foci, interacting regularly at the working level, and interconnecting knowledge and ideas throughout the research process. Another strategy is leadership that enables contributions from multiple fields and empowers interdisciplinary synthesis. During the research process, researcher commitment, curiosity, willingness to take risks, and flexibility are also important, along with patience and persistence as challenges arise.","container-title":"Risk Analysis","DOI":"10.1111/risa.13246","ISSN":"1539-6924","issue":"7","language":"en","license":"© 2018 Society for Risk Analysis","note":"_eprint: https://onlinelibrary.wiley.com/doi/pdf/10.1111/risa.13246","page":"1152-1161","source":"Wiley Online Library","title":"The “Inter” Within Interdisciplinary Research: Strategies for Building Integration Across Fields","title-short":"The “Inter” Within Interdisciplinary Research","volume":"41","author":[{"family":"Morss","given":"Rebecca E."},{"family":"Lazrus","given":"Heather"},{"family":"Demuth","given":"Julie L."}],"issued":{"date-parts":[["2021"]]}}}],"schema":"https://github.com/citation-style-language/schema/raw/master/csl-citation.json"}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cs="Times New Roman" w:ascii="Minion Pro" w:hAnsi="Minion Pro"/>
          <w:sz w:val="20"/>
          <w:szCs w:val="24"/>
          <w:lang w:val="fr-FR"/>
        </w:rPr>
        <w:t>[7–9]</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 entendue comme une opération de synthèse totalisante des connaissances, épistémologies et méthodologies impliquées – pour caractériser la forme la plus aboutie de la rencontre interdisciplinaire, il nous semblait intéressant de proposer un décalage vis-à-vis de cette forme idéale de « mise en commun » en nous intéressant plutôt aux conditions qui rendent possible la création et le maintien de « communs », dans le cadre de recherches menées en interdisciplinarité. Par ce terme de « communs », nous n’entendons pas désigner la seule mise en commun – d’un objet d’étude, d’un terrain – mais la création de communs autour de cet objet, de ce terrain de recherche ; en d’autres termes, des contenants pour la discussion interdisciplinaire, qui ne seraient pas uniquement le lieu du compromis et de la bonne entente, mais également celui de la conflictualité, de la préservation des différences.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tentative d’élaboration du travail interdisciplinaire découle d’une réflexion menée dans le cadre de notre recherche doctorale en psychologie clinique, conduite sur le terrain hospitalier et ancrée dans un contexte institutionnel de recherche interdisciplinaire. En effet, la particularité de notre recherche doctorale consiste dans le fait qu’elle procède d’une recherche princeps, dont les résultats ont largement contribué à soutenir l’institutionnalisation d’une collaboration interdisciplinaire entre médecins, psychologues chercheurs et cliniciens, psychanalystes, afin de poursuivre la recherche au sein de l’unité d’oncohématologie adolescents et jeunes adultes (AJA) de l’hôpital Saint-Louis (Paris). Ce processus d’institutionnalisation a particulièrement pris forme dans la constitution et la pérennisation d’une équipe de recherche clinique, regroupant notamment le médecin chef de service de l’unité AJA, un autre médecin référent pour les patients AJA atteints de cancer et une équipe de psychologues chercheurs (doctorantes et chercheurs seniors) et cliniciens d’orientation psychanalytique. Cette équipe de recherche clinique est directement rattachée à l’institut universitaire de l’hôpital Saint-Louis (Paris) dans lequel elle bénéficie d’un bureau dédié. La pratique de recherche interdisciplinaire s’est ainsi d’abord actualisée, pour nous, sur ce registre institutionnel, qui a constitué le contexte premier dans lequel s’est inscrite notre recherche doctorale.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Présenter le contexte institutionnel et interdisciplinaire de notre recherche, c’est ainsi présenter ce qui a constitué du commun, puis s’est institué comme « commun » au sein de cette équipe de recherche clinique. Nous commencerons donc par présenter quelques éléments issus de cette première recherche, en éclairant particulièrement certains aspects méthodologiques de la recherche, en tant qu’ils se sont constitués comme de véritables opérateurs du dialogue interdisciplinaire entre médecins et psychologues. Puis, à partir d’éléments issus de notre propre dispositif méthodologique, nous discuterons la façon dont le dialogue interdisciplinaire a été amené à se renégocier autour de la constitution de nouveaux « communs », dans le cadre de la reprise d’un travail de recherche sur ce même terrain. </w:t>
      </w:r>
    </w:p>
    <w:p>
      <w:pPr>
        <w:pStyle w:val="Heading1"/>
        <w:numPr>
          <w:ilvl w:val="0"/>
          <w:numId w:val="0"/>
        </w:numPr>
        <w:spacing w:lineRule="auto" w:line="276"/>
        <w:ind w:left="0" w:hanging="0"/>
        <w:rPr>
          <w:rFonts w:ascii="Minion Pro" w:hAnsi="Minion Pro" w:cs="Times New Roman"/>
          <w:sz w:val="20"/>
          <w:szCs w:val="20"/>
        </w:rPr>
      </w:pPr>
      <w:r>
        <w:rPr>
          <w:rFonts w:cs="Times New Roman" w:ascii="Minion Pro" w:hAnsi="Minion Pro"/>
          <w:sz w:val="20"/>
          <w:szCs w:val="20"/>
        </w:rPr>
        <w:t>Présentation du contexte interdisciplinaire de la recherche</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Le contexte interdisciplinaire dans lequel s’est inscrite notre recherche doctorale est sous tendu par la collaboration entre notre directeur de thèse, le Pr. Karl-Léo SCHWERING (Psychologue clinicien, Professeur de psychologie clinique et de psychopathologie psychanalytique, USPN) et le Pr. Nicolas BOISSEL (PU/PH), médecin chef de l’unité d’oncohématologie dédiée aux adolescents et jeunes adultes de l’hôpital Saint-Louis (Paris). C’est à l’occasion du montage et de l’obtention d’un financement de l’Institut National du Cancer (INCa) en 2012 pour un programme de recherche visant à étudier : « </w:t>
      </w:r>
      <w:r>
        <w:rPr>
          <w:rFonts w:cs="Times New Roman" w:ascii="Minion Pro" w:hAnsi="Minion Pro"/>
          <w:i/>
          <w:iCs/>
          <w:sz w:val="20"/>
          <w:szCs w:val="20"/>
          <w:lang w:val="fr-FR"/>
        </w:rPr>
        <w:t>l’ajustement psychosocial des adolescents et jeunes adultes atteints de leucémie </w:t>
      </w:r>
      <w:r>
        <w:rPr>
          <w:rFonts w:cs="Times New Roman" w:ascii="Minion Pro" w:hAnsi="Minion Pro"/>
          <w:sz w:val="20"/>
          <w:szCs w:val="20"/>
          <w:lang w:val="fr-FR"/>
        </w:rPr>
        <w:t xml:space="preserve">» que cette collaboration d’abord pluridisciplinaire a pris forme.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Le financement de l’INCA a ainsi donné lieu à une première recherche exploratoire se déployant selon un double volet de recherche « patient/soignant ». Toutefois, c’est l’enquête « soignant » qui nous intéresse ici : d’une part, car c’est à travers elle que s’est le plus concrètement actualisée la dimension interdisciplinaire du travail entre médecins et psychologues, médiée, comme nous le verrons, par une rencontre forte, sur le terrain, entre soignants et chercheurs ; d’autre part, car notre propre recherche découle directement de cette première enquête exploratoire de recherche auprès des soignants de l’unité AJA.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A partir de la présentation de certains aspects méthodologiques de cette première recherche, nous tenterons d’abord de préciser la notion de « commun », en proposant une première différenciation entre : 1) ce qui relève des conditions possibles d’une entente première 2) le lieu d’où/duquel procède le résultat interdisciplinaire.  </w:t>
      </w:r>
    </w:p>
    <w:p>
      <w:pPr>
        <w:pStyle w:val="Heading2"/>
        <w:rPr>
          <w:rFonts w:ascii="Minion Pro" w:hAnsi="Minion Pro"/>
          <w:i w:val="false"/>
          <w:i w:val="false"/>
          <w:sz w:val="20"/>
          <w:szCs w:val="20"/>
          <w:lang w:val="fr-FR"/>
        </w:rPr>
      </w:pPr>
      <w:r>
        <w:rPr>
          <w:rFonts w:ascii="Minion Pro" w:hAnsi="Minion Pro"/>
          <w:sz w:val="20"/>
          <w:szCs w:val="20"/>
          <w:lang w:val="fr-FR"/>
        </w:rPr>
        <w:t xml:space="preserve">S’entendre sur du commun </w:t>
      </w:r>
    </w:p>
    <w:p>
      <w:pPr>
        <w:pStyle w:val="Normal"/>
        <w:spacing w:lineRule="auto" w:line="276"/>
        <w:jc w:val="both"/>
        <w:rPr>
          <w:rFonts w:ascii="Minion Pro" w:hAnsi="Minion Pro" w:cs="Times New Roman"/>
          <w:sz w:val="20"/>
          <w:szCs w:val="20"/>
          <w:lang w:val="fr-FR"/>
        </w:rPr>
      </w:pPr>
      <w:r>
        <w:rPr>
          <w:rFonts w:cs="Times New Roman" w:ascii="Minion Pro" w:hAnsi="Minion Pro"/>
          <w:sz w:val="20"/>
          <w:szCs w:val="20"/>
          <w:lang w:val="fr-FR"/>
        </w:rPr>
      </w:r>
      <w:bookmarkStart w:id="0" w:name="_Hlk155736385"/>
      <w:bookmarkStart w:id="1" w:name="_Hlk155736385"/>
      <w:bookmarkEnd w:id="1"/>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La première enquête « soignants », menée préalablement à notre recherche doctorale, portait sur les représentations des soignants à propos du patient AJA. Elle a fait l’objet d’une étude strictement qualitative, </w:t>
      </w:r>
      <w:r>
        <w:rPr>
          <w:rFonts w:cs="Times New Roman" w:ascii="Minion Pro" w:hAnsi="Minion Pro"/>
          <w:i/>
          <w:iCs/>
          <w:sz w:val="20"/>
          <w:szCs w:val="20"/>
          <w:lang w:val="fr-FR"/>
        </w:rPr>
        <w:t>conditionnée</w:t>
      </w:r>
      <w:r>
        <w:rPr>
          <w:rFonts w:cs="Times New Roman" w:ascii="Minion Pro" w:hAnsi="Minion Pro"/>
          <w:sz w:val="20"/>
          <w:szCs w:val="20"/>
          <w:lang w:val="fr-FR"/>
        </w:rPr>
        <w:t xml:space="preserve"> par l’utilisation de la méthode de la théorisation ancrée</w:t>
      </w:r>
      <w:r>
        <w:fldChar w:fldCharType="begin"/>
      </w:r>
      <w:r>
        <w:rPr>
          <w:sz w:val="20"/>
          <w:szCs w:val="20"/>
          <w:rFonts w:cs="Times New Roman" w:ascii="Minion Pro" w:hAnsi="Minion Pro"/>
          <w:lang w:val="fr-FR"/>
        </w:rPr>
        <w:instrText>ADDIN ZOTERO_ITEM CSL_CITATION {"citationID":"uDj2Lwrx","properties":{"formattedCitation":"(10)","plainCitation":"(10)","noteIndex":0},"citationItems":[{"id":680,"uris":["http://zotero.org/users/local/p5c4wIc0/items/2T7EKDHL"],"itemData":{"id":680,"type":"article-journal","container-title":"Sociology the journal of the British sociological association","issue":"1","language":"Anglais","page":"27-49","title":"Grounded Theory. The discovery of grounded theory.","volume":"12","author":[{"family":"Glaser","given":"Barney G"},{"family":"Strauss","given":"Anselm"}],"issued":{"date-parts":[["1967"]]}}}],"schema":"https://github.com/citation-style-language/schema/raw/master/csl-citation.json"}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[10]</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Si nous soulignons ce terme (« conditionnée »), c’est qu’il renvoie à la discussion entamée entre le médecin et les psychologues, psychanalystes, au début du projet, sur les conditions de </w:t>
      </w:r>
      <w:r>
        <w:rPr>
          <w:rFonts w:cs="Times New Roman" w:ascii="Minion Pro" w:hAnsi="Minion Pro"/>
          <w:i/>
          <w:iCs/>
          <w:sz w:val="20"/>
          <w:szCs w:val="20"/>
          <w:lang w:val="fr-FR"/>
        </w:rPr>
        <w:t>faisabilité</w:t>
      </w:r>
      <w:r>
        <w:rPr>
          <w:rFonts w:cs="Times New Roman" w:ascii="Minion Pro" w:hAnsi="Minion Pro"/>
          <w:sz w:val="20"/>
          <w:szCs w:val="20"/>
          <w:lang w:val="fr-FR"/>
        </w:rPr>
        <w:t xml:space="preserve"> de cette recherche. De fait, il faut ici entendre à quel point ce terme de « faisabilité » peut poser question et faire débat entre médecins et psychologues. Car, la « faisabilité » de la recherche renvoie immédiatement à la question de la pertinence scientifique, et donc au résultat, à ce qu’on considère comme « faisant résultat » à l’intérieur de communautés scientifiques structurées autour de valeurs différentes, et via des modalités de production du savoir scientifique également très différentes</w:t>
      </w:r>
      <w:r>
        <w:fldChar w:fldCharType="begin"/>
      </w:r>
      <w:r>
        <w:rPr>
          <w:sz w:val="20"/>
          <w:szCs w:val="20"/>
          <w:rFonts w:cs="Times New Roman" w:ascii="Minion Pro" w:hAnsi="Minion Pro"/>
          <w:lang w:val="fr-FR"/>
        </w:rPr>
        <w:instrText>ADDIN ZOTERO_ITEM CSL_CITATION {"citationID":"oXTRYksz","properties":{"formattedCitation":"(11)","plainCitation":"(11)","noteIndex":0},"citationItems":[{"id":676,"uris":["http://zotero.org/users/local/p5c4wIc0/items/GWBM433F"],"itemData":{"id":676,"type":"chapter","container-title":"Vie psychique à l'hôpital. Modèles de recherche et pratiques cliniques","edition":"Doin","language":"Français","page":"37-52","title":"Qu'est-ce qu'un résultat dans une recherche interdisciplinaire?","author":[{"family":"Ricadat","given":"Élise"}],"issued":{"date-parts":[["2023"]]}}}],"schema":"https://github.com/citation-style-language/schema/raw/master/csl-citation.json"}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[11]</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Dans le cadre de cette recherche, c’est le choix de la méthode par théorisation ancrée (TA) dont on pourrait dire qu’elle a fait « tiers » entre le médecin et les psychologues d’orientation psychanalytique. Cette méthodologie, issue de la sociologie interactionniste, repose sur un cadre inductif, c’est-à-dire qu’à l’inverse d’un procédé hypothético-déductif, les chercheurs ne démarrent pas la recherche à partir d’une hypothèse que les résultats valideront ou non mais d’une question de recherche. Cette question de recherche est vouée à se préciser via un processus d’analyse itératif, ce qui signifie qu’il progresse au fur et à mesure du recueil des données : le recueil et l’analyse des données ne correspondent donc pas à deux phases bien distinctes de la recherche et s’opèrent au contraire de façon conjointe ; cela dans le but de garantir le développement d’un questionnement résolument en lien avec l’objet étudié, </w:t>
      </w:r>
      <w:r>
        <w:rPr>
          <w:rFonts w:cs="Times New Roman" w:ascii="Minion Pro" w:hAnsi="Minion Pro"/>
          <w:i/>
          <w:iCs/>
          <w:sz w:val="20"/>
          <w:szCs w:val="20"/>
          <w:lang w:val="fr-FR"/>
        </w:rPr>
        <w:t>ancré</w:t>
      </w:r>
      <w:r>
        <w:rPr>
          <w:rFonts w:cs="Times New Roman" w:ascii="Minion Pro" w:hAnsi="Minion Pro"/>
          <w:sz w:val="20"/>
          <w:szCs w:val="20"/>
          <w:lang w:val="fr-FR"/>
        </w:rPr>
        <w:t xml:space="preserve"> dans le terrain de recherche </w:t>
      </w:r>
      <w:r>
        <w:fldChar w:fldCharType="begin"/>
      </w:r>
      <w:r>
        <w:rPr>
          <w:sz w:val="20"/>
          <w:szCs w:val="20"/>
          <w:rFonts w:cs="Times New Roman" w:ascii="Minion Pro" w:hAnsi="Minion Pro"/>
          <w:lang w:val="fr-FR"/>
        </w:rPr>
        <w:instrText>ADDIN ZOTERO_ITEM CSL_CITATION {"citationID":"jZb078Pr","properties":{"formattedCitation":"(12)","plainCitation":"(12)","noteIndex":0},"citationItems":[{"id":582,"uris":["http://zotero.org/users/local/p5c4wIc0/items/QSXTVJCD"],"itemData":{"id":582,"type":"article-journal","abstract":"This article details the stages of grounded theory analysis, a method of qualitative data analysis and an adaption-transformation of the grounded theory approach. This method allows for the gradual theorization of an empirical phenomenon through its codification, categorization, co-linkage, integration, modelling, and theorization. The discussion is illustrated by examples taken from the author's own research.","container-title":"Cahiers de recherche sociologique","DOI":"10.7202/1002253ar","ISSN":"0831-1048, 1923-5771","issue":"23","journalAbbreviation":"crs","language":"fr","note":"publisher: Département de sociologie - Université du Québec à Montréal","page":"147-181","source":"www.erudit.org","title":"L’analyse par théorisation ancrée","author":[{"family":"Paillé","given":"Pierre"}],"issued":{"date-parts":[["1994"]]}}}],"schema":"https://github.com/citation-style-language/schema/raw/master/csl-citation.json"}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[12]</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méthodologie, considérée comme robuste du point de vue de la validité du processus de construction des connaissances, a convaincu le médecin. La dimension par ailleurs princeps et exploratoire de ce projet – de même que la nécessité soulignée dans la littérature consacrée aux AJA d’inclure des modalités de recherches qualitatives dans l’étude des aspects psychosociaux liés au cancer – a sans doute facilité la discussion. Du côté des psychologues de formation psychanalytique, le caractère inductif de la recherche, s’apparentant à une démarche clinique – partir du terrain pour formuler des hypothèses, plutôt que l’inverse – faisait sens. De même, le procédé itératif, exigeant des allers-retours constants entre recueil et analyse des données permet au chercheur de s’inscrire dans une temporalité propice à l’élaboration et au déploiement d’une analyse fine de l’objet étudié </w:t>
      </w:r>
      <w:r>
        <w:fldChar w:fldCharType="begin"/>
      </w:r>
      <w:r>
        <w:rPr>
          <w:sz w:val="20"/>
          <w:szCs w:val="20"/>
          <w:rFonts w:cs="Times New Roman" w:ascii="Minion Pro" w:hAnsi="Minion Pro"/>
          <w:lang w:val="fr-FR"/>
        </w:rPr>
        <w:instrText>ADDIN ZOTERO_ITEM CSL_CITATION {"citationID":"akDRgzRa","properties":{"formattedCitation":"(13)","plainCitation":"(13)","noteIndex":0},"citationItems":[{"id":306,"uris":["http://zotero.org/users/local/p5c4wIc0/items/TB898E6R"],"itemData":{"id":306,"type":"article-journal","abstract":"Résumé\nContexte\nComment mener une recherche au plus près de la démarche psychanalytique, qui procède par étude de cas, et répondre dans le même temps aux exigences actuelles de validation scientifique et de publication en psychologie clinique ? Et ce, d’autant plus si le projet s’inscrit dans un contexte interdisciplinaire, visant à faire dialoguer la psychanalyse (qui privilégie le qualitatif), avec des référentiels épistémologiques aux modalités de production scientifique forts différents tels que, par exemple, la médecine quantitativiste et hypothético-déductive. Bien que la psychanalyse ait été pensée dès ses origines dans sa double valence de théorie de la psyché humaine et de méthode thérapeutique cherchant à valider ses fondements – hypothèse de l’inconscient, analyse et interprétation du transfert sur l’analyste –, ses critères de validation endogènes demeurent insuffisants, du point de vue de la recherche en sciences humaines et sociales où prend place le psychologue-chercheur. À supposer qu’une traduction des résultats soit possible, celle-ci ne dédouane pas de la nécessité d’user d’une méthodologie garantissant des résultats objectivables, au regard des normes admises par la communauté scientifique. Ces réflexions furent liminaires à la conduite d’une étude visant à mieux comprendre les effets psychiques d’avoir eu un cancer à l’adolescence et à l’entrée dans l’âge adulte, sur la vie amoureuse et sexuelle. Inscrite dès sa conception dans une double culture (celle du soin médical, et celle de la psychologie clinique d’orientation analytique), cette étude nous a conduit à utiliser la méthodologie qualitative de la théorisation ancrée (TA).\nObjectifs\nNotre propos vise à montrer que l’utilisation de la TA garantit une rigueur scientifique sans céder sur l’essentiel des exigences de la pensée et de la méthode psychanalytique – appliquée, dans ce contexte, à la récolte, à l’analyse des données et à la forme même des résultats.\nMéthode\nBien qu’originellement extérieure à la psychanalyse, nous montrerons que nombre des fondements de la TA se rapprochent des modalités de la technique analytique. Ses dimensions inductives et itératives ou encore la nécessaire suspension du savoir théorique du chercheur offrent des points de contact particulièrement congruents, que nous illustrerons par des exemples précis issus de notre étude.\nRésultats\nLes propriétés inductives et réflexives de la TA favorisent une logique de co-construction des résultats du chercheur avec les participants, qui permet d’approcher en profondeur la complexité de l’objet étudié. De plus, sa dimension itérative articule échelle individuelle et populationnelle, respectant ainsi à la fois la subjectivité psychodynamique des sujets de l’étude et les conditions de validité d’une démarche scientifique utilisée plus généralement en SHS. En ce sens, elle se rapprocherait, d’une part, du processus analytique (puisque leur interaction durant la recherche fait déjà résultat) et, d’autre part, des visées de la recherche translationnelle, en faveur du transfert immédiat des connaissances scientifiques aux acteurs de terrain.\nConclusions\nLa TA offre au psychologue-chercheur d’orientation psychanalytique un outil méthodologique particulièrement pertinent pour satisfaire à de nombreuses conditions de validation par d’autres communautés scientifiques, tout en respectant son référentiel épistémologique et clinique. Elle est par conséquent un opérateur méthodologique précieux pour des recherches interdisciplinaires en psychologie d’orientation analytique.\nBackground\nHow can research remain as faithful as possible to the psychoanalytical approach, which proceeds by case study, and at the same time meet the current requirements for scientific validation and publication in clinical psychology? Especially if the project is part of an interdisciplinary context, aiming to bring psychoanalysis – which promotes qualitative analysis – into dialogue with epistemological frameworks that use very different methods such as, for example, quantitative and hypothetical-deductive medicine. Although psychoanalysis was conceived, from its origins, as both a theory of the human psyche and as a therapeutic method seeking to validate its foundations – the hypothesis of the unconscious, analysis and interpretation of the transference on the analyst –, its endogenous validation criteria remain insufficient, from the point of view of research in the human and social sciences where the psychologist-researcher situates her/himself. Even if a translation of the results is possible, a methodology that guarantees objective results accepted by a larger scientific community is required. Our study, wishing to better understand the psychological effects of cancer in adolescence and early adulthood on romantic life and sexuality, had to consider these epistemological concerns. Conceived from its origin in a dual culture – that of medical care and clinical psychology with an analytical orientation –, it led us to use the qualitative methodology of Grounded theory (GT). Our paper aims to show that the use of GT ensures scientific rigor while maintaining the essentials of the psychoanalytical method and process – applied, in this context, to the collection and analysis of data, and to the way of producing results.\nMethodology\nAlthough they come from sociology, we will show that many of the core operators of GT are very close to psychoanalytical ones. For example, inductive and iterative dimensions or the necessary a-theoretical approach of the researcher offer particularly congruent points of contact with the psychoanalytical process, which we will illustrate with concrete examples from our study.\nResults\nThe inductive, reflexive, and iterative properties of GT are very close to the central operators of the psychoanalytical process while respecting an accepted scientific approach in the social sciences. Promoting co-constructive results and articulating individual and populational scales, they respect both the psychodynamic subjectivity of the participants and the conditions for targeting a scientific approach more generally used in the social sciences. Moreover, using GT in psychoanalytical research fosters translational research and an immediate transfer of scientific knowledge to participants in the field. This is another point of similarity with the psychoanalytical method in which the process itself can be considered as a result.\nConclusion\nGT offers the psychologist-researcher with a psychoanalytical orientation a particularly relevant methodological tool to satisfy many validation conditions of other scientific communities, while respecting his or her epistemological and clinical reference. It is therefore a valuable methodological operator for interdisciplinary research in psychoanalytical psychology.","container-title":"In Analysis","DOI":"10.1016/j.inan.2020.01.007","ISSN":"2542-3606","issue":"1","journalAbbreviation":"In Analysis","language":"fr","page":"54-60","source":"ScienceDirect","title":"Recherche qualitative en psychanalyse : l’étude du cas de la théorisation ancrée","title-short":"Recherche qualitative en psychanalyse","volume":"4","author":[{"family":"Ricadat","given":"E."}],"issued":{"date-parts":[["2020"]]}}}],"schema":"https://github.com/citation-style-language/schema/raw/master/csl-citation.json"}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[13]</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De façon tout à fait intéressante, si la méthode de la théorisation ancrée a de prime abord constitué une forme de « commun » sur lequel les psychologues d’orientation psychanalytique et le médecin ont pu s’entendre, ce n’est pas au sens d’une mise en lien ou d’un rapprochement entre les paradigmes psychanalytique et biomédical ; cette entente « commune » résultant au contraire d’une opération première de décentrement vis-à-vis des repères épistémologiques et méthodologiques propres aux acteurs engagés dans la recherche. Ainsi, cet « en commun », permis par l’emploi de cette méthodologie, relèverait plutôt ici d’une entente et de la construction d’un cadre de confiance réciproque autour de la manière de construire les résultats de la recherche ; donc, de leur validité. En ce sens, et du fait de ses caractéristiques structurelles particulières, cette méthodologie a pu constituer l’opérateur structurel d’un dialogue possible entre le médecin et les psychologues d’orientation psychanalytique. Toutefois, c’est en permettant l’opérationnalisation de ce dialogue interdisciplinaire sur le terrain de la recherche que l’emploi de cette méthodologie s’est constitué comme un « commun » ; un lieu de l’interdisciplinarité. </w:t>
      </w:r>
    </w:p>
    <w:p>
      <w:pPr>
        <w:pStyle w:val="Heading2"/>
        <w:rPr>
          <w:rFonts w:ascii="Minion Pro" w:hAnsi="Minion Pro"/>
          <w:sz w:val="20"/>
          <w:szCs w:val="20"/>
          <w:lang w:val="fr-FR"/>
        </w:rPr>
      </w:pPr>
      <w:bookmarkStart w:id="2" w:name="_Hlk1557363851"/>
      <w:bookmarkStart w:id="3" w:name="_Hlk155736497"/>
      <w:bookmarkEnd w:id="2"/>
      <w:bookmarkEnd w:id="3"/>
      <w:r>
        <w:rPr>
          <w:rFonts w:ascii="Minion Pro" w:hAnsi="Minion Pro"/>
          <w:sz w:val="20"/>
          <w:szCs w:val="20"/>
          <w:lang w:val="fr-FR"/>
        </w:rPr>
        <w:t>Constitution d’un « commun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bookmarkStart w:id="4" w:name="_Hlk155736542"/>
      <w:bookmarkStart w:id="5" w:name="_Hlk1557364971"/>
      <w:bookmarkStart w:id="6" w:name="_Hlk155736542"/>
      <w:bookmarkStart w:id="7" w:name="_Hlk1557364971"/>
      <w:bookmarkEnd w:id="6"/>
      <w:bookmarkEnd w:id="7"/>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Si l’usage de la théorisation ancrée a ainsi d’abord été pensé comme un moyen et comme une condition possible de travail « avec » le médecin, elle a dans le même temps constitué – notamment dans et par le procédé itératif qui la caractérise – le vecteur d’une rencontre forte, entre soignants et chercheurs.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Ainsi, à la dimension qualitative de l’enquête, sous-tendue par la passation d’entretiens individuels de recherche avec les soignants, s’est ajouté un dispositif de recherche-action – </w:t>
      </w:r>
      <w:r>
        <w:rPr>
          <w:rFonts w:cs="Times New Roman" w:ascii="Minion Pro" w:hAnsi="Minion Pro"/>
          <w:i/>
          <w:iCs/>
          <w:sz w:val="20"/>
          <w:szCs w:val="20"/>
          <w:lang w:val="fr-FR"/>
        </w:rPr>
        <w:t>non prévu au départ</w:t>
      </w:r>
      <w:r>
        <w:rPr>
          <w:rFonts w:cs="Times New Roman" w:ascii="Minion Pro" w:hAnsi="Minion Pro"/>
          <w:sz w:val="20"/>
          <w:szCs w:val="20"/>
          <w:lang w:val="fr-FR"/>
        </w:rPr>
        <w:t xml:space="preserve"> – étayé par une demande d’approfondissement du questionnement formulée </w:t>
      </w:r>
      <w:r>
        <w:rPr>
          <w:rFonts w:cs="Times New Roman" w:ascii="Minion Pro" w:hAnsi="Minion Pro"/>
          <w:i/>
          <w:iCs/>
          <w:sz w:val="20"/>
          <w:szCs w:val="20"/>
          <w:lang w:val="fr-FR"/>
        </w:rPr>
        <w:t>par les soignants </w:t>
      </w:r>
      <w:r>
        <w:rPr>
          <w:rFonts w:cs="Times New Roman" w:ascii="Minion Pro" w:hAnsi="Minion Pro"/>
          <w:sz w:val="20"/>
          <w:szCs w:val="20"/>
          <w:lang w:val="fr-FR"/>
        </w:rPr>
        <w:t xml:space="preserve">; laquelle a donné lieu à l’organisation de restitutions collectives, puis à la mise en place de focus groupes thématiques avec les soignants </w:t>
      </w:r>
      <w:r>
        <w:fldChar w:fldCharType="begin"/>
      </w:r>
      <w:r>
        <w:rPr>
          <w:sz w:val="20"/>
          <w:szCs w:val="20"/>
          <w:rFonts w:cs="Times New Roman" w:ascii="Minion Pro" w:hAnsi="Minion Pro"/>
          <w:lang w:val="fr-FR"/>
        </w:rPr>
        <w:instrText>ADDIN ZOTERO_ITEM CSL_CITATION {"citationID":"edRftVnB","properties":{"formattedCitation":"(14)","plainCitation":"(14)","noteIndex":0},"citationItems":[{"id":585,"uris":["http://zotero.org/users/local/p5c4wIc0/items/7K6Z5NA7"],"itemData":{"id":585,"type":"article-journal","abstract":"Comment améliorer la communication entre soignants et chercheurs, qui plus est, lorsqu’ils ne sont pas issus des mêmes champs disciplinaires ? Une étude menée auprès des soignants d’une unité d’hématologie pour adolescents et jeunes adultes par des chercheurs en psychologie clinique montre la pertinence d’avoir recours à un processus de recherche-action utilisant l’approche qualitative et inductive de la théorisation ancrée pour discuter la traditionnelle difficulté du transfert de la connaissance scientifique.","container-title":"Psycho-Oncologie","DOI":"10.3166/pson-2018-0022","ISSN":"1778-3798, 1778-381X","issue":"1","journalAbbreviation":"Psycho-Oncol.","language":"fr","license":"© Lavoisier SAS 2018","note":"number: 1\npublisher: Lavoisier","page":"34-37","source":"pson.revuesonline.com","title":"Entre soignants et chercheurs, quelle communication ? - Exemple d’une recherche-action menée dans un service d’hématologie pour adolescents et jeunes adultes","title-short":"Entre soignants et chercheurs, quelle communication ?","volume":"12","author":[{"family":"Ricadat","given":"E."},{"family":"Schwering","given":"K.-L."},{"family":"Aujoulat","given":"I."},{"family":"Boissel","given":"N."}],"issued":{"date-parts":[["2018"]]}}}],"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ascii="Minion Pro" w:hAnsi="Minion Pro"/>
          <w:sz w:val="20"/>
          <w:lang w:val="fr-FR"/>
        </w:rPr>
        <w:t>[14]</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Ainsi, c’est à travers la formulation par les soignants d’une demande de « travail avec » que s’est opérationnalisé, sur le terrain de la recherche, le dialogue interdisciplinaire – se faisant – entre le médecin et les psychologues. L’ajout par les psychologues-chercheurs d’un dispositif de recherche-action constitue en ce sens un résultat interdisciplinaire ; en tant qu’il procède du dialogue interdisciplinaire entre le médecin et les psychologues (lequel s’articule structurellement autour de l’emprunt et de l’emploi de la méthode de la théorisation ancrée), médié et opérationnalisé sur le terrain de la recherche par une demande de « travail avec » formulée par les soignants aux chercheurs. Du reste, on retrouve dans ce résultat « émergent » le lien souvent dégagé dans la littérature entre interdisciplinarité et « inattendu » de la recherche : le résultat interdisciplinaire advient dans une forme de nouveauté ; il procède du surgissement, de la découverte, de ce qui n’était pas là ou demeurait insaisissable en dehors d’un paradigme interdisciplinaire de recherche. </w:t>
      </w:r>
      <w:r>
        <w:fldChar w:fldCharType="begin"/>
      </w:r>
      <w:r>
        <w:rPr>
          <w:sz w:val="20"/>
          <w:szCs w:val="20"/>
          <w:rFonts w:cs="Times New Roman" w:ascii="Minion Pro" w:hAnsi="Minion Pro"/>
          <w:lang w:val="fr-FR"/>
        </w:rPr>
        <w:instrText>ADDIN ZOTERO_ITEM CSL_CITATION {"citationID":"8UwHMGoP","properties":{"formattedCitation":"(15\\uc0\\u8211{}17)","plainCitation":"(15–17)","noteIndex":0},"citationItems":[{"id":590,"uris":["http://zotero.org/users/local/p5c4wIc0/items/YLAQC7LT"],"itemData":{"id":590,"type":"article-journal","abstract":"The specialization of contemporary academia necessitates the adoption of a multidisciplinary approach to study topics that cross multiple disciplines, including the area of medical ethics. However, the nature of multidisciplinary research is limited in some regards, further requiring some researchers to use interdisciplinary and transdisciplinary approaches. The authors present as a case study a research project in bioethics that began as an interdisciplinary study and which, through the research process, moved to being a transdisciplinary study in health ethics. They outline not only this transformation but also the strengths and difficulties of transdisciplinary research in the area of ethics.","container-title":"Qualitative Health Research","DOI":"10.1177/1049732307308514","ISSN":"1049-7323","issue":"4","journalAbbreviation":"Qual Health Res","language":"en","note":"publisher: SAGE Publications Inc","page":"557-564","source":"SAGE Journals","title":"From Interdisciplinary to Transdisciplinary Research: A Case Study","title-short":"From Interdisciplinary to Transdisciplinary Research","volume":"18","author":[{"family":"Austin","given":"Wendy"},{"family":"Park","given":"Caroline"},{"family":"Goble","given":"Erika"}],"issued":{"date-parts":[["2008"]]}}},{"id":679,"uris":["http://zotero.org/users/local/p5c4wIc0/items/FZUDV2KW"],"itemData":{"id":679,"type":"article-journal","container-title":"Revue des Questions Scientifiques","issue":"3","page":"373-404","title":"Définir l'émergence","volume":"181","author":[{"family":"Sartenaer","given":"Olivier"}],"issued":{"date-parts":[["2010"]]}}},{"id":592,"uris":["http://zotero.org/users/local/p5c4wIc0/items/UXUY4A4H"],"itemData":{"id":592,"type":"article-journal","abstract":"A non-standard epistemology, relatively autonomous of the disciplines and of the present, is necessary to characterize a new logic of interdisciplinarity. This will show how the crisis of representation in science, contemporary changes in scientific object, heterogeneity and incompatibility of models (another narrative of the future in the sciences), leads us to practice an “interdiscipline” that cannot be characterized as a combination of different disciplinary knowledges. We will show how, within this heterogeneity, building “sites of interdiscipline” allows for new relations between the disciplines, including democratic relations between disciplines. This implies a translation or derivation from disciplines, and a concept of objects as “unknowns” and not represented at a “phenomenological distance”.","container-title":"Nouvelles perspectives en sciences sociales : revue internationale de systémique complexe et d'études relationnelles","DOI":"10.7202/1007084ar","ISSN":"1712-8307, 1918-7475","issue":"1","journalAbbreviation":"npss","language":"fr","note":"publisher: Prise de parole","page":"105-136","source":"www.erudit.org","title":"Une nouvelle logique de l’interdisciplinarité","volume":"7","author":[{"family":"Schmid","given":"Anne-Françoise"},{"family":"Mambrini-Doudet","given":"Muriel"},{"family":"Hatchuel","given":"Armand"}],"issued":{"date-parts":[["2011"]]}}}],"schema":"https://github.com/citation-style-language/schema/raw/master/csl-citation.json"}</w:instrText>
      </w:r>
      <w:r>
        <w:rPr>
          <w:rFonts w:cs="Times New Roman" w:ascii="Minion Pro" w:hAnsi="Minion Pro"/>
          <w:sz w:val="20"/>
          <w:szCs w:val="20"/>
          <w:lang w:val="fr-FR"/>
        </w:rPr>
      </w:r>
      <w:r>
        <w:rPr>
          <w:sz w:val="20"/>
          <w:szCs w:val="20"/>
          <w:rFonts w:cs="Times New Roman" w:ascii="Minion Pro" w:hAnsi="Minion Pro"/>
          <w:lang w:val="fr-FR"/>
        </w:rPr>
        <w:fldChar w:fldCharType="separate"/>
      </w:r>
      <w:r>
        <w:rPr>
          <w:rFonts w:cs="Times New Roman" w:ascii="Minion Pro" w:hAnsi="Minion Pro"/>
          <w:sz w:val="20"/>
          <w:szCs w:val="20"/>
          <w:lang w:val="fr-FR"/>
        </w:rPr>
      </w:r>
      <w:r>
        <w:rPr>
          <w:rFonts w:cs="Times New Roman" w:ascii="Minion Pro" w:hAnsi="Minion Pro"/>
          <w:sz w:val="20"/>
          <w:szCs w:val="24"/>
          <w:lang w:val="fr-FR"/>
        </w:rPr>
        <w:t>[15–17]</w:t>
      </w:r>
      <w:r>
        <w:rPr>
          <w:rFonts w:cs="Times New Roman" w:ascii="Minion Pro" w:hAnsi="Minion Pro"/>
          <w:sz w:val="20"/>
          <w:szCs w:val="20"/>
          <w:lang w:val="fr-FR"/>
        </w:rPr>
      </w:r>
      <w:r>
        <w:rPr>
          <w:sz w:val="20"/>
          <w:szCs w:val="20"/>
          <w:rFonts w:cs="Times New Roman" w:ascii="Minion Pro" w:hAnsi="Minion Pro"/>
          <w:lang w:val="fr-FR"/>
        </w:rPr>
        <w:fldChar w:fldCharType="end"/>
      </w:r>
      <w:r>
        <w:rPr>
          <w:rFonts w:cs="Times New Roman" w:ascii="Minion Pro" w:hAnsi="Minion Pro"/>
          <w:sz w:val="20"/>
          <w:szCs w:val="20"/>
          <w:lang w:val="fr-FR"/>
        </w:rPr>
        <w:t xml:space="preserv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 résultat interdisciplinaire fait alors advenir la méthode de la théorisation ancrée comme « commun », c’est-à-dire, comme un lieu de l’interdisciplinarité : un lieu qui contient la possibilité de la nouveauté, de l’inattendu, qui trouverait à s’actualiser et à s’opérationnaliser dans la formulation d’une demande de « travail avec », sur le terrain de la recherche. Toutefois, nous allons voir que ces communs sont toujours à renégocier, y compris dans le cadre d’un dialogue interdisciplinaire qui a par le passé trouvé des voies d’opérationnalisation sur le terrain de la recherche. </w:t>
      </w:r>
    </w:p>
    <w:p>
      <w:pPr>
        <w:pStyle w:val="Heading1"/>
        <w:numPr>
          <w:ilvl w:val="0"/>
          <w:numId w:val="0"/>
        </w:numPr>
        <w:ind w:left="360" w:hanging="0"/>
        <w:rPr>
          <w:rFonts w:ascii="Minion Pro" w:hAnsi="Minion Pro"/>
          <w:sz w:val="20"/>
          <w:szCs w:val="20"/>
        </w:rPr>
      </w:pPr>
      <w:bookmarkStart w:id="8" w:name="_Hlk1557365421"/>
      <w:bookmarkStart w:id="9" w:name="_Hlk155736585"/>
      <w:bookmarkEnd w:id="8"/>
      <w:bookmarkEnd w:id="9"/>
      <w:r>
        <w:rPr>
          <w:rFonts w:ascii="Minion Pro" w:hAnsi="Minion Pro"/>
          <w:sz w:val="20"/>
          <w:szCs w:val="20"/>
        </w:rPr>
        <w:t>Enjeux et questions posés par l’implémentation d’une nouvelle recherche sur un même terrain dans un contexte d’institutionnalisation de la collaboration interdisciplinaire</w:t>
      </w:r>
    </w:p>
    <w:p>
      <w:pPr>
        <w:pStyle w:val="Normal"/>
        <w:spacing w:lineRule="auto" w:line="360"/>
        <w:jc w:val="both"/>
        <w:rPr>
          <w:rFonts w:ascii="Minion Pro" w:hAnsi="Minion Pro" w:cs="Times New Roman"/>
          <w:sz w:val="20"/>
          <w:szCs w:val="20"/>
          <w:lang w:val="fr-FR"/>
        </w:rPr>
      </w:pPr>
      <w:bookmarkStart w:id="10" w:name="_Hlk1557365851"/>
      <w:bookmarkStart w:id="11" w:name="_Hlk155736615"/>
      <w:bookmarkEnd w:id="10"/>
      <w:bookmarkEnd w:id="11"/>
      <w:r>
        <w:rPr>
          <w:rFonts w:cs="Times New Roman" w:ascii="Minion Pro" w:hAnsi="Minion Pro"/>
          <w:sz w:val="20"/>
          <w:szCs w:val="20"/>
          <w:lang w:val="fr-FR"/>
        </w:rPr>
        <w:t xml:space="preserve">Notre recherche doctorale en psychologie clinique s’inscrit dans la continuité directe de cette première recherche, puisqu’il s’agissait de </w:t>
      </w:r>
      <w:r>
        <w:rPr>
          <w:rFonts w:cs="Times New Roman" w:ascii="Minion Pro" w:hAnsi="Minion Pro"/>
          <w:i/>
          <w:iCs/>
          <w:sz w:val="20"/>
          <w:szCs w:val="20"/>
          <w:lang w:val="fr-FR"/>
        </w:rPr>
        <w:t>reprendre</w:t>
      </w:r>
      <w:r>
        <w:rPr>
          <w:rFonts w:cs="Times New Roman" w:ascii="Minion Pro" w:hAnsi="Minion Pro"/>
          <w:sz w:val="20"/>
          <w:szCs w:val="20"/>
          <w:lang w:val="fr-FR"/>
        </w:rPr>
        <w:t xml:space="preserve"> au prisme d’une nouvelle thématique l’axe de recherche « soignant », depuis la fin de la première enquête, quatre ans auparavant. Démarrée en septembre 2018, cette nouvelle recherche porte sur la manière dont les pratiques de soin sont affectées par la nécessité perçue par les soignants, de prendre en charge le patient adolescent ou jeune adulte (AJA) atteint d’un cancer dans un cadre relationnel de soin élargi à la relation AJA-parents.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Or, c’est bien cette question de la continuité et de la reprise de cet axe de recherche « soignant » qui s’est posée à nous au moment de l’implémentation d’un nouveau dispositif de recherche dans cette unité. Car, dans un contexte d’institutionnalisation de la collaboration interdisciplinaire entre médecins et psychologues, étayée par un dispositif de terrain « ayant fait résultat » par le passé, c’est la question de la transmission de ce commun qui se pose à l’équipe de recherche clinique. Ce faisant, se pose également la question de l’appropriation subjective de ce commun par la chercheuse en charge de reprendre la recherche sur ce même terrain.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En nous appuyant sur quelques éléments tirés de notre propre dispositif méthodologique de recherche, nous allons ainsi tenter d’éclairer et de retracer certaines étapes de renégociation du dialogue interdisciplinaire autour de ces modalités de transmission et d’appropriation du « commun ». </w:t>
      </w:r>
    </w:p>
    <w:p>
      <w:pPr>
        <w:pStyle w:val="Heading2"/>
        <w:rPr>
          <w:rFonts w:ascii="Minion Pro" w:hAnsi="Minion Pro"/>
          <w:sz w:val="20"/>
          <w:szCs w:val="20"/>
          <w:lang w:val="fr-FR"/>
        </w:rPr>
      </w:pPr>
      <w:bookmarkStart w:id="12" w:name="_Hlk155736657"/>
      <w:bookmarkStart w:id="13" w:name="_Hlk1557366151"/>
      <w:bookmarkEnd w:id="12"/>
      <w:bookmarkEnd w:id="13"/>
      <w:r>
        <w:rPr>
          <w:rFonts w:ascii="Minion Pro" w:hAnsi="Minion Pro"/>
          <w:sz w:val="20"/>
          <w:szCs w:val="20"/>
          <w:lang w:val="fr-FR"/>
        </w:rPr>
        <w:t>Transmettre le commun : la tentation du même</w:t>
      </w:r>
    </w:p>
    <w:p>
      <w:pPr>
        <w:pStyle w:val="Normal"/>
        <w:spacing w:lineRule="auto" w:line="276"/>
        <w:jc w:val="both"/>
        <w:rPr>
          <w:rFonts w:ascii="Minion Pro" w:hAnsi="Minion Pro" w:cs="Times New Roman"/>
          <w:sz w:val="20"/>
          <w:szCs w:val="20"/>
          <w:lang w:val="fr-FR"/>
        </w:rPr>
      </w:pPr>
      <w:r>
        <w:rPr>
          <w:rFonts w:cs="Times New Roman" w:ascii="Minion Pro" w:hAnsi="Minion Pro"/>
          <w:sz w:val="20"/>
          <w:szCs w:val="20"/>
          <w:lang w:val="fr-FR"/>
        </w:rPr>
      </w:r>
      <w:bookmarkStart w:id="14" w:name="_Hlk1557366571"/>
      <w:bookmarkStart w:id="15" w:name="_Hlk155736674"/>
      <w:bookmarkStart w:id="16" w:name="_Hlk1557366571"/>
      <w:bookmarkStart w:id="17" w:name="_Hlk155736674"/>
      <w:bookmarkEnd w:id="16"/>
      <w:bookmarkEnd w:id="17"/>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A travers les discussions de l’équipe de recherche clinique autour de la mise en place de ce nouveau dispositif de recherche, c’est d’abord la représentation d’un terrain « fertile », « déjà-donné » et « déjà-là » qui est apparue au premier plan. Cela s’est notamment traduit à travers certaines questions qui nous ont été posées en réunion de l’équipe de recherche clinique, quant au choix des modalités de recueil des données pour cette nouvelle recherche : « Pourquoi ne pas repartir directement des focus groupes ? » ou encore « Puisque tant d’éléments de la première recherche n’ont pas été exploités, pourquoi ne pas repartir des entretiens individuels issus de la première recherche ? » Dans ce contexte de reprise d’une recherche, c’est donc d’abord la tentation du « même » qui se manifeste au sein de l’équipe ; la tentation de s’appuyer sur ce qui a déjà marché, déjà « fait ses preuves » auparavant. D’une certaine façon, c’est aussi la dynamique de « reproductibilité », chère au paradigme hypothético-déductif et à la méthode expérimentale qui traverse la discussion collective, et dont nous trouvons une illustration dans cette formule prononcée – non sans humour – par le médecin, lorsqu’il nous adresse que « nous, les psys, avons tendance à tout vouloir réinventer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La discussion collective autour des modalités de reprise de la recherche sur le terrain se cristallise ainsi autour des résultats et des « acquis » de cette première recherche, dont le terrain – considéré comme « fertile », « déjà-donné » - serait l’une des traductions. En ce sens, la </w:t>
      </w:r>
      <w:r>
        <w:rPr>
          <w:rFonts w:cs="Times New Roman" w:ascii="Minion Pro" w:hAnsi="Minion Pro"/>
          <w:i/>
          <w:iCs/>
          <w:sz w:val="20"/>
          <w:szCs w:val="20"/>
          <w:lang w:val="fr-FR"/>
        </w:rPr>
        <w:t>reprise</w:t>
      </w:r>
      <w:r>
        <w:rPr>
          <w:rFonts w:cs="Times New Roman" w:ascii="Minion Pro" w:hAnsi="Minion Pro"/>
          <w:sz w:val="20"/>
          <w:szCs w:val="20"/>
          <w:lang w:val="fr-FR"/>
        </w:rPr>
        <w:t xml:space="preserve"> de cet axe de recherche soignant a trouvé une première expression dans le fait de reprendre le dispositif de recherche tel qu’il avait « fait ses preuves », dans sa capacité à « faire résultat » sur le terrain de cette première recherche. L’équipe s’est ainsi entendue sur un dispositif de recherche qui comprendrait : une première phase d’entretiens individuels avec les soignants, suivie de restitutions individuelles et collectives, aboutissant à la mise en place de focus groupes thématiques avec les soignants. Toutefois, il semble que cette première traduction collective ait été empreinte d’une forme de confusion, relative à la manière d’appréhender le terrain comme </w:t>
      </w:r>
      <w:r>
        <w:rPr>
          <w:rFonts w:cs="Times New Roman" w:ascii="Minion Pro" w:hAnsi="Minion Pro"/>
          <w:i/>
          <w:iCs/>
          <w:sz w:val="20"/>
          <w:szCs w:val="20"/>
          <w:lang w:val="fr-FR"/>
        </w:rPr>
        <w:t>source</w:t>
      </w:r>
      <w:r>
        <w:rPr>
          <w:rFonts w:cs="Times New Roman" w:ascii="Minion Pro" w:hAnsi="Minion Pro"/>
          <w:sz w:val="20"/>
          <w:szCs w:val="20"/>
          <w:lang w:val="fr-FR"/>
        </w:rPr>
        <w:t xml:space="preserve"> de résultat plutôt que comme </w:t>
      </w:r>
      <w:r>
        <w:rPr>
          <w:rFonts w:cs="Times New Roman" w:ascii="Minion Pro" w:hAnsi="Minion Pro"/>
          <w:i/>
          <w:iCs/>
          <w:sz w:val="20"/>
          <w:szCs w:val="20"/>
          <w:lang w:val="fr-FR"/>
        </w:rPr>
        <w:t>condition</w:t>
      </w:r>
      <w:r>
        <w:rPr>
          <w:rFonts w:cs="Times New Roman" w:ascii="Minion Pro" w:hAnsi="Minion Pro"/>
          <w:sz w:val="20"/>
          <w:szCs w:val="20"/>
          <w:lang w:val="fr-FR"/>
        </w:rPr>
        <w:t xml:space="preserve"> de possibilité et d’opérationnalisation d’un résultat issu de l’interdisciplinarité. Or, c’est précisément cette confusion entre « travail sur » et « travail avec » qui s’est actualisée dans la première phase de notre recherche, dans une forme d’impossibilité à articuler la rencontre entre soignants et chercheurs sur le terrain. </w:t>
      </w:r>
    </w:p>
    <w:p>
      <w:pPr>
        <w:pStyle w:val="Heading2"/>
        <w:rPr>
          <w:rFonts w:ascii="Minion Pro" w:hAnsi="Minion Pro"/>
          <w:sz w:val="20"/>
          <w:szCs w:val="20"/>
          <w:lang w:val="fr-FR"/>
        </w:rPr>
      </w:pPr>
      <w:bookmarkStart w:id="18" w:name="_Hlk1557366741"/>
      <w:bookmarkEnd w:id="18"/>
      <w:r>
        <w:rPr>
          <w:rFonts w:ascii="Minion Pro" w:hAnsi="Minion Pro"/>
          <w:sz w:val="20"/>
          <w:szCs w:val="20"/>
          <w:lang w:val="fr-FR"/>
        </w:rPr>
        <w:t xml:space="preserve">Travail avec ou travail sur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difficulté à articuler la rencontre entre soignants et chercheurs a d’abord pris la forme d’un malentendu entre les soignants et nous-mêmes sur le « pourquoi » de notre présence dans l’unité. Alors que nous parlions de « travailler ensemble », les soignants nous renvoyaient régulièrement à la question de ce « sur quoi » nous travaillions. Quelle était notre problématique, notre question de recherche ? Or, du fait de la démarche inductive et itérative qui guide notre méthodologie de recherche, cette question est restée un long moment imprécise et, d’une certaine manière, insuffisante pour articuler le travail de co-construction de l’objet de recherche avec les soignants.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Insuffisante aussi, car non articulée aux traces laissées par le passage de la précédente recherche dans le service. En effet, si ces traces persistaient à notre arrivée dans le service (un questionnaire porté par une infirmière à propos du rapport des soignants à la sexualité des AJA circulait à notre arrivée, directement en écho avec le travail mené par notre collègue dans l’unité), le renouvellement de l’équipe soignante, avec le départ de nombreuses « anciennes » ayant participé à la création de cette unité ainsi qu’à cette première enquête, avait induit une forme de discontinuité sur ce présupposé « même » terrain. En ce sens, nous faisons l’hypothèse que le caractère de prime abord « non tranché » de la question de recherche a créé une forme de trouble dans le message que nous avons porté autour d’un « travailler avec », dans un contexte interdisciplinaire dans lequel le « terrain » est appréhendé comme déjà-donné et fertile pour une nouvelle recherche. De ce fait, si la dimension inductive permise par l’emploi de la méthode de la théorisation ancrée avait pu soutenir le déploiement d’une demande de « travail avec » formulée par les soignants aux chercheurs dans la précédente recherche, il semble que, sur ce terrain renouvelé, elle ait rendu trouble notre démarche de « travail avec », en la condensant autour d’un questionnement portant sur notre démarche de « travail sur » :  sur </w:t>
      </w:r>
      <w:r>
        <w:rPr>
          <w:rFonts w:cs="Times New Roman" w:ascii="Minion Pro" w:hAnsi="Minion Pro"/>
          <w:i/>
          <w:iCs/>
          <w:sz w:val="20"/>
          <w:szCs w:val="20"/>
          <w:lang w:val="fr-FR"/>
        </w:rPr>
        <w:t>quoi</w:t>
      </w:r>
      <w:r>
        <w:rPr>
          <w:rFonts w:cs="Times New Roman" w:ascii="Minion Pro" w:hAnsi="Minion Pro"/>
          <w:sz w:val="20"/>
          <w:szCs w:val="20"/>
          <w:lang w:val="fr-FR"/>
        </w:rPr>
        <w:t xml:space="preserve">, mais également sur </w:t>
      </w:r>
      <w:r>
        <w:rPr>
          <w:rFonts w:cs="Times New Roman" w:ascii="Minion Pro" w:hAnsi="Minion Pro"/>
          <w:i/>
          <w:iCs/>
          <w:sz w:val="20"/>
          <w:szCs w:val="20"/>
          <w:lang w:val="fr-FR"/>
        </w:rPr>
        <w:t>qui</w:t>
      </w:r>
      <w:r>
        <w:rPr>
          <w:rFonts w:cs="Times New Roman" w:ascii="Minion Pro" w:hAnsi="Minion Pro"/>
          <w:sz w:val="20"/>
          <w:szCs w:val="20"/>
          <w:lang w:val="fr-FR"/>
        </w:rPr>
        <w:t xml:space="preserve"> travaillons-nous ? </w:t>
      </w:r>
    </w:p>
    <w:p>
      <w:pPr>
        <w:pStyle w:val="Heading2"/>
        <w:rPr>
          <w:rFonts w:ascii="Minion Pro" w:hAnsi="Minion Pro"/>
          <w:sz w:val="20"/>
          <w:szCs w:val="20"/>
          <w:lang w:val="fr-FR"/>
        </w:rPr>
      </w:pPr>
      <w:r>
        <w:rPr>
          <w:rFonts w:ascii="Minion Pro" w:hAnsi="Minion Pro"/>
          <w:sz w:val="20"/>
          <w:szCs w:val="20"/>
          <w:lang w:val="fr-FR"/>
        </w:rPr>
        <w:t xml:space="preserve">Confusion et impasses de la rencontre </w:t>
      </w:r>
    </w:p>
    <w:p>
      <w:pPr>
        <w:pStyle w:val="Normal"/>
        <w:rPr>
          <w:rFonts w:ascii="Minion Pro" w:hAnsi="Minion Pro"/>
          <w:sz w:val="20"/>
          <w:szCs w:val="20"/>
          <w:lang w:val="fr-FR"/>
        </w:rPr>
      </w:pPr>
      <w:r>
        <w:rPr>
          <w:rFonts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Cette ambigüité s’est d’abord actualisée pour nous au cours de la phase d’immersion qui a initié notre recherche.  Ce temps d’immersion visait avant tout à nous familiariser avec le terrain, dans une forme plus libre, moins cadrée, que le dispositif de recherche lui-même. Nous l’avons pensé comme un temps d’introduction, un temps de présentation plus informel au fond, de nous-même et de notre projet de recherche dans l’unité. Cependant, notre présence dans ces interstices, dans des moments plus informels, semblait inconfortable pour les soignants : les discussions s’arrêtaient net lorsque nous arrivions en salle de repos et repartaient dès notre départ. Les tentatives d’arriver un peu avant, de rester un peu après les staffs du mardi auxquels nous étions invitée à participer n’étaient pas propice à continuer les échanges. En ce sens, si à travers notre présence nous cherchions à créer du lien avec les soignants, il nous semblait que notre présence ne se situait jamais dans les bons espaces. La question de notre présence sur le terrain et à quels endroits apparaissait problématique : là où nous cherchions assez naïvement à « être là », en vue de soutenir un possible « travail avec » les soignants, ces derniers semblaient être au travail avec la question de notre travail « sur » ; de l’objet de notre recherche. Nous trouvons une illustration de ce « malentendu » lorsqu’à l’occasion d’une immersion au sein de l’équipe de nuit, une infirmière nous demande gentiment ce que nous « voudrions voir » ou qu’elle « nous montre » ; dans un positionnement qui ne serait pas celui d’un interlocuteur mais plutôt celui d’un intermédiaire entre un terrain à observer et nous. Un petit peu comme on nous présenterait le laboratoire sur lequel nous irions travailler et pratiquer nos observations.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Une autre manifestation symptomatique de ce malentendu entre soignants et chercheurs transparaît également selon nous au cours de la phase d’entretiens individuels de recherche. Les entretiens individuels de recherche ont ainsi été proposés à l’ensemble de l’équipe (40 soignants) à la suite de deux réunions de présentation du projet de recherche. Dix membres de l’équipe (3 internes, 1 IDE jour, 3 IDE de nuit, 1 assistante sociale, 1 diététicienne, 1 kinésithérapeute) ont finalement accepté de nous rencontrer ; sur ces dix participants, neuf d’entre eux étaient « sur le départ » en raison d’un changement de projet personnel ou professionnel. Seule une infirmière de nuit, qui avait, du reste, participé à la première recherche, était encore en poste. En ce sens, et de façon assez symptomatique, nous n’avons pu mobiliser que des soignants « sur le départ », comme s’il était impossible de se rencontrer entre soignants et chercheurs, sur ce terrain. Cette impossibilité à se rencontrer s’est d’ailleurs littéralement exprimée sous la forme de rendez-vous manqués : avec certains membres de l’équipe, dans le cadre de ces entretiens individuels (reprogrammations de rendez-vous à plusieurs reprises), mais également avec l’équipe, dans sa dimension collective, au moment de l’organisation des restitutions collectives par exemple (équipe en sous-effectif et non prévenue de notre venue malgré l’organisation de ces restitutions plusieurs semaines auparavant avec la cadre du service).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Ces manifestations « symptomatiques » du malentendu entre soignants et chercheurs nous paraissent ici très intéressantes à relever, car elles font apparaître en filigrane la trame d’un dialogue interdisciplinaire dont on entend, à l’épreuve du terrain, qu’il s’est éventuellement un peu trop figé, dans l’attente d’une reprise. Dans la dernière partie de notre propos, nous allons ainsi essayer de montrer que c’est dans la possibilité pour la chercheuse d’entendre et d’identifier les lieux de la conflictualisation entre soignants et chercheurs qu’a pu se renégocier du commun, articulé par la formulation – par la chercheuse - d’une demande authentique de « travail avec » les soignants. </w:t>
      </w:r>
    </w:p>
    <w:p>
      <w:pPr>
        <w:pStyle w:val="Heading2"/>
        <w:rPr>
          <w:rFonts w:ascii="Minion Pro" w:hAnsi="Minion Pro"/>
          <w:sz w:val="20"/>
          <w:szCs w:val="20"/>
          <w:lang w:val="fr-FR"/>
        </w:rPr>
      </w:pPr>
      <w:r>
        <w:rPr>
          <w:rFonts w:ascii="Minion Pro" w:hAnsi="Minion Pro"/>
          <w:sz w:val="20"/>
          <w:szCs w:val="20"/>
          <w:lang w:val="fr-FR"/>
        </w:rPr>
        <w:t>Les staffs du mardi : le lieu inattendu de la renégociation du commun</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Les staffs du mardi » ont lieu chaque semaine. Ils durent une heure et rassemblent l’équipe de jour au complet, autour de la dimension psychosociale du soin avec les AJA. En ce sens, il n’est pas question de discuter de la situation proprement médicale du patient, mais plutôt de la manière dont les soignants perçoivent les patients, dans la relation avec eux, avec leurs parents, leurs fratries. Le staff constitue un espace relativement « ouvert », en tant qu’il accueille régulièrement d’autres professionnels du soin ou de la santé comme membres invités, à l’occasion par exemple de la présentation d’un projet susceptible d’intéresser l’ensemble de l’équipe. C’est d’abord dans cette perspective que nous avons commencé à participer à ces staffs, comme un lieu dans lequel nous ne resterions pas, qui se limiterait à cette première phase « immersive » de la recherche.</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En ce sens, notre présence dans ces staffs n’était pas « prévue au programme » de notre recherche : dans le sens où ils ne faisaient pas partie de notre dispositif de recherche tel qu’il a été pensé au départ. Toutefois, devant notre difficulté à « être présente » sur le terrain, cet espace apparaissait comme un lieu dans lequel notre présence semblait être relativement tolérée par les soignants ; moins inconfortable. A un moment donné, il nous est même apparu comme le seul lieu dans lequel nous pouvions être et être présente avec les soignants ; et le seul lieu qui nous rattachait à notre terrain de recherche. Dès lors, nous nous y sommes attachée, jusqu’à ce que ce temps du staff constitue finalement un terrain privilégié de notre recherche ; un terrain de collecte de données. Sur une période de deux ans (Janvier 2019—Janvier 2021) entrecoupée par les différents confinements liés à l’épidémie de SARS-COVID, nous y avons mené des observations cliniques, associée à une prise de note pendant le temps du staff, avec un temps de reprise de ces notes dans l’après-coup. Cet espace ne figurant pas à l’origine comme un temps de notre dispositif de recherche, il a nécessité un certain nombre d’ajustements de notre positionnement, notamment vis-à-vis de notre prise de notes. En effet, si la prise de note était absente lors des premières semaines, elle s’est finalement installée progressivement dans ce temps du staff, à mesure que nous investissions cet espace comme un terrain à part entière de notre recherche. Toutefois, cette prise de notes n’a jamais été une évidence et a très vite constitué une source de questionnements. D’une prise de notes un peu éparse, associative, nous nous sommes mise à écrire davantage : des bouts de phrases, des expressions marquantes, certaines réflexions développées par les soignants eux-mêmes, ce que nous percevions de leurs questionnements, nos associations en lien avec notre question de recherche. Mais, ces notes relevaient aussi par moment de l’impression clinique, de ce que nous pouvions repérer, identifier des mouvements d’équipe au sein du staff. Des liens commençaient à se faire, d’une session à l’autre, à mesure de l’évolution de certains patients, dont nous suivions la trajectoire à travers la parole des soignants. Cette prise de note dynamique, à l’intérieur d’un cadre en évolution s’est poursuivie dans une forme de conflictualité, à l’intérieur de laquelle nous nous demandions si les soignants étaient finalement les sujets ou bien les objets de notre recherche. Que prenions-nous en note lorsque nous notions les mouvements d’équipe, avant puis pendant le temps du staff ? A quelle place mettons-nous les soignants lorsque nous prenons en note le contenu de leur discours, ce qu’ils disent de la relation patient-parents-soignants ? Or, il semble que nous retrouvions dans ce mouvement de conflictualisassions de la chercheuse autour de la prise de note, la transposition du malentendu de départ dans la rencontre entre la chercheuse et les soignants, à savoir : travaillons-nous </w:t>
      </w:r>
      <w:r>
        <w:rPr>
          <w:rFonts w:cs="Times New Roman" w:ascii="Minion Pro" w:hAnsi="Minion Pro"/>
          <w:i/>
          <w:iCs/>
          <w:sz w:val="20"/>
          <w:szCs w:val="20"/>
          <w:lang w:val="fr-FR"/>
        </w:rPr>
        <w:t>sur</w:t>
      </w:r>
      <w:r>
        <w:rPr>
          <w:rFonts w:cs="Times New Roman" w:ascii="Minion Pro" w:hAnsi="Minion Pro"/>
          <w:sz w:val="20"/>
          <w:szCs w:val="20"/>
          <w:lang w:val="fr-FR"/>
        </w:rPr>
        <w:t xml:space="preserve"> ou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 Travaillions-nous sur la thématique de la relation parents-patient-soignants </w:t>
      </w:r>
      <w:r>
        <w:rPr>
          <w:rFonts w:cs="Times New Roman" w:ascii="Minion Pro" w:hAnsi="Minion Pro"/>
          <w:i/>
          <w:iCs/>
          <w:sz w:val="20"/>
          <w:szCs w:val="20"/>
          <w:lang w:val="fr-FR"/>
        </w:rPr>
        <w:t>à partir</w:t>
      </w:r>
      <w:r>
        <w:rPr>
          <w:rFonts w:cs="Times New Roman" w:ascii="Minion Pro" w:hAnsi="Minion Pro"/>
          <w:sz w:val="20"/>
          <w:szCs w:val="20"/>
          <w:lang w:val="fr-FR"/>
        </w:rPr>
        <w:t xml:space="preserve"> des soignants (source) ou </w:t>
      </w:r>
      <w:r>
        <w:rPr>
          <w:rFonts w:cs="Times New Roman" w:ascii="Minion Pro" w:hAnsi="Minion Pro"/>
          <w:i/>
          <w:iCs/>
          <w:sz w:val="20"/>
          <w:szCs w:val="20"/>
          <w:lang w:val="fr-FR"/>
        </w:rPr>
        <w:t>avec</w:t>
      </w:r>
      <w:r>
        <w:rPr>
          <w:rFonts w:cs="Times New Roman" w:ascii="Minion Pro" w:hAnsi="Minion Pro"/>
          <w:sz w:val="20"/>
          <w:szCs w:val="20"/>
          <w:lang w:val="fr-FR"/>
        </w:rPr>
        <w:t xml:space="preserve"> (conditions de possibilité) eux ?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C’est ainsi dans l’émergence de ce temps du staff comme un terrain </w:t>
      </w:r>
      <w:r>
        <w:rPr>
          <w:rFonts w:cs="Times New Roman" w:ascii="Minion Pro" w:hAnsi="Minion Pro"/>
          <w:i/>
          <w:iCs/>
          <w:sz w:val="20"/>
          <w:szCs w:val="20"/>
          <w:lang w:val="fr-FR"/>
        </w:rPr>
        <w:t>inattendu</w:t>
      </w:r>
      <w:r>
        <w:rPr>
          <w:rFonts w:cs="Times New Roman" w:ascii="Minion Pro" w:hAnsi="Minion Pro"/>
          <w:sz w:val="20"/>
          <w:szCs w:val="20"/>
          <w:lang w:val="fr-FR"/>
        </w:rPr>
        <w:t xml:space="preserve"> de notre dispositif de recherche et en restant à l’écoute de notre propre mouvement de conflictualisassions interne que nous avons pu finalement entendre quelque chose de la confusion qui entourait la dimension du travail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dans le cadre de cette nouvelle recherche. </w:t>
      </w:r>
    </w:p>
    <w:p>
      <w:pPr>
        <w:pStyle w:val="Heading2"/>
        <w:rPr>
          <w:rFonts w:ascii="Minion Pro" w:hAnsi="Minion Pro"/>
          <w:sz w:val="20"/>
          <w:szCs w:val="20"/>
          <w:lang w:val="fr-FR"/>
        </w:rPr>
      </w:pPr>
      <w:r>
        <w:rPr>
          <w:rFonts w:ascii="Minion Pro" w:hAnsi="Minion Pro"/>
          <w:sz w:val="20"/>
          <w:szCs w:val="20"/>
          <w:lang w:val="fr-FR"/>
        </w:rPr>
        <w:t xml:space="preserve">Les restitutions : appropriation subjective d’une demande de travail « avec » les soignants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Le moment des restitutions des « premiers résultats de la recherche » aux soignants a constitué un tournant dans notre recherche. S’il était initialement prévu comme un moment d’échange et de délibération avec les soignants autour des premiers résultats issus de l’analyse croisées des entretiens individuels et des notes d’observation en staff, nous l’avons d’abord et avant tout investi comme un moment d’appropriation subjective d’une demande de travail « avec » les soignants.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 mouvement d’appropriation subjective est passé pour nous par un mouvement de </w:t>
      </w:r>
      <w:r>
        <w:rPr>
          <w:rFonts w:cs="Times New Roman" w:ascii="Minion Pro" w:hAnsi="Minion Pro"/>
          <w:i/>
          <w:iCs/>
          <w:sz w:val="20"/>
          <w:szCs w:val="20"/>
          <w:lang w:val="fr-FR"/>
        </w:rPr>
        <w:t>reconnaissance</w:t>
      </w:r>
      <w:r>
        <w:rPr>
          <w:rFonts w:cs="Times New Roman" w:ascii="Minion Pro" w:hAnsi="Minion Pro"/>
          <w:sz w:val="20"/>
          <w:szCs w:val="20"/>
          <w:lang w:val="fr-FR"/>
        </w:rPr>
        <w:t xml:space="preserve"> – adressé aux soignants – du moment du staff comme un temps de présence sur lequel nous avions pu effectivement nous rencontrer, au sens où nous avions pu y entendre que notre présence dans cet espace n’allait pas de soi. Ce mouvement d’appropriation d’une demande de travail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est ainsi passé par un mouvement de reconnaissance que nous avons entendu pour notre part comme une forme de « prendre soin » des limites qui encadrent notre présence sur le terrain ; il y a des espaces dans lesquels on peut être ; et d’autres, dans lesquels on ne le peut pas. Or, si nous faisons référence ici à une forme de « prendre soin », c’est bien parce que l’identification de ces limites qui cadrent le « périmètre » à l’intérieur duquel la rencontre entre soignants et chercheurs pourra avoir lieu ne relève pas d’une communication directe, verbale, explicite. En effet, elle relève plutôt d’un travail d’écoute de ce qui « s’agit » dans la rencontre entre soignants et chercheurs, dans ses impasses. Cela requiert un engagement affectif fort dans la rencontre, de façon à pouvoir identifier – en prenant appui sur ce que les modalités de cette rencontre nous font vivre – la trame d’un dialogue plus implicite.  Finalement, il nous semble que c’est de ce mouvement de reconnaissance – libérateur de notre point de vue – qu’a pu procéder la formulation d’une demande de travail </w:t>
      </w:r>
      <w:r>
        <w:rPr>
          <w:rFonts w:cs="Times New Roman" w:ascii="Minion Pro" w:hAnsi="Minion Pro"/>
          <w:i/>
          <w:iCs/>
          <w:sz w:val="20"/>
          <w:szCs w:val="20"/>
          <w:lang w:val="fr-FR"/>
        </w:rPr>
        <w:t>avec</w:t>
      </w:r>
      <w:r>
        <w:rPr>
          <w:rFonts w:cs="Times New Roman" w:ascii="Minion Pro" w:hAnsi="Minion Pro"/>
          <w:sz w:val="20"/>
          <w:szCs w:val="20"/>
          <w:lang w:val="fr-FR"/>
        </w:rPr>
        <w:t xml:space="preserve"> les soignants, autour de laquelle a pu se structurer par la suite le travail </w:t>
      </w:r>
      <w:r>
        <w:rPr>
          <w:rFonts w:cs="Times New Roman" w:ascii="Minion Pro" w:hAnsi="Minion Pro"/>
          <w:i/>
          <w:iCs/>
          <w:sz w:val="20"/>
          <w:szCs w:val="20"/>
          <w:lang w:val="fr-FR"/>
        </w:rPr>
        <w:t>sur</w:t>
      </w:r>
      <w:r>
        <w:rPr>
          <w:rFonts w:cs="Times New Roman" w:ascii="Minion Pro" w:hAnsi="Minion Pro"/>
          <w:sz w:val="20"/>
          <w:szCs w:val="20"/>
          <w:lang w:val="fr-FR"/>
        </w:rPr>
        <w:t xml:space="preserve"> la question de la relation parents-patient-soignants. Enfin, il est intéressant d’observer que loin du « même », c’est dans un mouvement de différenciation que s’est opéré l’appropriation, par la chercheuse, de ce « commun » issu de la précédente recherche. En effet, là où le dialogue interdisciplinaire s’était opérationnalisé dans une demande de travail « avec » formulée par les soignants aux chercheurs, c’est la formulation de cette demande par la chercheuse qui a permis cette fois d’articuler, sur le terrain de la recherche, la reprise du dialogue interdisciplinaire entre médecins et psychologues. </w:t>
      </w:r>
    </w:p>
    <w:p>
      <w:pPr>
        <w:pStyle w:val="Heading1"/>
        <w:numPr>
          <w:ilvl w:val="0"/>
          <w:numId w:val="0"/>
        </w:numPr>
        <w:ind w:left="0" w:hanging="0"/>
        <w:rPr>
          <w:rFonts w:ascii="Minion Pro" w:hAnsi="Minion Pro"/>
          <w:sz w:val="20"/>
          <w:szCs w:val="20"/>
        </w:rPr>
      </w:pPr>
      <w:r>
        <w:rPr>
          <w:rFonts w:ascii="Minion Pro" w:hAnsi="Minion Pro"/>
          <w:sz w:val="20"/>
          <w:szCs w:val="20"/>
        </w:rPr>
        <w:t>Conclusion</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Cet article visait à questionner les conditions de continuité et de reprise du dialogue interdisciplinaire sur le terrain de la recherche, après que cette collaboration se soit instituée et pérennisée sur le plan institutionnel. Pour éclairer la trame de ce dialogue interdisciplinaire entre médecins et psychologues et la façon dont il se renégocie dans le passage d’une recherche à une autre, nous avons mis en regard le déploiement de deux dispositifs de recherche dans un contexte de « prolongement » d’une recherche par une autre, sur le même terrain. Cette mise en perspective nous a permis d’identifier, à l’intérieur de chacun des dispositifs, ce qui nous semble ressortir d’un « commun » duquel peut éventuellement procéder le résultat issu de l’interdisciplinarité. Nous proposons l’idée selon laquelle ces « communs » constituent les lieux de l’interdisciplinarité, telle qu’elle se fait : à savoir, telle qu’elle se négocie et se renégocie – par la médiation du terrain – aux différentes étapes de la recherche. </w:t>
      </w:r>
    </w:p>
    <w:p>
      <w:pPr>
        <w:pStyle w:val="Normal"/>
        <w:spacing w:lineRule="auto" w:line="360"/>
        <w:jc w:val="both"/>
        <w:rPr>
          <w:rFonts w:ascii="Minion Pro" w:hAnsi="Minion Pro" w:cs="Times New Roman"/>
          <w:sz w:val="20"/>
          <w:szCs w:val="20"/>
          <w:lang w:val="fr-FR"/>
        </w:rPr>
      </w:pPr>
      <w:r>
        <w:rPr>
          <w:rFonts w:cs="Times New Roman" w:ascii="Minion Pro" w:hAnsi="Minion Pro"/>
          <w:sz w:val="20"/>
          <w:szCs w:val="20"/>
          <w:lang w:val="fr-FR"/>
        </w:rPr>
        <w:t xml:space="preserve">Toutefois, nous l’avons vu, l’inscription dans un travail de recherche interdisciplinaire requiert un engagement fort de la part du chercheur qui, à rebours de la démarche active – voire pro-active – du chercheur sur son terrain de recherche, doit pouvoir tolérer de se laisser affecter par les modalités de rencontre particulières et inattendues dont il fait l’expérience sur le terrain. Il s’agit là d’un travail exigeant en temps, ce qui n’est pas toujours compatible avec les contraintes de recherche, y compris dans le cadre d’un travail doctoral. Mais l’exigence est aussi éthique, en tant qu’elle engage le chercheur dans un travail de « prendre soin » des limites de chacun des acteurs de la recherche, de façon à construire un cadre de confiance qui puisse contenir et opérationnaliser le dialogue interdisciplinaire sur le terrain de la recherche. Dans notre cas – et sans doute facilité par notre formation – ce travail de « prendre soin » s’est actualisé dans une écoute fine des mouvements qui se sont « agis » dans la rencontre intersubjective, associée à la capacité de la chercheuse à rester à l’écoute de sa propre conflictualité interne, de façon à </w:t>
      </w:r>
      <w:r>
        <w:rPr>
          <w:rFonts w:cs="Times New Roman" w:ascii="Minion Pro" w:hAnsi="Minion Pro"/>
          <w:i/>
          <w:iCs/>
          <w:sz w:val="20"/>
          <w:szCs w:val="20"/>
          <w:lang w:val="fr-FR"/>
        </w:rPr>
        <w:t>entendre</w:t>
      </w:r>
      <w:r>
        <w:rPr>
          <w:rFonts w:cs="Times New Roman" w:ascii="Minion Pro" w:hAnsi="Minion Pro"/>
          <w:sz w:val="20"/>
          <w:szCs w:val="20"/>
          <w:lang w:val="fr-FR"/>
        </w:rPr>
        <w:t xml:space="preserve"> ces « agirs » comme le lieu de la conflictualisation ; c’est-à-dire, le lieu de la (re)négociation du « commun ». </w:t>
      </w:r>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cs="Times New Roman" w:ascii="Minion Pro" w:hAnsi="Minion Pro"/>
          <w:b/>
          <w:bCs/>
          <w:color w:val="000000" w:themeColor="text1"/>
          <w:shd w:fill="FFFFFF" w:val="clear"/>
          <w:lang w:val="fr-FR"/>
        </w:rPr>
        <w:t>Remerciement</w:t>
        <w:tab/>
        <w:t xml:space="preserve">s/Acknowledgment </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color w:val="000000" w:themeColor="text1"/>
          <w:shd w:fill="FFFFFF" w:val="clear"/>
          <w:lang w:val="fr-FR"/>
        </w:rPr>
        <w:t xml:space="preserve">Nous remercions le groupe de travail SHS du cancéropôle d’Ile-de-France pour nous avoir permis de participer à la journée organisée sur le thème de la pluridisciplinarité des méthodes en recherche SHS dans le domaine du cancer qui a donné lieu à cette contribution. </w:t>
      </w:r>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cs="Times New Roman" w:ascii="Minion Pro" w:hAnsi="Minion Pro"/>
          <w:b/>
          <w:bCs/>
          <w:color w:val="000000" w:themeColor="text1"/>
          <w:shd w:fill="FFFFFF" w:val="clear"/>
          <w:lang w:val="fr-FR"/>
        </w:rPr>
        <w:t>Financements/Funding Statement</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color w:val="000000" w:themeColor="text1"/>
          <w:shd w:fill="FFFFFF" w:val="clear"/>
          <w:lang w:val="fr-FR"/>
        </w:rPr>
        <w:t>Cette recherche doctorale a bénéficié d’un financement doctoral par l’université Sorbonne Paris Nord.</w:t>
      </w:r>
    </w:p>
    <w:p>
      <w:pPr>
        <w:pStyle w:val="TextBody"/>
        <w:snapToGrid w:val="false"/>
        <w:spacing w:before="240" w:after="240"/>
        <w:ind w:left="0" w:right="108" w:hanging="0"/>
        <w:jc w:val="both"/>
        <w:rPr>
          <w:rFonts w:ascii="Minion Pro" w:hAnsi="Minion Pro" w:eastAsia="等线" w:eastAsiaTheme="minorEastAsia"/>
          <w:b/>
          <w:b/>
          <w:bCs/>
          <w:color w:val="000000" w:themeColor="text1"/>
          <w:w w:val="105"/>
          <w:lang w:val="fr-FR" w:eastAsia="zh-CN"/>
        </w:rPr>
      </w:pPr>
      <w:r>
        <w:rPr>
          <w:rFonts w:eastAsia="等线" w:ascii="Minion Pro" w:hAnsi="Minion Pro" w:eastAsiaTheme="minorEastAsia"/>
          <w:b/>
          <w:bCs/>
          <w:color w:val="000000" w:themeColor="text1"/>
          <w:w w:val="105"/>
          <w:lang w:val="fr-FR" w:eastAsia="zh-CN"/>
        </w:rPr>
        <w:t>Contributions des auteurs/Author Contributions</w:t>
      </w:r>
    </w:p>
    <w:p>
      <w:pPr>
        <w:pStyle w:val="TextBody"/>
        <w:snapToGrid w:val="false"/>
        <w:spacing w:before="240" w:after="240"/>
        <w:ind w:left="0" w:right="108" w:hanging="0"/>
        <w:jc w:val="both"/>
        <w:rPr>
          <w:rFonts w:ascii="Minion Pro" w:hAnsi="Minion Pro" w:eastAsia="等线" w:eastAsiaTheme="minorEastAsia"/>
          <w:color w:val="000000" w:themeColor="text1"/>
          <w:w w:val="105"/>
          <w:lang w:val="fr-FR" w:eastAsia="zh-CN"/>
        </w:rPr>
      </w:pPr>
      <w:r>
        <w:rPr>
          <w:rFonts w:eastAsia="等线" w:ascii="Minion Pro" w:hAnsi="Minion Pro" w:eastAsiaTheme="minorEastAsia"/>
          <w:color w:val="000000" w:themeColor="text1"/>
          <w:w w:val="105"/>
          <w:lang w:val="fr-FR" w:eastAsia="zh-CN"/>
        </w:rPr>
        <w:t xml:space="preserve">L’auteure a rédigé le présent document dans son intégralité et a effectué les différentes relectures et corrections nécessaires à sa publication. </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b/>
          <w:bCs/>
          <w:color w:val="000000" w:themeColor="text1"/>
          <w:shd w:fill="FFFFFF" w:val="clear"/>
          <w:lang w:val="fr-FR"/>
        </w:rPr>
        <w:t>Disponibilité des données et du matériel/Availability of Data and Materials</w:t>
      </w:r>
      <w:r>
        <w:rPr>
          <w:rFonts w:cs="Times New Roman" w:ascii="Minion Pro" w:hAnsi="Minion Pro"/>
          <w:color w:val="000000" w:themeColor="text1"/>
          <w:shd w:fill="FFFFFF" w:val="clear"/>
          <w:lang w:val="fr-FR"/>
        </w:rPr>
        <w:t xml:space="preserve"> </w:t>
      </w:r>
    </w:p>
    <w:p>
      <w:pPr>
        <w:pStyle w:val="TextBody"/>
        <w:snapToGrid w:val="false"/>
        <w:spacing w:before="240" w:after="240"/>
        <w:ind w:left="0" w:right="38" w:hanging="0"/>
        <w:jc w:val="both"/>
        <w:rPr>
          <w:rFonts w:ascii="Minion Pro" w:hAnsi="Minion Pro" w:eastAsia="等线" w:cs="Times New Roman" w:eastAsiaTheme="minorEastAsia"/>
          <w:color w:val="000000" w:themeColor="text1"/>
          <w:highlight w:val="white"/>
          <w:lang w:val="fr-FR" w:eastAsia="zh-CN"/>
        </w:rPr>
      </w:pPr>
      <w:r>
        <w:rPr>
          <w:rFonts w:cs="Times New Roman" w:ascii="Minion Pro" w:hAnsi="Minion Pro"/>
          <w:color w:val="000000" w:themeColor="text1"/>
          <w:shd w:fill="FFFFFF" w:val="clear"/>
          <w:lang w:val="fr-FR"/>
        </w:rPr>
        <w:t>Non concerné</w:t>
      </w:r>
      <w:r>
        <w:rPr>
          <w:rFonts w:eastAsia="等线" w:cs="Times New Roman" w:ascii="Minion Pro" w:hAnsi="Minion Pro" w:eastAsiaTheme="minorEastAsia"/>
          <w:color w:val="000000" w:themeColor="text1"/>
          <w:shd w:fill="FFFFFF" w:val="clear"/>
          <w:lang w:val="fr-FR" w:eastAsia="zh-CN"/>
        </w:rPr>
        <w:t>.</w:t>
      </w:r>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cs="Times New Roman" w:ascii="Minion Pro" w:hAnsi="Minion Pro"/>
          <w:b/>
          <w:bCs/>
          <w:color w:val="000000" w:themeColor="text1"/>
          <w:shd w:fill="FFFFFF" w:val="clear"/>
          <w:lang w:val="fr-FR"/>
        </w:rPr>
        <w:t>Conflits d’intérêt/Conflicts of Interest</w:t>
      </w:r>
    </w:p>
    <w:p>
      <w:pPr>
        <w:pStyle w:val="TextBody"/>
        <w:snapToGrid w:val="false"/>
        <w:spacing w:before="240" w:after="240"/>
        <w:ind w:left="0" w:right="38" w:hanging="0"/>
        <w:jc w:val="both"/>
        <w:rPr>
          <w:rFonts w:ascii="Minion Pro" w:hAnsi="Minion Pro" w:cs="Times New Roman"/>
          <w:color w:val="000000" w:themeColor="text1"/>
          <w:highlight w:val="white"/>
          <w:lang w:val="fr-FR"/>
        </w:rPr>
      </w:pPr>
      <w:r>
        <w:rPr>
          <w:rFonts w:cs="Times New Roman" w:ascii="Minion Pro" w:hAnsi="Minion Pro"/>
          <w:color w:val="000000" w:themeColor="text1"/>
          <w:shd w:fill="FFFFFF" w:val="clear"/>
          <w:lang w:val="fr-FR"/>
        </w:rPr>
        <w:t xml:space="preserve">L’auteure déclare n’avoir aucun conflit d’intérêt. </w:t>
      </w:r>
      <w:bookmarkStart w:id="19" w:name="_Hlk155736708"/>
      <w:bookmarkEnd w:id="19"/>
    </w:p>
    <w:p>
      <w:pPr>
        <w:pStyle w:val="TextBody"/>
        <w:snapToGrid w:val="false"/>
        <w:spacing w:before="240" w:after="240"/>
        <w:ind w:left="0" w:right="38" w:hanging="0"/>
        <w:jc w:val="both"/>
        <w:rPr>
          <w:rFonts w:ascii="Minion Pro" w:hAnsi="Minion Pro" w:cs="Times New Roman"/>
          <w:b/>
          <w:b/>
          <w:bCs/>
          <w:color w:val="000000" w:themeColor="text1"/>
          <w:highlight w:val="white"/>
          <w:lang w:val="fr-FR"/>
        </w:rPr>
      </w:pPr>
      <w:r>
        <w:rPr>
          <w:rFonts w:ascii="Minion Pro" w:hAnsi="Minion Pro"/>
          <w:b/>
          <w:bCs/>
          <w:color w:val="000000" w:themeColor="text1"/>
          <w:w w:val="105"/>
          <w:lang w:val="fr-FR"/>
        </w:rPr>
        <w:t>Avis éthqiues/Ethics Approval</w:t>
      </w:r>
    </w:p>
    <w:p>
      <w:pPr>
        <w:pStyle w:val="TextBody"/>
        <w:snapToGrid w:val="false"/>
        <w:spacing w:before="240" w:after="240"/>
        <w:ind w:left="0" w:right="38" w:hanging="0"/>
        <w:jc w:val="both"/>
        <w:rPr>
          <w:rFonts w:ascii="Minion Pro" w:hAnsi="Minion Pro" w:eastAsia="等线" w:eastAsiaTheme="minorEastAsia"/>
          <w:color w:val="000000" w:themeColor="text1"/>
          <w:w w:val="105"/>
          <w:lang w:val="fr-FR" w:eastAsia="zh-CN"/>
        </w:rPr>
      </w:pPr>
      <w:r>
        <w:rPr>
          <w:rFonts w:eastAsia="等线" w:ascii="Minion Pro" w:hAnsi="Minion Pro" w:eastAsiaTheme="minorEastAsia"/>
          <w:color w:val="000000" w:themeColor="text1"/>
          <w:w w:val="105"/>
          <w:lang w:val="fr-FR" w:eastAsia="zh-CN"/>
        </w:rPr>
        <w:t>Non concerné.</w:t>
      </w:r>
    </w:p>
    <w:p>
      <w:pPr>
        <w:pStyle w:val="Heading1"/>
        <w:numPr>
          <w:ilvl w:val="0"/>
          <w:numId w:val="0"/>
        </w:numPr>
        <w:ind w:left="0" w:hanging="0"/>
        <w:rPr>
          <w:rFonts w:ascii="Minion Pro" w:hAnsi="Minion Pro"/>
          <w:sz w:val="20"/>
          <w:szCs w:val="20"/>
          <w:lang w:val="en-US"/>
        </w:rPr>
      </w:pPr>
      <w:r>
        <w:rPr>
          <w:rFonts w:ascii="Minion Pro" w:hAnsi="Minion Pro"/>
          <w:sz w:val="20"/>
          <w:szCs w:val="20"/>
          <w:lang w:val="en-US"/>
        </w:rPr>
        <w:t xml:space="preserve">Bibliographie </w:t>
      </w:r>
    </w:p>
    <w:p>
      <w:pPr>
        <w:pStyle w:val="Bibliography"/>
        <w:rPr>
          <w:rFonts w:ascii="Minion Pro" w:hAnsi="Minion Pro"/>
          <w:sz w:val="20"/>
        </w:rPr>
      </w:pPr>
      <w:r>
        <w:fldChar w:fldCharType="begin"/>
      </w:r>
      <w:r>
        <w:rPr/>
        <w:instrText>ADDIN ZOTERO_BIBL {"uncited":[],"omitted":[],"custom":[]} CSL_BIBLIOGRAPHY</w:instrText>
      </w:r>
      <w:r>
        <w:rPr/>
      </w:r>
      <w:r>
        <w:rPr/>
        <w:fldChar w:fldCharType="separate"/>
      </w:r>
      <w:r>
        <w:rPr/>
      </w:r>
      <w:r>
        <w:rPr>
          <w:sz w:val="20"/>
        </w:rPr>
        <w:t>1.</w:t>
        <w:tab/>
      </w:r>
      <w:r>
        <w:rPr>
          <w:rFonts w:ascii="Minion Pro" w:hAnsi="Minion Pro"/>
          <w:sz w:val="20"/>
        </w:rPr>
        <w:t>Raento P. Interdisciplinarity. International Encyclopedia of Human Geography. 2020;357</w:t>
      </w:r>
      <w:r>
        <w:rPr>
          <w:rFonts w:eastAsia="MS Gothic" w:cs="MS Gothic" w:ascii="MS Gothic" w:hAnsi="MS Gothic"/>
          <w:sz w:val="20"/>
        </w:rPr>
        <w:noBreakHyphen/>
      </w:r>
      <w:r>
        <w:rPr>
          <w:rFonts w:ascii="Minion Pro" w:hAnsi="Minion Pro"/>
          <w:sz w:val="20"/>
        </w:rPr>
        <w:t xml:space="preserve">63. </w:t>
      </w:r>
    </w:p>
    <w:p>
      <w:pPr>
        <w:pStyle w:val="Bibliography"/>
        <w:rPr>
          <w:rFonts w:ascii="Minion Pro" w:hAnsi="Minion Pro"/>
          <w:sz w:val="20"/>
        </w:rPr>
      </w:pPr>
      <w:r>
        <w:rPr>
          <w:rFonts w:ascii="Minion Pro" w:hAnsi="Minion Pro"/>
          <w:sz w:val="20"/>
        </w:rPr>
        <w:t>2.</w:t>
        <w:tab/>
        <w:t>Thompson Klein J. Une taxinomie de l’interdisciplinarité. npss. 2011;7(1):15</w:t>
      </w:r>
      <w:r>
        <w:rPr>
          <w:rFonts w:eastAsia="MS Gothic" w:cs="MS Gothic" w:ascii="MS Gothic" w:hAnsi="MS Gothic"/>
          <w:sz w:val="20"/>
        </w:rPr>
        <w:noBreakHyphen/>
      </w:r>
      <w:r>
        <w:rPr>
          <w:rFonts w:ascii="Minion Pro" w:hAnsi="Minion Pro"/>
          <w:sz w:val="20"/>
        </w:rPr>
        <w:t xml:space="preserve">48. </w:t>
      </w:r>
    </w:p>
    <w:p>
      <w:pPr>
        <w:pStyle w:val="Bibliography"/>
        <w:rPr>
          <w:rFonts w:ascii="Minion Pro" w:hAnsi="Minion Pro"/>
          <w:sz w:val="20"/>
          <w:lang w:val="fr-FR"/>
        </w:rPr>
      </w:pPr>
      <w:r>
        <w:rPr>
          <w:rFonts w:ascii="Minion Pro" w:hAnsi="Minion Pro"/>
          <w:sz w:val="20"/>
        </w:rPr>
        <w:t>3.</w:t>
        <w:tab/>
        <w:t xml:space="preserve">Tress B, Tres G, Fry G, Opdam P. From Landscape Research to Landscape Planning: Aspects of Integration, Education and Application. </w:t>
      </w:r>
      <w:r>
        <w:rPr>
          <w:rFonts w:ascii="Minion Pro" w:hAnsi="Minion Pro"/>
          <w:sz w:val="20"/>
          <w:lang w:val="fr-FR"/>
        </w:rPr>
        <w:t xml:space="preserve">Springer Science &amp; Business Media; 2005. 456 p. </w:t>
      </w:r>
    </w:p>
    <w:p>
      <w:pPr>
        <w:pStyle w:val="Bibliography"/>
        <w:rPr>
          <w:rFonts w:ascii="Minion Pro" w:hAnsi="Minion Pro"/>
          <w:sz w:val="20"/>
          <w:lang w:val="fr-FR"/>
        </w:rPr>
      </w:pPr>
      <w:r>
        <w:rPr>
          <w:rFonts w:ascii="Minion Pro" w:hAnsi="Minion Pro"/>
          <w:sz w:val="20"/>
          <w:lang w:val="fr-FR"/>
        </w:rPr>
        <w:t>4.</w:t>
        <w:tab/>
        <w:t>Nourrit-Lucas D. Comment penser l’interdisciplinarité en pratique</w:t>
      </w:r>
      <w:r>
        <w:rPr>
          <w:rFonts w:cs="Times New Roman" w:ascii="Times New Roman" w:hAnsi="Times New Roman"/>
          <w:sz w:val="20"/>
          <w:lang w:val="fr-FR"/>
        </w:rPr>
        <w:t> </w:t>
      </w:r>
      <w:r>
        <w:rPr>
          <w:rFonts w:ascii="Minion Pro" w:hAnsi="Minion Pro"/>
          <w:sz w:val="20"/>
          <w:lang w:val="fr-FR"/>
        </w:rPr>
        <w:t>? Une question de disposition, d</w:t>
      </w:r>
      <w:r>
        <w:rPr>
          <w:rFonts w:cs="Minion Pro" w:ascii="Minion Pro" w:hAnsi="Minion Pro"/>
          <w:sz w:val="20"/>
          <w:lang w:val="fr-FR"/>
        </w:rPr>
        <w:t>’</w:t>
      </w:r>
      <w:r>
        <w:rPr>
          <w:rFonts w:ascii="Minion Pro" w:hAnsi="Minion Pro"/>
          <w:sz w:val="20"/>
          <w:lang w:val="fr-FR"/>
        </w:rPr>
        <w:t>indisciplinarit</w:t>
      </w:r>
      <w:r>
        <w:rPr>
          <w:rFonts w:cs="Minion Pro" w:ascii="Minion Pro" w:hAnsi="Minion Pro"/>
          <w:sz w:val="20"/>
          <w:lang w:val="fr-FR"/>
        </w:rPr>
        <w:t>é</w:t>
      </w:r>
      <w:r>
        <w:rPr>
          <w:rFonts w:ascii="Minion Pro" w:hAnsi="Minion Pro"/>
          <w:sz w:val="20"/>
          <w:lang w:val="fr-FR"/>
        </w:rPr>
        <w:t xml:space="preserve"> et de complexit</w:t>
      </w:r>
      <w:r>
        <w:rPr>
          <w:rFonts w:cs="Minion Pro" w:ascii="Minion Pro" w:hAnsi="Minion Pro"/>
          <w:sz w:val="20"/>
          <w:lang w:val="fr-FR"/>
        </w:rPr>
        <w:t>é</w:t>
      </w:r>
      <w:r>
        <w:rPr>
          <w:rFonts w:ascii="Minion Pro" w:hAnsi="Minion Pro"/>
          <w:sz w:val="20"/>
          <w:lang w:val="fr-FR"/>
        </w:rPr>
        <w:t>. Journal of Interdisciplinary Methodologies and Issues in Science [Internet]. 2023 [cit</w:t>
      </w:r>
      <w:r>
        <w:rPr>
          <w:rFonts w:cs="Minion Pro" w:ascii="Minion Pro" w:hAnsi="Minion Pro"/>
          <w:sz w:val="20"/>
          <w:lang w:val="fr-FR"/>
        </w:rPr>
        <w:t>é</w:t>
      </w:r>
      <w:r>
        <w:rPr>
          <w:rFonts w:ascii="Minion Pro" w:hAnsi="Minion Pro"/>
          <w:sz w:val="20"/>
          <w:lang w:val="fr-FR"/>
        </w:rPr>
        <w:t xml:space="preserve"> 27 f</w:t>
      </w:r>
      <w:r>
        <w:rPr>
          <w:rFonts w:cs="Minion Pro" w:ascii="Minion Pro" w:hAnsi="Minion Pro"/>
          <w:sz w:val="20"/>
          <w:lang w:val="fr-FR"/>
        </w:rPr>
        <w:t>é</w:t>
      </w:r>
      <w:r>
        <w:rPr>
          <w:rFonts w:ascii="Minion Pro" w:hAnsi="Minion Pro"/>
          <w:sz w:val="20"/>
          <w:lang w:val="fr-FR"/>
        </w:rPr>
        <w:t>vr 2024];11. Disponible sur: https://hal.science/hal-04063971</w:t>
      </w:r>
    </w:p>
    <w:p>
      <w:pPr>
        <w:pStyle w:val="Bibliography"/>
        <w:rPr>
          <w:rFonts w:ascii="Minion Pro" w:hAnsi="Minion Pro"/>
          <w:sz w:val="20"/>
          <w:lang w:val="fr-FR"/>
        </w:rPr>
      </w:pPr>
      <w:r>
        <w:rPr>
          <w:rFonts w:ascii="Minion Pro" w:hAnsi="Minion Pro"/>
          <w:sz w:val="20"/>
          <w:lang w:val="fr-FR"/>
        </w:rPr>
        <w:t>5.</w:t>
        <w:tab/>
        <w:t>Bagaragaza E, Pujol N, Evin A, Colombet I. Méthodologies de la recherche en soins palliatifs : les défis de l’interdisciplinarité. Santé Publique. 2021;33(2):199</w:t>
      </w:r>
      <w:r>
        <w:rPr>
          <w:rFonts w:eastAsia="MS Gothic" w:cs="MS Gothic" w:ascii="MS Gothic" w:hAnsi="MS Gothic"/>
          <w:sz w:val="20"/>
          <w:lang w:val="fr-FR"/>
        </w:rPr>
        <w:noBreakHyphen/>
      </w:r>
      <w:r>
        <w:rPr>
          <w:rFonts w:ascii="Minion Pro" w:hAnsi="Minion Pro"/>
          <w:sz w:val="20"/>
          <w:lang w:val="fr-FR"/>
        </w:rPr>
        <w:t xml:space="preserve">209. </w:t>
      </w:r>
    </w:p>
    <w:p>
      <w:pPr>
        <w:pStyle w:val="Bibliography"/>
        <w:rPr>
          <w:rFonts w:ascii="Minion Pro" w:hAnsi="Minion Pro"/>
          <w:sz w:val="20"/>
          <w:lang w:val="fr-FR"/>
        </w:rPr>
      </w:pPr>
      <w:r>
        <w:rPr>
          <w:rFonts w:ascii="Minion Pro" w:hAnsi="Minion Pro"/>
          <w:sz w:val="20"/>
          <w:lang w:val="fr-FR"/>
        </w:rPr>
        <w:t>6.</w:t>
        <w:tab/>
        <w:t>Lélé S, Norgaard RB. Practicing Interdisciplinarity. BioScience. 2005;55(11):967</w:t>
      </w:r>
      <w:r>
        <w:rPr>
          <w:rFonts w:eastAsia="MS Gothic" w:cs="MS Gothic" w:ascii="MS Gothic" w:hAnsi="MS Gothic"/>
          <w:sz w:val="20"/>
          <w:lang w:val="fr-FR"/>
        </w:rPr>
        <w:noBreakHyphen/>
      </w:r>
      <w:r>
        <w:rPr>
          <w:rFonts w:ascii="Minion Pro" w:hAnsi="Minion Pro"/>
          <w:sz w:val="20"/>
          <w:lang w:val="fr-FR"/>
        </w:rPr>
        <w:t xml:space="preserve">75. </w:t>
      </w:r>
    </w:p>
    <w:p>
      <w:pPr>
        <w:pStyle w:val="Bibliography"/>
        <w:rPr>
          <w:rFonts w:ascii="Minion Pro" w:hAnsi="Minion Pro"/>
          <w:sz w:val="20"/>
        </w:rPr>
      </w:pPr>
      <w:r>
        <w:rPr>
          <w:rFonts w:ascii="Minion Pro" w:hAnsi="Minion Pro"/>
          <w:sz w:val="20"/>
          <w:lang w:val="fr-FR"/>
        </w:rPr>
        <w:t>7.</w:t>
        <w:tab/>
        <w:t xml:space="preserve">Laflamme S. Recherche interdisciplinaire et réflexion sur l’interdisciplinarité. npss. </w:t>
      </w:r>
      <w:r>
        <w:rPr>
          <w:rFonts w:ascii="Minion Pro" w:hAnsi="Minion Pro"/>
          <w:sz w:val="20"/>
        </w:rPr>
        <w:t>2011;7(1):49</w:t>
      </w:r>
      <w:r>
        <w:rPr>
          <w:rFonts w:eastAsia="MS Gothic" w:cs="MS Gothic" w:ascii="MS Gothic" w:hAnsi="MS Gothic"/>
          <w:sz w:val="20"/>
        </w:rPr>
        <w:noBreakHyphen/>
      </w:r>
      <w:r>
        <w:rPr>
          <w:rFonts w:ascii="Minion Pro" w:hAnsi="Minion Pro"/>
          <w:sz w:val="20"/>
        </w:rPr>
        <w:t xml:space="preserve">64. </w:t>
      </w:r>
    </w:p>
    <w:p>
      <w:pPr>
        <w:pStyle w:val="Bibliography"/>
        <w:rPr>
          <w:rFonts w:ascii="Minion Pro" w:hAnsi="Minion Pro"/>
          <w:sz w:val="20"/>
        </w:rPr>
      </w:pPr>
      <w:r>
        <w:rPr>
          <w:rFonts w:ascii="Minion Pro" w:hAnsi="Minion Pro"/>
          <w:sz w:val="20"/>
        </w:rPr>
        <w:t>8.</w:t>
        <w:tab/>
        <w:t>Peek L, Guikema S. Interdisciplinary Theory, Methods, and Approaches for Hazards and Disaster Research: An Introduction to the Special Issue. Risk Analysis. 2021;41(7):1047</w:t>
      </w:r>
      <w:r>
        <w:rPr>
          <w:rFonts w:eastAsia="MS Gothic" w:cs="MS Gothic" w:ascii="MS Gothic" w:hAnsi="MS Gothic"/>
          <w:sz w:val="20"/>
        </w:rPr>
        <w:noBreakHyphen/>
      </w:r>
      <w:r>
        <w:rPr>
          <w:rFonts w:ascii="Minion Pro" w:hAnsi="Minion Pro"/>
          <w:sz w:val="20"/>
        </w:rPr>
        <w:t xml:space="preserve">58. </w:t>
      </w:r>
    </w:p>
    <w:p>
      <w:pPr>
        <w:pStyle w:val="Bibliography"/>
        <w:rPr>
          <w:rFonts w:ascii="Minion Pro" w:hAnsi="Minion Pro"/>
          <w:sz w:val="20"/>
        </w:rPr>
      </w:pPr>
      <w:r>
        <w:rPr>
          <w:rFonts w:ascii="Minion Pro" w:hAnsi="Minion Pro"/>
          <w:sz w:val="20"/>
        </w:rPr>
        <w:t>9.</w:t>
        <w:tab/>
        <w:t>Morss RE, Lazrus H, Demuth JL. The “Inter” Within Interdisciplinary Research: Strategies for Building Integration Across Fields. Risk Analysis. 2021;41(7):1152</w:t>
      </w:r>
      <w:r>
        <w:rPr>
          <w:rFonts w:eastAsia="MS Gothic" w:cs="MS Gothic" w:ascii="MS Gothic" w:hAnsi="MS Gothic"/>
          <w:sz w:val="20"/>
        </w:rPr>
        <w:noBreakHyphen/>
      </w:r>
      <w:r>
        <w:rPr>
          <w:rFonts w:ascii="Minion Pro" w:hAnsi="Minion Pro"/>
          <w:sz w:val="20"/>
        </w:rPr>
        <w:t xml:space="preserve">61. </w:t>
      </w:r>
    </w:p>
    <w:p>
      <w:pPr>
        <w:pStyle w:val="Bibliography"/>
        <w:rPr>
          <w:rFonts w:ascii="Minion Pro" w:hAnsi="Minion Pro"/>
          <w:sz w:val="20"/>
          <w:lang w:val="fr-FR"/>
        </w:rPr>
      </w:pPr>
      <w:r>
        <w:rPr>
          <w:rFonts w:ascii="Minion Pro" w:hAnsi="Minion Pro"/>
          <w:sz w:val="20"/>
        </w:rPr>
        <w:t>10.</w:t>
        <w:tab/>
        <w:t xml:space="preserve">Glaser BG, Strauss A. Grounded Theory. The discovery of grounded theory. </w:t>
      </w:r>
      <w:r>
        <w:rPr>
          <w:rFonts w:ascii="Minion Pro" w:hAnsi="Minion Pro"/>
          <w:sz w:val="20"/>
          <w:lang w:val="fr-FR"/>
        </w:rPr>
        <w:t>Sociology the journal of the British sociological association. 1967;12(1):27</w:t>
      </w:r>
      <w:r>
        <w:rPr>
          <w:rFonts w:eastAsia="MS Gothic" w:cs="MS Gothic" w:ascii="MS Gothic" w:hAnsi="MS Gothic"/>
          <w:sz w:val="20"/>
          <w:lang w:val="fr-FR"/>
        </w:rPr>
        <w:noBreakHyphen/>
      </w:r>
      <w:r>
        <w:rPr>
          <w:rFonts w:ascii="Minion Pro" w:hAnsi="Minion Pro"/>
          <w:sz w:val="20"/>
          <w:lang w:val="fr-FR"/>
        </w:rPr>
        <w:t xml:space="preserve">49. </w:t>
      </w:r>
    </w:p>
    <w:p>
      <w:pPr>
        <w:pStyle w:val="Bibliography"/>
        <w:rPr>
          <w:rFonts w:ascii="Minion Pro" w:hAnsi="Minion Pro"/>
          <w:sz w:val="20"/>
          <w:lang w:val="fr-FR"/>
        </w:rPr>
      </w:pPr>
      <w:r>
        <w:rPr>
          <w:rFonts w:ascii="Minion Pro" w:hAnsi="Minion Pro"/>
          <w:sz w:val="20"/>
          <w:lang w:val="fr-FR"/>
        </w:rPr>
        <w:t>11.</w:t>
        <w:tab/>
        <w:t>Ricadat É. Qu’est-ce qu’un résultat dans une recherche interdisciplinaire? In: Vie psychique à l’hôpital Modèles de recherche et pratiques cliniques. Doin. 2023. p. 37</w:t>
      </w:r>
      <w:r>
        <w:rPr>
          <w:rFonts w:eastAsia="MS Gothic" w:cs="MS Gothic" w:ascii="MS Gothic" w:hAnsi="MS Gothic"/>
          <w:sz w:val="20"/>
          <w:lang w:val="fr-FR"/>
        </w:rPr>
        <w:noBreakHyphen/>
      </w:r>
      <w:r>
        <w:rPr>
          <w:rFonts w:ascii="Minion Pro" w:hAnsi="Minion Pro"/>
          <w:sz w:val="20"/>
          <w:lang w:val="fr-FR"/>
        </w:rPr>
        <w:t xml:space="preserve">52. </w:t>
      </w:r>
    </w:p>
    <w:p>
      <w:pPr>
        <w:pStyle w:val="Bibliography"/>
        <w:rPr>
          <w:rFonts w:ascii="Minion Pro" w:hAnsi="Minion Pro"/>
          <w:sz w:val="20"/>
          <w:lang w:val="fr-FR"/>
        </w:rPr>
      </w:pPr>
      <w:r>
        <w:rPr>
          <w:rFonts w:ascii="Minion Pro" w:hAnsi="Minion Pro"/>
          <w:sz w:val="20"/>
          <w:lang w:val="fr-FR"/>
        </w:rPr>
        <w:t>12.</w:t>
        <w:tab/>
        <w:t>Paillé P. L’analyse par théorisation ancrée. crs. 1994;(23):147</w:t>
      </w:r>
      <w:r>
        <w:rPr>
          <w:rFonts w:eastAsia="MS Gothic" w:cs="MS Gothic" w:ascii="MS Gothic" w:hAnsi="MS Gothic"/>
          <w:sz w:val="20"/>
          <w:lang w:val="fr-FR"/>
        </w:rPr>
        <w:noBreakHyphen/>
      </w:r>
      <w:r>
        <w:rPr>
          <w:rFonts w:ascii="Minion Pro" w:hAnsi="Minion Pro"/>
          <w:sz w:val="20"/>
          <w:lang w:val="fr-FR"/>
        </w:rPr>
        <w:t xml:space="preserve">81. </w:t>
      </w:r>
    </w:p>
    <w:p>
      <w:pPr>
        <w:pStyle w:val="Bibliography"/>
        <w:rPr>
          <w:rFonts w:ascii="Minion Pro" w:hAnsi="Minion Pro"/>
          <w:sz w:val="20"/>
          <w:lang w:val="fr-FR"/>
        </w:rPr>
      </w:pPr>
      <w:r>
        <w:rPr>
          <w:rFonts w:ascii="Minion Pro" w:hAnsi="Minion Pro"/>
          <w:sz w:val="20"/>
          <w:lang w:val="fr-FR"/>
        </w:rPr>
        <w:t>13.</w:t>
        <w:tab/>
        <w:t>Ricadat E. Recherche qualitative en psychanalyse : l’étude du cas de la théorisation ancrée. In Analysis. 2020;4(1):54</w:t>
      </w:r>
      <w:r>
        <w:rPr>
          <w:rFonts w:eastAsia="MS Gothic" w:cs="MS Gothic" w:ascii="MS Gothic" w:hAnsi="MS Gothic"/>
          <w:sz w:val="20"/>
          <w:lang w:val="fr-FR"/>
        </w:rPr>
        <w:noBreakHyphen/>
      </w:r>
      <w:r>
        <w:rPr>
          <w:rFonts w:ascii="Minion Pro" w:hAnsi="Minion Pro"/>
          <w:sz w:val="20"/>
          <w:lang w:val="fr-FR"/>
        </w:rPr>
        <w:t xml:space="preserve">60. </w:t>
      </w:r>
    </w:p>
    <w:p>
      <w:pPr>
        <w:pStyle w:val="Bibliography"/>
        <w:rPr>
          <w:rFonts w:ascii="Minion Pro" w:hAnsi="Minion Pro"/>
          <w:sz w:val="20"/>
        </w:rPr>
      </w:pPr>
      <w:r>
        <w:rPr>
          <w:rFonts w:ascii="Minion Pro" w:hAnsi="Minion Pro"/>
          <w:sz w:val="20"/>
          <w:lang w:val="fr-FR"/>
        </w:rPr>
        <w:t>14.</w:t>
        <w:tab/>
        <w:t>Ricadat E, Schwering KL, Aujoulat I, Boissel N. Entre soignants et chercheurs, quelle communication</w:t>
      </w:r>
      <w:r>
        <w:rPr>
          <w:rFonts w:cs="Times New Roman" w:ascii="Times New Roman" w:hAnsi="Times New Roman"/>
          <w:sz w:val="20"/>
          <w:lang w:val="fr-FR"/>
        </w:rPr>
        <w:t> </w:t>
      </w:r>
      <w:r>
        <w:rPr>
          <w:rFonts w:ascii="Minion Pro" w:hAnsi="Minion Pro"/>
          <w:sz w:val="20"/>
          <w:lang w:val="fr-FR"/>
        </w:rPr>
        <w:t>? - Exemple d</w:t>
      </w:r>
      <w:r>
        <w:rPr>
          <w:rFonts w:cs="Minion Pro" w:ascii="Minion Pro" w:hAnsi="Minion Pro"/>
          <w:sz w:val="20"/>
          <w:lang w:val="fr-FR"/>
        </w:rPr>
        <w:t>’</w:t>
      </w:r>
      <w:r>
        <w:rPr>
          <w:rFonts w:ascii="Minion Pro" w:hAnsi="Minion Pro"/>
          <w:sz w:val="20"/>
          <w:lang w:val="fr-FR"/>
        </w:rPr>
        <w:t>une recherche-action men</w:t>
      </w:r>
      <w:r>
        <w:rPr>
          <w:rFonts w:cs="Minion Pro" w:ascii="Minion Pro" w:hAnsi="Minion Pro"/>
          <w:sz w:val="20"/>
          <w:lang w:val="fr-FR"/>
        </w:rPr>
        <w:t>é</w:t>
      </w:r>
      <w:r>
        <w:rPr>
          <w:rFonts w:ascii="Minion Pro" w:hAnsi="Minion Pro"/>
          <w:sz w:val="20"/>
          <w:lang w:val="fr-FR"/>
        </w:rPr>
        <w:t>e dans un service d</w:t>
      </w:r>
      <w:r>
        <w:rPr>
          <w:rFonts w:cs="Minion Pro" w:ascii="Minion Pro" w:hAnsi="Minion Pro"/>
          <w:sz w:val="20"/>
          <w:lang w:val="fr-FR"/>
        </w:rPr>
        <w:t>’</w:t>
      </w:r>
      <w:r>
        <w:rPr>
          <w:rFonts w:ascii="Minion Pro" w:hAnsi="Minion Pro"/>
          <w:sz w:val="20"/>
          <w:lang w:val="fr-FR"/>
        </w:rPr>
        <w:t>h</w:t>
      </w:r>
      <w:r>
        <w:rPr>
          <w:rFonts w:cs="Minion Pro" w:ascii="Minion Pro" w:hAnsi="Minion Pro"/>
          <w:sz w:val="20"/>
          <w:lang w:val="fr-FR"/>
        </w:rPr>
        <w:t>é</w:t>
      </w:r>
      <w:r>
        <w:rPr>
          <w:rFonts w:ascii="Minion Pro" w:hAnsi="Minion Pro"/>
          <w:sz w:val="20"/>
          <w:lang w:val="fr-FR"/>
        </w:rPr>
        <w:t xml:space="preserve">matologie pour adolescents et jeunes adultes. </w:t>
      </w:r>
      <w:r>
        <w:rPr>
          <w:rFonts w:ascii="Minion Pro" w:hAnsi="Minion Pro"/>
          <w:sz w:val="20"/>
        </w:rPr>
        <w:t>Psycho-Oncol. 2018;12(1):34</w:t>
      </w:r>
      <w:r>
        <w:rPr>
          <w:rFonts w:eastAsia="MS Gothic" w:cs="MS Gothic" w:ascii="MS Gothic" w:hAnsi="MS Gothic"/>
          <w:sz w:val="20"/>
        </w:rPr>
        <w:noBreakHyphen/>
      </w:r>
      <w:r>
        <w:rPr>
          <w:rFonts w:ascii="Minion Pro" w:hAnsi="Minion Pro"/>
          <w:sz w:val="20"/>
        </w:rPr>
        <w:t xml:space="preserve">7. </w:t>
      </w:r>
    </w:p>
    <w:p>
      <w:pPr>
        <w:pStyle w:val="Bibliography"/>
        <w:rPr>
          <w:rFonts w:ascii="Minion Pro" w:hAnsi="Minion Pro"/>
          <w:sz w:val="20"/>
          <w:lang w:val="fr-FR"/>
        </w:rPr>
      </w:pPr>
      <w:r>
        <w:rPr>
          <w:rFonts w:ascii="Minion Pro" w:hAnsi="Minion Pro"/>
          <w:sz w:val="20"/>
        </w:rPr>
        <w:t>15.</w:t>
        <w:tab/>
        <w:t xml:space="preserve">Austin W, Park C, Goble E. From Interdisciplinary to Transdisciplinary Research: A Case Study. </w:t>
      </w:r>
      <w:r>
        <w:rPr>
          <w:rFonts w:ascii="Minion Pro" w:hAnsi="Minion Pro"/>
          <w:sz w:val="20"/>
          <w:lang w:val="fr-FR"/>
        </w:rPr>
        <w:t>Qual Health Res. 2008;18(4):557</w:t>
      </w:r>
      <w:r>
        <w:rPr>
          <w:rFonts w:eastAsia="MS Gothic" w:cs="MS Gothic" w:ascii="MS Gothic" w:hAnsi="MS Gothic"/>
          <w:sz w:val="20"/>
          <w:lang w:val="fr-FR"/>
        </w:rPr>
        <w:noBreakHyphen/>
      </w:r>
      <w:r>
        <w:rPr>
          <w:rFonts w:ascii="Minion Pro" w:hAnsi="Minion Pro"/>
          <w:sz w:val="20"/>
          <w:lang w:val="fr-FR"/>
        </w:rPr>
        <w:t xml:space="preserve">64. </w:t>
      </w:r>
    </w:p>
    <w:p>
      <w:pPr>
        <w:pStyle w:val="Bibliography"/>
        <w:rPr>
          <w:rFonts w:ascii="Minion Pro" w:hAnsi="Minion Pro"/>
          <w:sz w:val="20"/>
          <w:lang w:val="fr-FR"/>
        </w:rPr>
      </w:pPr>
      <w:r>
        <w:rPr>
          <w:rFonts w:ascii="Minion Pro" w:hAnsi="Minion Pro"/>
          <w:sz w:val="20"/>
          <w:lang w:val="fr-FR"/>
        </w:rPr>
        <w:t>16.</w:t>
        <w:tab/>
        <w:t>Sartenaer O. Définir l’émergence. Revue des Questions Scientifiques. 2010;181(3):373</w:t>
      </w:r>
      <w:r>
        <w:rPr>
          <w:rFonts w:eastAsia="MS Gothic" w:cs="MS Gothic" w:ascii="MS Gothic" w:hAnsi="MS Gothic"/>
          <w:sz w:val="20"/>
          <w:lang w:val="fr-FR"/>
        </w:rPr>
        <w:noBreakHyphen/>
      </w:r>
      <w:r>
        <w:rPr>
          <w:rFonts w:ascii="Minion Pro" w:hAnsi="Minion Pro"/>
          <w:sz w:val="20"/>
          <w:lang w:val="fr-FR"/>
        </w:rPr>
        <w:t xml:space="preserve">404. </w:t>
      </w:r>
    </w:p>
    <w:p>
      <w:pPr>
        <w:pStyle w:val="Bibliography"/>
        <w:rPr>
          <w:rFonts w:ascii="Minion Pro" w:hAnsi="Minion Pro"/>
          <w:sz w:val="20"/>
        </w:rPr>
      </w:pPr>
      <w:r>
        <w:rPr>
          <w:rFonts w:ascii="Minion Pro" w:hAnsi="Minion Pro"/>
          <w:sz w:val="20"/>
          <w:lang w:val="fr-FR"/>
        </w:rPr>
        <w:t>17.</w:t>
        <w:tab/>
        <w:t xml:space="preserve">Schmid AF, Mambrini-Doudet M, Hatchuel A. Une nouvelle logique de l’interdisciplinarité. npss. </w:t>
      </w:r>
      <w:r>
        <w:rPr>
          <w:rFonts w:ascii="Minion Pro" w:hAnsi="Minion Pro"/>
          <w:sz w:val="20"/>
        </w:rPr>
        <w:t>2011;7(1):105</w:t>
      </w:r>
      <w:r>
        <w:rPr>
          <w:rFonts w:eastAsia="MS Gothic" w:cs="MS Gothic" w:ascii="MS Gothic" w:hAnsi="MS Gothic"/>
          <w:sz w:val="20"/>
        </w:rPr>
        <w:noBreakHyphen/>
      </w:r>
      <w:r>
        <w:rPr>
          <w:rFonts w:ascii="Minion Pro" w:hAnsi="Minion Pro"/>
          <w:sz w:val="20"/>
        </w:rPr>
        <w:t xml:space="preserve">36. </w:t>
      </w:r>
    </w:p>
    <w:p>
      <w:pPr>
        <w:pStyle w:val="Normal"/>
        <w:spacing w:lineRule="auto" w:line="276" w:before="0" w:after="160"/>
        <w:jc w:val="both"/>
        <w:rPr>
          <w:rFonts w:ascii="Minion Pro" w:hAnsi="Minion Pro" w:cs="Times New Roman"/>
          <w:lang w:val="fr-FR"/>
        </w:rPr>
      </w:pPr>
      <w:bookmarkStart w:id="20" w:name="_Hlk155737083"/>
      <w:r>
        <w:rPr/>
      </w:r>
      <w:r>
        <w:rPr/>
        <w:fldChar w:fldCharType="end"/>
      </w:r>
      <w:bookmarkEnd w:id="20"/>
    </w:p>
    <w:sectPr>
      <w:headerReference w:type="default" r:id="rId3"/>
      <w:footerReference w:type="default" r:id="rId4"/>
      <w:type w:val="nextPage"/>
      <w:pgSz w:w="11906" w:h="16838"/>
      <w:pgMar w:left="862" w:right="743" w:header="709" w:top="919"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imes New Roman">
    <w:charset w:val="01"/>
    <w:family w:val="swiss"/>
    <w:pitch w:val="variable"/>
  </w:font>
  <w:font w:name="PMingLiU">
    <w:charset w:val="01"/>
    <w:family w:val="roman"/>
    <w:pitch w:val="variable"/>
  </w:font>
  <w:font w:name="Liberation Sans">
    <w:altName w:val="Arial"/>
    <w:charset w:val="01"/>
    <w:family w:val="roman"/>
    <w:pitch w:val="variable"/>
  </w:font>
  <w:font w:name="Minion Pro">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2083481091"/>
    </w:sdtPr>
    <w:sdtContent>
      <w:p>
        <w:pPr>
          <w:pStyle w:val="Footer"/>
          <w:jc w:val="center"/>
          <w:rPr/>
        </w:pPr>
        <w:r>
          <w:rPr/>
          <w:fldChar w:fldCharType="begin"/>
        </w:r>
        <w:r>
          <w:rPr/>
          <w:instrText> PAGE </w:instrText>
        </w:r>
        <w:r>
          <w:rPr/>
          <w:fldChar w:fldCharType="separate"/>
        </w:r>
        <w:r>
          <w:rPr/>
          <w:t>12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left" w:pos="7476" w:leader="none"/>
      </w:tabs>
      <w:rPr/>
    </w:pPr>
    <w:r>
      <w:drawing>
        <wp:anchor behindDoc="1" distT="0" distB="0" distL="0" distR="0" simplePos="0" locked="0" layoutInCell="1" allowOverlap="1" relativeHeight="13">
          <wp:simplePos x="0" y="0"/>
          <wp:positionH relativeFrom="margin">
            <wp:align>right</wp:align>
          </wp:positionH>
          <wp:positionV relativeFrom="paragraph">
            <wp:posOffset>-635</wp:posOffset>
          </wp:positionV>
          <wp:extent cx="1287780" cy="192405"/>
          <wp:effectExtent l="0" t="0" r="0" b="0"/>
          <wp:wrapNone/>
          <wp:docPr id="1" name="图片 1873745769"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73745769"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r>
    <w:r>
      <w:rPr/>
      <w:drawing>
        <wp:inline distT="0" distB="0" distL="0" distR="0">
          <wp:extent cx="1889760" cy="472440"/>
          <wp:effectExtent l="0" t="0" r="0" b="0"/>
          <wp:docPr id="2" name="图片 475388285" descr="Jour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75388285" descr="Journal Logo"/>
                  <pic:cNvPicPr>
                    <a:picLocks noChangeAspect="1" noChangeArrowheads="1"/>
                  </pic:cNvPicPr>
                </pic:nvPicPr>
                <pic:blipFill>
                  <a:blip r:embed="rId2"/>
                  <a:stretch>
                    <a:fillRect/>
                  </a:stretch>
                </pic:blipFill>
                <pic:spPr bwMode="auto">
                  <a:xfrm>
                    <a:off x="0" y="0"/>
                    <a:ext cx="1889760" cy="47244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108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Arial" w:asciiTheme="minorHAnsi" w:cstheme="minorBidi" w:eastAsiaTheme="minorEastAsia" w:hAnsiTheme="minorHAnsi"/>
      <w:color w:val="auto"/>
      <w:kern w:val="0"/>
      <w:sz w:val="24"/>
      <w:szCs w:val="22"/>
      <w:lang w:val="en-US" w:eastAsia="en-US" w:bidi="ar-SA"/>
    </w:rPr>
  </w:style>
  <w:style w:type="paragraph" w:styleId="Heading1">
    <w:name w:val="Heading 1"/>
    <w:basedOn w:val="ListParagraph"/>
    <w:next w:val="Normal"/>
    <w:link w:val="10"/>
    <w:uiPriority w:val="9"/>
    <w:qFormat/>
    <w:pPr>
      <w:numPr>
        <w:ilvl w:val="0"/>
        <w:numId w:val="1"/>
      </w:numPr>
      <w:jc w:val="both"/>
      <w:outlineLvl w:val="0"/>
    </w:pPr>
    <w:rPr>
      <w:rFonts w:ascii="Times New Roman" w:hAnsi="Times New Roman"/>
      <w:b/>
      <w:lang w:val="fr-FR"/>
    </w:rPr>
  </w:style>
  <w:style w:type="paragraph" w:styleId="Heading2">
    <w:name w:val="Heading 2"/>
    <w:basedOn w:val="Normal"/>
    <w:next w:val="Normal"/>
    <w:link w:val="20"/>
    <w:autoRedefine/>
    <w:uiPriority w:val="9"/>
    <w:unhideWhenUsed/>
    <w:qFormat/>
    <w:pPr>
      <w:keepNext w:val="true"/>
      <w:keepLines/>
      <w:spacing w:before="40" w:after="0"/>
      <w:outlineLvl w:val="1"/>
    </w:pPr>
    <w:rPr>
      <w:rFonts w:ascii="Times New Roman" w:hAnsi="Times New Roman" w:eastAsia="等线 Light" w:cs="Times New Roman" w:cstheme="majorBidi" w:eastAsiaTheme="majorEastAsia"/>
      <w:i/>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Style12" w:customStyle="1">
    <w:name w:val="脚注文本 字符"/>
    <w:basedOn w:val="DefaultParagraphFont"/>
    <w:link w:val="ac"/>
    <w:uiPriority w:val="99"/>
    <w:semiHidden/>
    <w:qFormat/>
    <w:rPr>
      <w:kern w:val="0"/>
      <w:sz w:val="20"/>
      <w:szCs w:val="20"/>
      <w14:ligatures w14:val="none"/>
    </w:rPr>
  </w:style>
  <w:style w:type="character" w:styleId="1" w:customStyle="1">
    <w:name w:val="标题 1 字符"/>
    <w:basedOn w:val="DefaultParagraphFont"/>
    <w:link w:val="1"/>
    <w:uiPriority w:val="9"/>
    <w:qFormat/>
    <w:rPr>
      <w:rFonts w:ascii="Times New Roman" w:hAnsi="Times New Roman"/>
      <w:b/>
      <w:kern w:val="0"/>
      <w:sz w:val="24"/>
      <w:lang w:val="fr-FR"/>
      <w14:ligatures w14:val="none"/>
    </w:rPr>
  </w:style>
  <w:style w:type="character" w:styleId="Style13" w:customStyle="1">
    <w:name w:val="页眉 字符"/>
    <w:basedOn w:val="DefaultParagraphFont"/>
    <w:link w:val="aa"/>
    <w:uiPriority w:val="99"/>
    <w:qFormat/>
    <w:rPr>
      <w:kern w:val="0"/>
      <w:sz w:val="24"/>
      <w14:ligatures w14:val="none"/>
    </w:rPr>
  </w:style>
  <w:style w:type="character" w:styleId="Style14" w:customStyle="1">
    <w:name w:val="页脚 字符"/>
    <w:basedOn w:val="DefaultParagraphFont"/>
    <w:link w:val="a8"/>
    <w:uiPriority w:val="99"/>
    <w:qFormat/>
    <w:rPr>
      <w:kern w:val="0"/>
      <w:sz w:val="24"/>
      <w14:ligatures w14:val="none"/>
    </w:rPr>
  </w:style>
  <w:style w:type="character" w:styleId="2" w:customStyle="1">
    <w:name w:val="标题 2 字符"/>
    <w:basedOn w:val="DefaultParagraphFont"/>
    <w:link w:val="2"/>
    <w:uiPriority w:val="9"/>
    <w:qFormat/>
    <w:rPr>
      <w:rFonts w:ascii="Times New Roman" w:hAnsi="Times New Roman" w:eastAsia="等线 Light" w:cs="Times New Roman" w:cstheme="majorBidi" w:eastAsiaTheme="majorEastAsia"/>
      <w:i/>
      <w:kern w:val="0"/>
      <w:sz w:val="24"/>
      <w:szCs w:val="26"/>
      <w14:ligatures w14:val="none"/>
    </w:rPr>
  </w:style>
  <w:style w:type="character" w:styleId="Mentionnonrsolue1" w:customStyle="1">
    <w:name w:val="Mention non résolue1"/>
    <w:basedOn w:val="DefaultParagraphFont"/>
    <w:uiPriority w:val="99"/>
    <w:semiHidden/>
    <w:unhideWhenUsed/>
    <w:qFormat/>
    <w:rPr>
      <w:color w:val="605E5C"/>
      <w:shd w:fill="E1DFDD" w:val="clear"/>
    </w:rPr>
  </w:style>
  <w:style w:type="character" w:styleId="Style15" w:customStyle="1">
    <w:name w:val="正文文本 字符"/>
    <w:basedOn w:val="DefaultParagraphFont"/>
    <w:link w:val="a6"/>
    <w:uiPriority w:val="1"/>
    <w:qFormat/>
    <w:rPr>
      <w:rFonts w:ascii="PMingLiU" w:hAnsi="PMingLiU" w:eastAsia="PMingLiU" w:cs="PMingLiU"/>
      <w:kern w:val="0"/>
      <w:sz w:val="20"/>
      <w:szCs w:val="20"/>
      <w14:ligatures w14:val="none"/>
    </w:rPr>
  </w:style>
  <w:style w:type="character" w:styleId="Annotationreference">
    <w:name w:val="annotation reference"/>
    <w:basedOn w:val="DefaultParagraphFont"/>
    <w:uiPriority w:val="99"/>
    <w:semiHidden/>
    <w:unhideWhenUsed/>
    <w:qFormat/>
    <w:rPr>
      <w:sz w:val="16"/>
      <w:szCs w:val="16"/>
    </w:rPr>
  </w:style>
  <w:style w:type="character" w:styleId="Style16" w:customStyle="1">
    <w:name w:val="批注文字 字符"/>
    <w:basedOn w:val="DefaultParagraphFont"/>
    <w:link w:val="a4"/>
    <w:uiPriority w:val="99"/>
    <w:semiHidden/>
    <w:qFormat/>
    <w:rsid w:val="003a6608"/>
    <w:rPr>
      <w:rFonts w:ascii="Calibri" w:hAnsi="Calibri" w:eastAsia="等线" w:cs="Arial" w:asciiTheme="minorHAnsi" w:cstheme="minorBidi" w:eastAsiaTheme="minorEastAsia" w:hAnsiTheme="minorHAnsi"/>
      <w:sz w:val="24"/>
      <w:szCs w:val="22"/>
    </w:rPr>
  </w:style>
  <w:style w:type="character" w:styleId="Style17" w:customStyle="1">
    <w:name w:val="批注主题 字符"/>
    <w:basedOn w:val="Style16"/>
    <w:link w:val="af4"/>
    <w:uiPriority w:val="99"/>
    <w:semiHidden/>
    <w:qFormat/>
    <w:rsid w:val="003a6608"/>
    <w:rPr>
      <w:rFonts w:ascii="Calibri" w:hAnsi="Calibri" w:eastAsia="等线" w:cs="Arial" w:asciiTheme="minorHAnsi" w:cstheme="minorBidi" w:eastAsiaTheme="minorEastAsia" w:hAnsiTheme="minorHAnsi"/>
      <w:b/>
      <w:bCs/>
      <w:sz w:val="24"/>
      <w:szCs w:val="22"/>
    </w:rPr>
  </w:style>
  <w:style w:type="character" w:styleId="Anchortext" w:customStyle="1">
    <w:name w:val="anchor-text"/>
    <w:basedOn w:val="DefaultParagraphFont"/>
    <w:qFormat/>
    <w:rsid w:val="00f748c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7"/>
    <w:uiPriority w:val="1"/>
    <w:qFormat/>
    <w:pPr>
      <w:widowControl w:val="false"/>
      <w:spacing w:lineRule="auto" w:line="240" w:before="0" w:after="0"/>
      <w:ind w:left="103" w:hanging="0"/>
    </w:pPr>
    <w:rPr>
      <w:rFonts w:ascii="PMingLiU" w:hAnsi="PMingLiU" w:eastAsia="PMingLiU" w:cs="PMingLiU"/>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Annotationtext">
    <w:name w:val="annotation text"/>
    <w:basedOn w:val="Normal"/>
    <w:link w:val="a5"/>
    <w:uiPriority w:val="99"/>
    <w:semiHidden/>
    <w:unhideWhenUsed/>
    <w:qFormat/>
    <w:pPr/>
    <w:rPr/>
  </w:style>
  <w:style w:type="paragraph" w:styleId="HeaderandFooter">
    <w:name w:val="Header and Footer"/>
    <w:basedOn w:val="Normal"/>
    <w:qFormat/>
    <w:pPr/>
    <w:rPr/>
  </w:style>
  <w:style w:type="paragraph" w:styleId="Footer">
    <w:name w:val="Footer"/>
    <w:basedOn w:val="Normal"/>
    <w:link w:val="a9"/>
    <w:autoRedefine/>
    <w:uiPriority w:val="99"/>
    <w:unhideWhenUsed/>
    <w:qFormat/>
    <w:pPr>
      <w:tabs>
        <w:tab w:val="clear" w:pos="720"/>
        <w:tab w:val="center" w:pos="4703" w:leader="none"/>
        <w:tab w:val="right" w:pos="9406" w:leader="none"/>
      </w:tabs>
      <w:spacing w:lineRule="auto" w:line="240" w:before="0" w:after="0"/>
    </w:pPr>
    <w:rPr/>
  </w:style>
  <w:style w:type="paragraph" w:styleId="Header">
    <w:name w:val="Header"/>
    <w:basedOn w:val="Normal"/>
    <w:link w:val="ab"/>
    <w:autoRedefine/>
    <w:uiPriority w:val="99"/>
    <w:unhideWhenUsed/>
    <w:qFormat/>
    <w:pPr>
      <w:tabs>
        <w:tab w:val="clear" w:pos="720"/>
        <w:tab w:val="center" w:pos="4703" w:leader="none"/>
        <w:tab w:val="right" w:pos="9406" w:leader="none"/>
      </w:tabs>
      <w:spacing w:lineRule="auto" w:line="240" w:before="0" w:after="0"/>
    </w:pPr>
    <w:rPr/>
  </w:style>
  <w:style w:type="paragraph" w:styleId="Footnote">
    <w:name w:val="Footnote Text"/>
    <w:basedOn w:val="Normal"/>
    <w:link w:val="ad"/>
    <w:autoRedefine/>
    <w:uiPriority w:val="99"/>
    <w:semiHidden/>
    <w:unhideWhenUsed/>
    <w:qFormat/>
    <w:pPr>
      <w:spacing w:lineRule="auto" w:line="240" w:before="0" w:after="0"/>
    </w:pPr>
    <w:rPr>
      <w:sz w:val="20"/>
      <w:szCs w:val="20"/>
    </w:rPr>
  </w:style>
  <w:style w:type="paragraph" w:styleId="NormalWeb">
    <w:name w:val="Normal (Web)"/>
    <w:basedOn w:val="Normal"/>
    <w:uiPriority w:val="99"/>
    <w:semiHidden/>
    <w:unhideWhenUsed/>
    <w:qFormat/>
    <w:pPr/>
    <w:rPr/>
  </w:style>
  <w:style w:type="paragraph" w:styleId="Bibliographie1" w:customStyle="1">
    <w:name w:val="Bibliographie1"/>
    <w:basedOn w:val="Normal"/>
    <w:next w:val="Normal"/>
    <w:autoRedefine/>
    <w:uiPriority w:val="37"/>
    <w:unhideWhenUsed/>
    <w:qFormat/>
    <w:pPr>
      <w:spacing w:lineRule="auto" w:line="480" w:before="0" w:after="0"/>
      <w:ind w:left="720" w:hanging="720"/>
    </w:pPr>
    <w:rPr/>
  </w:style>
  <w:style w:type="paragraph" w:styleId="Author" w:customStyle="1">
    <w:name w:val="author"/>
    <w:basedOn w:val="Heading2"/>
    <w:autoRedefine/>
    <w:qFormat/>
    <w:pPr>
      <w:keepLines w:val="false"/>
      <w:tabs>
        <w:tab w:val="clear" w:pos="720"/>
        <w:tab w:val="left" w:pos="450" w:leader="none"/>
      </w:tabs>
      <w:spacing w:lineRule="auto" w:line="240" w:before="200" w:after="680"/>
      <w:jc w:val="center"/>
    </w:pPr>
    <w:rPr>
      <w:rFonts w:eastAsia="宋体" w:cs="Times New Roman"/>
      <w:b/>
      <w:sz w:val="20"/>
      <w:szCs w:val="20"/>
      <w:lang w:eastAsia="zh-CN"/>
    </w:rPr>
  </w:style>
  <w:style w:type="paragraph" w:styleId="Revision">
    <w:name w:val="Revision"/>
    <w:uiPriority w:val="99"/>
    <w:unhideWhenUsed/>
    <w:qFormat/>
    <w:rsid w:val="00aa165e"/>
    <w:pPr>
      <w:widowControl/>
      <w:suppressAutoHyphens w:val="true"/>
      <w:bidi w:val="0"/>
      <w:spacing w:before="0" w:after="0"/>
      <w:jc w:val="left"/>
    </w:pPr>
    <w:rPr>
      <w:rFonts w:ascii="Calibri" w:hAnsi="Calibri" w:eastAsia="等线" w:cs="Arial" w:asciiTheme="minorHAnsi" w:cstheme="minorBidi" w:eastAsiaTheme="minorEastAsia" w:hAnsiTheme="minorHAnsi"/>
      <w:color w:val="auto"/>
      <w:kern w:val="0"/>
      <w:sz w:val="24"/>
      <w:szCs w:val="22"/>
      <w:lang w:val="en-US" w:eastAsia="en-US" w:bidi="ar-SA"/>
    </w:rPr>
  </w:style>
  <w:style w:type="paragraph" w:styleId="Bibliography">
    <w:name w:val="Bibliography"/>
    <w:basedOn w:val="Normal"/>
    <w:next w:val="Normal"/>
    <w:uiPriority w:val="37"/>
    <w:unhideWhenUsed/>
    <w:qFormat/>
    <w:rsid w:val="00aa165e"/>
    <w:pPr>
      <w:tabs>
        <w:tab w:val="clear" w:pos="720"/>
        <w:tab w:val="left" w:pos="384" w:leader="none"/>
      </w:tabs>
      <w:spacing w:lineRule="auto" w:line="240" w:before="0" w:after="240"/>
      <w:ind w:left="384" w:hanging="384"/>
    </w:pPr>
    <w:rPr/>
  </w:style>
  <w:style w:type="paragraph" w:styleId="Annotationsubject">
    <w:name w:val="annotation subject"/>
    <w:basedOn w:val="Annotationtext"/>
    <w:next w:val="Annotationtext"/>
    <w:link w:val="af5"/>
    <w:uiPriority w:val="99"/>
    <w:semiHidden/>
    <w:unhideWhenUsed/>
    <w:qFormat/>
    <w:rsid w:val="003a6608"/>
    <w:pPr>
      <w:spacing w:lineRule="auto" w:line="240"/>
    </w:pPr>
    <w:rPr>
      <w:b/>
      <w:bCs/>
      <w:sz w:val="20"/>
      <w:szCs w:val="20"/>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ssandra.pat29@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4F09-0069-47CD-8A1D-7FC948FB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Application>LibreOffice/6.4.7.2$Linux_X86_64 LibreOffice_project/40$Build-2</Application>
  <Pages>12</Pages>
  <Words>5855</Words>
  <Characters>32388</Characters>
  <CharactersWithSpaces>38202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2024-02-27T18:12:00Z</dcterms:created>
  <dc:creator>Cassandra Patinet</dc:creator>
  <dc:description/>
  <dc:language>en-US</dc:language>
  <cp:lastModifiedBy/>
  <dcterms:modified xsi:type="dcterms:W3CDTF">2024-05-29T18:04:04Z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97BFED8C227E484290290804AB20C685_12</vt:lpwstr>
  </property>
  <property fmtid="{D5CDD505-2E9C-101B-9397-08002B2CF9AE}" pid="6" name="KSOProductBuildVer">
    <vt:lpwstr>2052-12.1.0.16250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zotero-version="6.0.30"&gt;&lt;session id="aI0jivP2"/&gt;&lt;style id="http://www.zotero.org/styles/vancouver" locale="fr-FR" hasBibliography="1" bibliographyStyleHasBeenSet="1"/&gt;&lt;prefs&gt;&lt;pref name="fieldType" value="Field"/&gt;&lt;/prefs&gt;&lt;/data&gt;</vt:lpwstr>
  </property>
</Properties>
</file>