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36.wmf" ContentType="image/x-wmf"/>
  <Override PartName="/word/media/image29.wmf" ContentType="image/x-wmf"/>
  <Override PartName="/word/media/image39.wmf" ContentType="image/x-wmf"/>
  <Override PartName="/word/media/image9.wmf" ContentType="image/x-wmf"/>
  <Override PartName="/word/media/image48.wmf" ContentType="image/x-wmf"/>
  <Override PartName="/word/media/image11.wmf" ContentType="image/x-wmf"/>
  <Override PartName="/word/media/image54.png" ContentType="image/png"/>
  <Override PartName="/word/media/image6.wmf" ContentType="image/x-wmf"/>
  <Override PartName="/word/media/image18.wmf" ContentType="image/x-wmf"/>
  <Override PartName="/word/media/image5.jpeg" ContentType="image/jpeg"/>
  <Override PartName="/word/media/image61.png" ContentType="image/png"/>
  <Override PartName="/word/media/image22.wmf" ContentType="image/x-wmf"/>
  <Override PartName="/word/media/image33.wmf" ContentType="image/x-wmf"/>
  <Override PartName="/word/media/image15.wmf" ContentType="image/x-wmf"/>
  <Override PartName="/word/media/image3.wmf" ContentType="image/x-wmf"/>
  <Override PartName="/word/media/image26.wmf" ContentType="image/x-wmf"/>
  <Override PartName="/word/media/image32.wmf" ContentType="image/x-wmf"/>
  <Override PartName="/word/media/image60.png" ContentType="image/png"/>
  <Override PartName="/word/media/image21.wmf" ContentType="image/x-wmf"/>
  <Override PartName="/word/media/image24.wmf" ContentType="image/x-wmf"/>
  <Override PartName="/word/media/image28.wmf" ContentType="image/x-wmf"/>
  <Override PartName="/word/media/image23.wmf" ContentType="image/x-wmf"/>
  <Override PartName="/word/media/image34.wmf" ContentType="image/x-wmf"/>
  <Override PartName="/word/media/image1.jpeg" ContentType="image/jpeg"/>
  <Override PartName="/word/media/image50.wmf" ContentType="image/x-wmf"/>
  <Override PartName="/word/media/image17.wmf" ContentType="image/x-wmf"/>
  <Override PartName="/word/media/image27.wmf" ContentType="image/x-wmf"/>
  <Override PartName="/word/media/image25.wmf" ContentType="image/x-wmf"/>
  <Override PartName="/word/media/image2.wmf" ContentType="image/x-wmf"/>
  <Override PartName="/word/media/image14.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51.png" ContentType="image/png"/>
  <Override PartName="/word/media/image8.wmf" ContentType="image/x-wmf"/>
  <Override PartName="/word/media/image38.wmf" ContentType="image/x-wmf"/>
  <Override PartName="/word/media/image13.wmf" ContentType="image/x-wmf"/>
  <Override PartName="/word/media/image52.png" ContentType="image/png"/>
  <Override PartName="/word/media/image47.wmf" ContentType="image/x-wmf"/>
  <Override PartName="/word/media/image58.jpeg" ContentType="image/jpeg"/>
  <Override PartName="/word/media/image30.wmf" ContentType="image/x-wmf"/>
  <Override PartName="/word/media/image31.wmf" ContentType="image/x-wmf"/>
  <Override PartName="/word/media/image35.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5.jpeg" ContentType="image/jpeg"/>
  <Override PartName="/word/media/image53.png" ContentType="image/png"/>
  <Override PartName="/word/media/image10.wmf" ContentType="image/x-wmf"/>
  <Override PartName="/word/media/image56.jpeg" ContentType="image/jpeg"/>
  <Override PartName="/word/media/image20.wmf" ContentType="image/x-wmf"/>
  <Override PartName="/word/media/image57.jpeg" ContentType="image/jpeg"/>
  <Override PartName="/word/media/image59.png" ContentType="image/png"/>
  <Override PartName="/word/media/image4.wmf" ContentType="image/x-wmf"/>
  <Override PartName="/word/media/image1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8.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187" w:leader="none"/>
        </w:tabs>
        <w:spacing w:before="0" w:after="0"/>
        <w:jc w:val="left"/>
        <w:rPr>
          <w:sz w:val="18"/>
          <w:szCs w:val="18"/>
        </w:rPr>
      </w:pPr>
      <w:r>
        <w:rPr>
          <w:sz w:val="18"/>
          <w:szCs w:val="18"/>
        </w:rPr>
        <w:fldChar w:fldCharType="begin"/>
      </w:r>
      <w:r>
        <w:rPr>
          <w:sz w:val="18"/>
          <w:szCs w:val="18"/>
        </w:rPr>
        <w:instrText> SEQ MTEqn \* ARABIC </w:instrText>
      </w:r>
      <w:r>
        <w:rPr>
          <w:sz w:val="18"/>
          <w:szCs w:val="18"/>
        </w:rPr>
        <w:fldChar w:fldCharType="separate"/>
      </w:r>
      <w:r>
        <w:rPr>
          <w:sz w:val="18"/>
          <w:szCs w:val="18"/>
        </w:rPr>
        <w:t>1</w:t>
      </w:r>
      <w:r>
        <w:rPr>
          <w:sz w:val="18"/>
          <w:szCs w:val="18"/>
        </w:rPr>
        <w:fldChar w:fldCharType="end"/>
      </w:r>
      <w:r>
        <w:rPr>
          <w:sz w:val="18"/>
          <w:szCs w:val="18"/>
        </w:rPr>
        <w:fldChar w:fldCharType="begin"/>
      </w:r>
      <w:r>
        <w:rPr>
          <w:sz w:val="18"/>
          <w:szCs w:val="18"/>
        </w:rPr>
        <w:instrText> SEQ MTSec \* ARABIC </w:instrText>
      </w:r>
      <w:r>
        <w:rPr>
          <w:sz w:val="18"/>
          <w:szCs w:val="18"/>
        </w:rPr>
        <w:fldChar w:fldCharType="separate"/>
      </w:r>
      <w:r>
        <w:rPr>
          <w:sz w:val="18"/>
          <w:szCs w:val="18"/>
        </w:rPr>
        <w:t>1</w:t>
      </w:r>
      <w:r>
        <w:rPr>
          <w:sz w:val="18"/>
          <w:szCs w:val="18"/>
        </w:rPr>
        <w:fldChar w:fldCharType="end"/>
      </w:r>
      <w:r>
        <w:rPr>
          <w:sz w:val="18"/>
          <w:szCs w:val="18"/>
        </w:rPr>
        <w:fldChar w:fldCharType="begin"/>
      </w:r>
      <w:r>
        <w:rPr>
          <w:sz w:val="18"/>
          <w:szCs w:val="18"/>
        </w:rPr>
        <w:instrText> SEQ MTChap \* ARABIC </w:instrText>
      </w:r>
      <w:r>
        <w:rPr>
          <w:sz w:val="18"/>
          <w:szCs w:val="18"/>
        </w:rPr>
        <w:fldChar w:fldCharType="separate"/>
      </w:r>
      <w:r>
        <w:rPr>
          <w:sz w:val="18"/>
          <w:szCs w:val="18"/>
        </w:rPr>
        <w:t>1</w:t>
      </w:r>
      <w:r>
        <w:rPr>
          <w:sz w:val="18"/>
          <w:szCs w:val="18"/>
        </w:rPr>
        <w:fldChar w:fldCharType="end"/>
      </w:r>
      <w:r>
        <w:fldChar w:fldCharType="begin"/>
      </w:r>
      <w:r>
        <w:rPr>
          <w:sz w:val="18"/>
          <w:szCs w:val="18"/>
        </w:rPr>
        <w:instrText>MACROBUTTONTEditEquationSection2 Equation Chapter 1 Section 1</w:instrText>
      </w:r>
      <w:r>
        <w:rPr>
          <w:sz w:val="18"/>
          <w:szCs w:val="18"/>
        </w:rPr>
      </w:r>
      <w:r>
        <w:rPr>
          <w:sz w:val="18"/>
          <w:szCs w:val="18"/>
        </w:rPr>
        <w:fldChar w:fldCharType="separate"/>
      </w:r>
      <w:r>
        <w:rPr>
          <w:sz w:val="18"/>
          <w:szCs w:val="18"/>
        </w:rPr>
        <w:t>Equation Chapter 1 Section 1</w:t>
      </w:r>
      <w:r>
        <w:rPr>
          <w:sz w:val="18"/>
          <w:szCs w:val="18"/>
        </w:rPr>
      </w:r>
      <w:r>
        <w:rPr>
          <w:sz w:val="18"/>
          <w:szCs w:val="18"/>
        </w:rPr>
        <w:fldChar w:fldCharType="end"/>
      </w:r>
      <w:r>
        <w:rPr>
          <w:sz w:val="18"/>
          <w:szCs w:val="18"/>
        </w:rPr>
        <w:t>DOI: xxx</w:t>
      </w:r>
    </w:p>
    <w:p>
      <w:pPr>
        <w:pStyle w:val="Normal"/>
        <w:tabs>
          <w:tab w:val="clear" w:pos="720"/>
          <w:tab w:val="left" w:pos="187" w:leader="none"/>
        </w:tabs>
        <w:spacing w:before="0" w:after="0"/>
        <w:jc w:val="left"/>
        <w:rPr>
          <w:b/>
          <w:b/>
          <w:bCs/>
          <w:i/>
          <w:i/>
          <w:iCs/>
          <w:sz w:val="18"/>
          <w:szCs w:val="18"/>
        </w:rPr>
      </w:pPr>
      <w:r>
        <w:rPr>
          <w:b/>
          <w:bCs/>
          <w:i/>
          <w:iCs/>
          <w:sz w:val="18"/>
          <w:szCs w:val="18"/>
        </w:rPr>
        <w:t>Type: xxx</w:t>
      </w:r>
    </w:p>
    <w:p>
      <w:pPr>
        <w:pStyle w:val="11"/>
        <w:widowControl w:val="false"/>
        <w:tabs>
          <w:tab w:val="clear" w:pos="720"/>
          <w:tab w:val="left" w:pos="187" w:leader="none"/>
        </w:tabs>
        <w:snapToGrid w:val="false"/>
        <w:spacing w:before="0" w:after="0"/>
        <w:rPr>
          <w:sz w:val="22"/>
          <w:szCs w:val="22"/>
        </w:rPr>
      </w:pPr>
      <w:r>
        <w:rPr>
          <w:sz w:val="22"/>
          <w:szCs w:val="22"/>
        </w:rPr>
      </w:r>
    </w:p>
    <w:p>
      <w:pPr>
        <w:pStyle w:val="11"/>
        <w:widowControl w:val="false"/>
        <w:tabs>
          <w:tab w:val="clear" w:pos="720"/>
          <w:tab w:val="left" w:pos="187" w:leader="none"/>
        </w:tabs>
        <w:snapToGrid w:val="false"/>
        <w:spacing w:before="0" w:after="0"/>
        <w:rPr>
          <w:sz w:val="22"/>
          <w:szCs w:val="22"/>
        </w:rPr>
      </w:pPr>
      <w:r>
        <w:rPr>
          <w:sz w:val="22"/>
          <w:szCs w:val="22"/>
        </w:rPr>
      </w:r>
    </w:p>
    <w:p>
      <w:pPr>
        <w:pStyle w:val="11"/>
        <w:widowControl w:val="false"/>
        <w:tabs>
          <w:tab w:val="clear" w:pos="720"/>
          <w:tab w:val="left" w:pos="187" w:leader="none"/>
        </w:tabs>
        <w:snapToGrid w:val="false"/>
        <w:spacing w:before="0" w:after="0"/>
        <w:jc w:val="center"/>
        <w:rPr/>
      </w:pPr>
      <w:r>
        <w:rPr>
          <w:szCs w:val="28"/>
        </w:rPr>
        <w:t xml:space="preserve">Nonlinear Registration of Brain Magnetic Resonance Images with Cross Constraints of intensity and Structure </w:t>
      </w:r>
    </w:p>
    <w:p>
      <w:pPr>
        <w:pStyle w:val="Author"/>
        <w:keepNext w:val="false"/>
        <w:widowControl w:val="false"/>
        <w:tabs>
          <w:tab w:val="left" w:pos="187" w:leader="none"/>
          <w:tab w:val="left" w:pos="450" w:leader="none"/>
        </w:tabs>
        <w:suppressAutoHyphens w:val="true"/>
        <w:bidi w:val="0"/>
        <w:snapToGrid w:val="false"/>
        <w:spacing w:before="0" w:after="240"/>
        <w:rPr>
          <w:rFonts w:ascii="Times New Roman" w:hAnsi="Times New Roman" w:eastAsia="宋体" w:cs="Times New Roman"/>
          <w:b/>
          <w:b/>
          <w:bCs/>
          <w:i w:val="false"/>
          <w:i w:val="false"/>
          <w:color w:val="auto"/>
          <w:kern w:val="0"/>
          <w:sz w:val="22"/>
          <w:szCs w:val="22"/>
          <w:lang w:val="en-US" w:eastAsia="zh-CN" w:bidi="ar-SA"/>
        </w:rPr>
      </w:pPr>
      <w:r>
        <w:rPr>
          <w:rFonts w:eastAsia="宋体" w:cs="Times New Roman"/>
          <w:b/>
          <w:bCs/>
          <w:i w:val="false"/>
          <w:color w:val="auto"/>
          <w:kern w:val="0"/>
          <w:sz w:val="22"/>
          <w:szCs w:val="22"/>
          <w:lang w:val="en-US" w:eastAsia="zh-CN" w:bidi="ar-SA"/>
        </w:rPr>
        <w:t xml:space="preserve">Han Zhou1,2, Hongtao </w:t>
      </w:r>
      <w:bookmarkStart w:id="0" w:name="OLE_LINK218"/>
      <w:r>
        <w:rPr>
          <w:rFonts w:eastAsia="宋体" w:cs="Times New Roman"/>
          <w:b/>
          <w:bCs/>
          <w:i w:val="false"/>
          <w:color w:val="auto"/>
          <w:kern w:val="0"/>
          <w:sz w:val="22"/>
          <w:szCs w:val="22"/>
          <w:lang w:val="en-US" w:eastAsia="zh-CN" w:bidi="ar-SA"/>
        </w:rPr>
        <w:t>Xu, Xinyue Chang1,2, Wei Zhang1,2 and Heng Dong</w:t>
      </w:r>
      <w:bookmarkEnd w:id="0"/>
      <w:r>
        <w:rPr>
          <w:rFonts w:eastAsia="宋体" w:cs="Times New Roman"/>
          <w:b/>
          <w:bCs/>
          <w:i w:val="false"/>
          <w:color w:val="auto"/>
          <w:kern w:val="0"/>
          <w:sz w:val="22"/>
          <w:szCs w:val="22"/>
          <w:lang w:val="en-US" w:eastAsia="zh-CN" w:bidi="ar-SA"/>
        </w:rPr>
        <w:t>1,2,*</w:t>
      </w:r>
    </w:p>
    <w:p>
      <w:pPr>
        <w:pStyle w:val="Normal"/>
        <w:widowControl w:val="false"/>
        <w:tabs>
          <w:tab w:val="clear" w:pos="720"/>
          <w:tab w:val="left" w:pos="187" w:leader="none"/>
        </w:tabs>
        <w:snapToGrid w:val="false"/>
        <w:jc w:val="center"/>
        <w:rPr>
          <w:sz w:val="18"/>
          <w:szCs w:val="18"/>
        </w:rPr>
      </w:pPr>
      <w:r>
        <w:rPr>
          <w:sz w:val="18"/>
          <w:szCs w:val="18"/>
          <w:vertAlign w:val="superscript"/>
        </w:rPr>
        <w:t>1</w:t>
      </w:r>
      <w:r>
        <w:rPr>
          <w:sz w:val="18"/>
          <w:szCs w:val="18"/>
        </w:rPr>
        <w:t>Digital Fujian Research Institute of Big Data for Agriculture and Forestry, Fujian Agriculture and Forestry University, Fuzhou,</w:t>
      </w:r>
      <w:r>
        <w:rPr/>
        <w:t xml:space="preserve"> </w:t>
      </w:r>
      <w:r>
        <w:rPr>
          <w:sz w:val="18"/>
          <w:szCs w:val="18"/>
        </w:rPr>
        <w:t>350002, China.</w:t>
      </w:r>
    </w:p>
    <w:p>
      <w:pPr>
        <w:pStyle w:val="Normal"/>
        <w:widowControl w:val="false"/>
        <w:tabs>
          <w:tab w:val="clear" w:pos="720"/>
          <w:tab w:val="left" w:pos="187" w:leader="none"/>
        </w:tabs>
        <w:snapToGrid w:val="false"/>
        <w:jc w:val="center"/>
        <w:rPr>
          <w:sz w:val="18"/>
          <w:szCs w:val="18"/>
        </w:rPr>
      </w:pPr>
      <w:r>
        <w:rPr>
          <w:sz w:val="18"/>
          <w:szCs w:val="18"/>
          <w:vertAlign w:val="superscript"/>
        </w:rPr>
        <w:t>2</w:t>
      </w:r>
      <w:r>
        <w:rPr>
          <w:sz w:val="18"/>
          <w:szCs w:val="18"/>
        </w:rPr>
        <w:t>College of Computer and Information Science, Fujian Agriculture and Forestry University, Fuzhou, 350002, China.</w:t>
      </w:r>
    </w:p>
    <w:p>
      <w:pPr>
        <w:pStyle w:val="Normal"/>
        <w:widowControl w:val="false"/>
        <w:tabs>
          <w:tab w:val="clear" w:pos="720"/>
          <w:tab w:val="left" w:pos="187" w:leader="none"/>
        </w:tabs>
        <w:snapToGrid w:val="false"/>
        <w:jc w:val="center"/>
        <w:rPr>
          <w:sz w:val="18"/>
          <w:szCs w:val="18"/>
        </w:rPr>
      </w:pPr>
      <w:r>
        <w:rPr>
          <w:sz w:val="18"/>
          <w:szCs w:val="18"/>
          <w:vertAlign w:val="superscript"/>
        </w:rPr>
        <w:t>*</w:t>
      </w:r>
      <w:r>
        <w:rPr>
          <w:sz w:val="18"/>
          <w:szCs w:val="18"/>
        </w:rPr>
        <w:t>Corresponding Author:</w:t>
      </w:r>
      <w:r>
        <w:rPr/>
        <w:t xml:space="preserve"> </w:t>
      </w:r>
      <w:r>
        <w:rPr>
          <w:sz w:val="18"/>
          <w:szCs w:val="18"/>
        </w:rPr>
        <w:t>Heng Dong. Email: dh9785@guomaitech.com</w:t>
      </w:r>
    </w:p>
    <w:p>
      <w:pPr>
        <w:pStyle w:val="Normal"/>
        <w:widowControl w:val="false"/>
        <w:tabs>
          <w:tab w:val="clear" w:pos="720"/>
          <w:tab w:val="left" w:pos="187" w:leader="none"/>
        </w:tabs>
        <w:snapToGrid w:val="false"/>
        <w:jc w:val="center"/>
        <w:rPr>
          <w:sz w:val="18"/>
          <w:szCs w:val="18"/>
        </w:rPr>
      </w:pPr>
      <w:r>
        <w:rPr>
          <w:sz w:val="18"/>
          <w:szCs w:val="18"/>
        </w:rPr>
        <w:t>Received: 16 November 2023; Accepted: 04 March 2024</w:t>
      </w:r>
    </w:p>
    <w:p>
      <w:pPr>
        <w:pStyle w:val="Normal"/>
        <w:widowControl w:val="false"/>
        <w:tabs>
          <w:tab w:val="clear" w:pos="720"/>
          <w:tab w:val="left" w:pos="187" w:leader="none"/>
        </w:tabs>
        <w:snapToGrid w:val="false"/>
        <w:spacing w:before="480" w:after="240"/>
        <w:ind w:left="1418" w:right="1418" w:hanging="0"/>
        <w:rPr>
          <w:sz w:val="20"/>
          <w:szCs w:val="22"/>
        </w:rPr>
      </w:pPr>
      <w:r>
        <w:rPr>
          <w:b/>
          <w:sz w:val="20"/>
          <w:szCs w:val="22"/>
        </w:rPr>
        <w:t xml:space="preserve">Abstract: </w:t>
      </w:r>
      <w:r>
        <w:rPr>
          <w:sz w:val="20"/>
          <w:szCs w:val="22"/>
        </w:rPr>
        <w:t>Many deep learning-based registration methods rely on a single-stream encoder-decoder network for computing deformation fields between 3D volumes. However, these methods often lack constraint information and overlook semantic consistency, limiting their performance. To address these issues, we present a novel approach for medical image registration called the Dual-VoxelMorph, featuring a dual-channel cross-constraint network. This innovative network utilizes both intensity and segmentation images, which share identical semantic information and feature representations.</w:t>
      </w:r>
      <w:r>
        <w:rPr/>
        <w:t xml:space="preserve"> </w:t>
      </w:r>
      <w:r>
        <w:rPr>
          <w:sz w:val="20"/>
          <w:szCs w:val="22"/>
        </w:rPr>
        <w:t>Two encoder-decoder structures calculate deformation fields for intensity and segmentation images, as generated by the dual-channel cross-constraint network. This design facilitates bidirectional communication between grayscale and segmentation information, enabling the model to better learn the corresponding grayscale and segmentation details of the same anatomical structures.</w:t>
      </w:r>
      <w:r>
        <w:rPr>
          <w:sz w:val="20"/>
        </w:rPr>
        <w:t xml:space="preserve"> </w:t>
      </w:r>
      <w:r>
        <w:rPr>
          <w:sz w:val="20"/>
          <w:szCs w:val="22"/>
        </w:rPr>
        <w:t>To ensure semantic and directional consistency, we introduce constraints and apply the cosine similarity function to enhance semantic consistency. Evaluation on four public datasets demonstrates superior performance compared to the baseline method, achieving Dice scores of 79.9%, 64.5%, 69.9%, and 63.5% for OASIS-1, OASIS-3, LPBA40, and ADNI, respectively.</w:t>
      </w:r>
    </w:p>
    <w:p>
      <w:pPr>
        <w:pStyle w:val="Normal"/>
        <w:widowControl w:val="false"/>
        <w:tabs>
          <w:tab w:val="clear" w:pos="720"/>
          <w:tab w:val="left" w:pos="187" w:leader="none"/>
        </w:tabs>
        <w:snapToGrid w:val="false"/>
        <w:spacing w:before="0" w:after="0"/>
        <w:ind w:left="1417" w:right="1417" w:hanging="0"/>
        <w:rPr>
          <w:sz w:val="20"/>
          <w:szCs w:val="22"/>
        </w:rPr>
      </w:pPr>
      <w:r>
        <w:rPr>
          <w:b/>
          <w:sz w:val="20"/>
          <w:szCs w:val="22"/>
        </w:rPr>
        <w:t xml:space="preserve">Keywords: </w:t>
      </w:r>
      <w:r>
        <w:rPr>
          <w:sz w:val="20"/>
          <w:szCs w:val="22"/>
        </w:rPr>
        <w:t xml:space="preserve">Medical Image Registration, Cross Constraint, Semantic Consistency, Directional Consistency, Dual-channel </w:t>
      </w:r>
    </w:p>
    <w:p>
      <w:pPr>
        <w:pStyle w:val="Keyword"/>
        <w:widowControl w:val="false"/>
        <w:tabs>
          <w:tab w:val="clear" w:pos="720"/>
          <w:tab w:val="left" w:pos="187" w:leader="none"/>
        </w:tabs>
        <w:snapToGrid w:val="false"/>
        <w:spacing w:before="240" w:after="60"/>
        <w:rPr>
          <w:b/>
          <w:b/>
          <w:szCs w:val="22"/>
        </w:rPr>
      </w:pPr>
      <w:r>
        <w:rPr>
          <w:b/>
          <w:szCs w:val="22"/>
        </w:rPr>
        <w:t>1</w:t>
        <w:tab/>
        <w:t>Introduction</w:t>
      </w:r>
    </w:p>
    <w:p>
      <w:pPr>
        <w:pStyle w:val="Keyword"/>
        <w:widowControl w:val="false"/>
        <w:snapToGrid w:val="false"/>
        <w:rPr/>
      </w:pPr>
      <w:r>
        <w:rPr/>
        <w:t xml:space="preserve">Deformable image registration establishes the spatial transformation between voxels in fixed and moving images. This technique finds extensive applications in diverse domains, including medical image analysis </w:t>
      </w:r>
      <w:r>
        <w:fldChar w:fldCharType="begin"/>
      </w:r>
      <w:r>
        <w:rPr/>
        <w:instrText>ADDIN ZOTERO_ITEM CSL_CITATION {"citationID":"nODyxPx5","properties":{"formattedCitation":"[1], [2], [3]","plainCitation":"[1], [2], [3]","noteIndex":0},"citationItems":[{"id":26,"uris":["http://zotero.org/users/local/BKRnzujf/items/T2GSACYX"],"itemData":{"id":26,"type":"chapter","abstract":"Traditional deformable registration techniques achieve impressive results and offer a rigorous theoretical treatment, but are computationally intensive since they solve an optimization problem for each image pair. Recently, learning-based methods have facilitated fast registration by learning spatial deformation functions. However, these approaches use restricted deformation models, require supervised labels, or do not guarantee a diffeomorphic (topology-preserving) registration. Furthermore, learning-based registration tools have not been derived from a probabilistic framework that can offer uncertainty estimates. In this paper, we present a probabilistic generative model and derive an unsupervised learning-based inference algorithm that makes use of recent developments in convolutional neural networks (CNNs). We demonstrate our method on a 3D brain registration task, and provide an empirical analysis of the algorithm. Our approach results in state of the art accuracy and very fast runtimes, while providing diffeomorphic guarantees and uncertainty estimates. Our implementation is available online at http://voxelmorph.csail.mit.edu .","note":"DOI: 10.1007/978-3-030-00928-1_82\narXiv:1805.04605 [cs]","page":"729-738","source":"arXiv.org","title":"Unsupervised Learning for Fast Probabilistic Diffeomorphic Registration","URL":"http://arxiv.org/abs/1805.04605","volume":"11070","author":[{"family":"Dalca","given":"Adrian V."},{"family":"Balakrishnan","given":"Guha"},{"family":"Guttag","given":"John"},{"family":"Sabuncu","given":"Mert R."}],"accessed":{"date-parts":[["2023",5,16]]},"issued":{"date-parts":[["2018"]]},"citation-key":"dalcaUnsupervisedLearningFast2018"},"label":"page"},{"id":23,"uris":["http://zotero.org/users/local/BKRnzujf/items/6DIKG6DD"],"itemData":{"id":23,"type":"article-journal","abstract":"This paper presents a review of deep learning (DL)-based medical image registration methods. We summarized the latest developments and applications of DL-based registration methods in the medical field. These methods were classified into seven categories according to their methods, functions and popularity. A detailed review of each category was presented, highlighting important contributions and identifying specific challenges. A short assessment was presented following the detailed review of each category to summarize its achievements and future potential. We provided a comprehensive comparison among DL-based methods for lung and brain registration using benchmark datasets. Lastly, we analyzed the statistics of all the cited works from various aspects, revealing the popularity and future trend of DL-based medical image registration.","container-title":"Physics in Medicine and Biology","DOI":"10.1088/1361-6560/ab843e","ISSN":"1361-6560","issue":"20","journalAbbreviation":"Phys Med Biol","language":"eng","note":"PMID: 32217829\nPMCID: PMC7759388","page":"20TR01","source":"PubMed","title":"Deep learning in medical image registration: a review","title-short":"Deep learning in medical image registration","volume":"65","author":[{"family":"Fu","given":"Yabo"},{"family":"Lei","given":"Yang"},{"family":"Wang","given":"Tonghe"},{"family":"Curran","given":"Walter J."},{"family":"Liu","given":"Tian"},{"family":"Yang","given":"Xiaofeng"}],"issued":{"date-parts":[["2020",10,22]]},"citation-key":"fuDeepLearningMedical2020"},"label":"page"},{"id":97,"uris":["http://zotero.org/users/local/BKRnzujf/items/LB5SVZYS"],"itemData":{"id":97,"type":"article-journal","abstract":"The rapid advancements in machine learning, graphics processing technologies and the availability of medical imaging data have led to a rapid increase in the use of deep learning models in the medical domain. This was exacerbated by the rapid advancements in convolutional neural network (CNN) based architectures, which were adopted by the medical imaging community to assist clinicians in disease diagnosis. Since the grand success of AlexNet in 2012, CNNs have been increasingly used in medical image analysis to improve the efficiency of human clinicians. In recent years, three-dimensional (3D) CNNs have been employed for the analysis of medical images. In this paper, we trace the history of how the 3D CNN was developed from its machine learning roots, we provide a brief mathematical description of 3D CNN and provide the preprocessing steps required for medical images before feeding them to 3D CNNs. We review the significant research in the field of 3D medical imaging analysis using 3D CNNs (and its variants) in different medical areas such as classification, segmentation, detection and localization. We conclude by discussing the challenges associated with the use of 3D CNNs in the medical imaging domain (and the use of deep learning models in general) and possible future trends in the field.","container-title":"Sensors","DOI":"10.3390/s20185097","ISSN":"1424-8220","issue":"18","language":"en","license":"http://creativecommons.org/licenses/by/3.0/","note":"number: 18\npublisher: Multidisciplinary Digital Publishing Institute","page":"5097","source":"www.mdpi.com","title":"3D Deep Learning on Medical Images: A Review","title-short":"3D Deep Learning on Medical Images","volume":"20","author":[{"family":"Singh","given":"Satya P."},{"family":"Wang","given":"Lipo"},{"family":"Gupta","given":"Sukrit"},{"family":"Goli","given":"Haveesh"},{"family":"Padmanabhan","given":"Parasuraman"},{"family":"Gulyás","given":"Balázs"}],"issued":{"date-parts":[["2020",1]]},"citation-key":"singh3DDeepLearning2020"},"label":"page"}],"schema":"https://github.com/citation-style-language/schema/raw/master/csl-citation.json"}</w:instrText>
      </w:r>
      <w:r>
        <w:rPr/>
      </w:r>
      <w:r>
        <w:rPr/>
        <w:fldChar w:fldCharType="separate"/>
      </w:r>
      <w:r>
        <w:rPr/>
        <w:t>[1-3]</w:t>
      </w:r>
      <w:r>
        <w:rPr/>
      </w:r>
      <w:r>
        <w:rPr/>
        <w:fldChar w:fldCharType="end"/>
      </w:r>
      <w:r>
        <w:rPr/>
        <w:t xml:space="preserve">, surgical navigation </w:t>
      </w:r>
      <w:r>
        <w:fldChar w:fldCharType="begin"/>
      </w:r>
      <w:r>
        <w:rPr/>
        <w:instrText>ADDIN ZOTERO_ITEM CSL_CITATION {"citationID":"tEFt9lcx","properties":{"formattedCitation":"[4], [5]","plainCitation":"[4], [5]","noteIndex":0},"citationItems":[{"id":92,"uris":["http://zotero.org/users/local/BKRnzujf/items/3YX4BNTL"],"itemData":{"id":92,"type":"article-journal","abstract":"Image-to-patient registration in navigated mandibular surgery is complex due to the mobile nature of the mandible compared with other craniofacial bones. As a result, surgical navigation is rarely employed in the mandibular region. This systematic review provides an overview of the different registration methods that are used for surgical navigation of the mandible. A systematic search was performed in the MEDLINE Ovid, Scopus, and Embase databases on March 25, 2021. Search terms included synonyms for mandibular surgery, surgical navigation, and registration methods. Articles about navigated mandibular surgery, where the registration method was explicitly mentioned, were included. The database search yielded a total of 2952 articles, from which 81 articles remained for analysis. Four main registration methods were identified: point registration, surface registration, hybrid registration, and computer vision-based registration. The mobility of the mandible is accounted for by either keeping the mandible in a fixed position during preoperative imaging and surgery, or by tracking the mandibular movements. Although different registration methods are available for navigated mandibular surgery, there is always a trade-off between accuracy, registration time, usability, and invasiveness. Future studies should focus on testing the different methods in larger patient studies and should report the registration accuracy.","container-title":"International Journal of Oral and Maxillofacial Surgery","DOI":"10.1016/j.ijom.2022.01.017","ISSN":"0901-5027","issue":"10","journalAbbreviation":"International Journal of Oral and Maxillofacial Surgery","language":"en","page":"1318-1329","source":"ScienceDirect","title":"Registration methods for surgical navigation of the mandible: a systematic review","title-short":"Registration methods for surgical navigation of the mandible","volume":"51","author":[{"family":"Geer","given":"A. F.","non-dropping-particle":"de"},{"family":"Brouwer de Koning","given":"S. G."},{"family":"Alphen","given":"M. J. A.","non-dropping-particle":"van"},{"family":"Mierden","given":"S.","non-dropping-particle":"van der"},{"family":"Zuur","given":"C. L."},{"family":"Leeuwen","given":"F. W. B.","non-dropping-particle":"van"},{"family":"Loeve","given":"A. J."},{"family":"Veen","given":"R. L. P.","non-dropping-particle":"van"},{"family":"Karakullukcu","given":"M. B."}],"issued":{"date-parts":[["2022",10,1]]},"citation-key":"degeerRegistrationMethodsSurgical2022"},"label":"page"},{"id":110,"uris":["http://zotero.org/users/local/BKRnzujf/items/HARH7VUB"],"itemData":{"id":110,"type":"article-journal","abstract":"Background: Although the surface registration technique has the advantage of being relatively safe and the operation time is short, it generally has the disadvantage of low accuracy. Purpose: This research proposes automated machine learning (AutoML)-based surface registration to improve the accuracy of image-guided surgical navigation systems. Methods: The state-of-the-art surface registration concept is that first, using a neural network model, a new point-cloud that matches the facial information acquired by a passive probe of an optical tracking system (OTS) is extracted from the facial information obtained by computerized tomography. Target registration error (TRE) representing the accuracy of surface registration is then calculated by applying the iterative closest point (ICP) algorithm to the newly extracted point-cloud and OTS information. In this process, the hyperparameters used in the neural network model and ICP algorithm are automatically optimized using Bayesian optimization with expected improvement to yield improved registration accuracy. Results: Using the proposed surface registration methodology, the average TRE for the targets located in the sinus space and nasal cavity of the soft phantoms is 0.939 ± 0.375 mm, which shows 57.8% improvement compared to the average TRE of 2.227 ± 0.193 mm calculated by the conventional surface registration method (p &lt; 0.01). The performance of the proposed methodology is evaluated, and the average TREs computed by the proposed methodology and the conventional method are 0.767 ± 0.132 and 2.615 ± 0.378 mm, respectively. Additionally, for one healthy adult, the clinical applicability of the AutoML-based surface registration is also presented. Conclusion: Our findings showed that the registration accuracy could be improved while maintaining the advantages of the surface registration technique.","container-title":"Medical Physics","DOI":"10.1002/mp.15696","ISSN":"0094-2405","issue":"7","page":"4845-4860","source":"Sejong University","title":"Automated machine learning (AutoML)-based surface registration methodology for image-guided surgical navigation system","volume":"49","author":[{"family":"Yoo","given":"Hakje"},{"family":"Sim","given":"Taeyong"}],"issued":{"date-parts":[["2022",7]]},"citation-key":"yooAutomatedMachineLearning2022"},"label":"page"}],"schema":"https://github.com/citation-style-language/schema/raw/master/csl-citation.json"}</w:instrText>
      </w:r>
      <w:r>
        <w:rPr/>
      </w:r>
      <w:r>
        <w:rPr/>
        <w:fldChar w:fldCharType="separate"/>
      </w:r>
      <w:r>
        <w:rPr/>
        <w:t>[4], [5]</w:t>
      </w:r>
      <w:r>
        <w:rPr/>
      </w:r>
      <w:r>
        <w:rPr/>
        <w:fldChar w:fldCharType="end"/>
      </w:r>
      <w:r>
        <w:rPr/>
        <w:t xml:space="preserve">, and aided diagnosis </w:t>
      </w:r>
      <w:r>
        <w:fldChar w:fldCharType="begin"/>
      </w:r>
      <w:r>
        <w:rPr/>
        <w:instrText>ADDIN ZOTERO_ITEM CSL_CITATION {"citationID":"lsnWKIHm","properties":{"formattedCitation":"[6], [7]","plainCitation":"[6], [7]","noteIndex":0},"citationItems":[{"id":84,"uris":["http://zotero.org/users/local/BKRnzujf/items/JYBJMGHQ"],"itemData":{"id":84,"type":"article","abstract":"Registration of pre-operative and post-recurrence brain images is often needed to evaluate the effectiveness of brain gliomas treatment. While recent deep learning-based deformable registration methods have achieved remarkable success with healthy brain images, most of them would be unable to accurately align images with pathologies due to the absent correspondences in the reference image. In this paper, we propose a deep learning-based deformable registration method that jointly estimates regions with absent correspondence and bidirectional deformation fields. A forward-backward consistency constraint is used to aid in the localization of the resection and recurrence region from voxels with absence correspondences in the two images. Results on 3D clinical data from the BraTS-Reg challenge demonstrate our method can improve image alignment compared to traditional and deep learning-based registration approaches with or without cost function masking strategy. The source code is available at https://github.com/cwmok/DIRAC.","DOI":"10.48550/arXiv.2206.03900","note":"arXiv:2206.03900 [cs, eess]","number":"arXiv:2206.03900","publisher":"arXiv","source":"arXiv.org","title":"Unsupervised Deformable Image Registration with Absent Correspondences in Pre-operative and Post-Recurrence Brain Tumor MRI Scans","URL":"http://arxiv.org/abs/2206.03900","author":[{"family":"Mok","given":"Tony C. W."},{"family":"Chung","given":"Albert C. S."}],"accessed":{"date-parts":[["2023",5,16]]},"issued":{"date-parts":[["2022",6,8]]},"citation-key":"mokUnsupervisedDeformableImage2022"},"label":"page"},{"id":114,"uris":["http://zotero.org/users/local/BKRnzujf/items/ETA8QEA2"],"itemData":{"id":114,"type":"article-journal","abstract":"High mortality rate due to liver cirrhosis has been reported over the globe in the previous years. Early detection of cirrhosis may help in controlling the disease progression toward hepatocellular carcinoma (HCC). The lack of trained CT radiologists and increased patient population delays the diagnosis and further management. This study proposes a computer-aided diagnosis system for detecting cirrhosis and HCC in a very efficient and less time-consuming approach.","container-title":"International Journal of Computer Assisted Radiology and Surgery","DOI":"10.1007/s11548-019-01991-5","ISSN":"1861-6429","issue":"8","journalAbbreviation":"Int J CARS","language":"en","page":"1341-1352","source":"Springer Link","title":"Computer-aided diagnosis of cirrhosis and hepatocellular carcinoma using multi-phase abdomen CT","volume":"14","author":[{"family":"Nayak","given":"Akash"},{"family":"Baidya Kayal","given":"Esha"},{"family":"Arya","given":"Manish"},{"family":"Culli","given":"Jayanth"},{"family":"Krishan","given":"Sonal"},{"family":"Agarwal","given":"Sumeet"},{"family":"Mehndiratta","given":"Amit"}],"issued":{"date-parts":[["2019",8,1]]},"citation-key":"nayakComputeraidedDiagnosisCirrhosis2019"},"label":"page"}],"schema":"https://github.com/citation-style-language/schema/raw/master/csl-citation.json"}</w:instrText>
      </w:r>
      <w:r>
        <w:rPr/>
      </w:r>
      <w:r>
        <w:rPr/>
        <w:fldChar w:fldCharType="separate"/>
      </w:r>
      <w:r>
        <w:rPr/>
        <w:t>[6], [7]</w:t>
      </w:r>
      <w:r>
        <w:rPr/>
      </w:r>
      <w:r>
        <w:rPr/>
        <w:fldChar w:fldCharType="end"/>
      </w:r>
      <w:r>
        <w:rPr/>
        <w:t>. Through registering brain  Magnetic Resonance</w:t>
      </w:r>
      <w:r>
        <w:rPr/>
        <w:t>（</w:t>
      </w:r>
      <w:r>
        <w:rPr/>
        <w:t>MR</w:t>
      </w:r>
      <w:r>
        <w:rPr/>
        <w:t xml:space="preserve">） </w:t>
      </w:r>
      <w:r>
        <w:rPr/>
        <w:t xml:space="preserve">images for different individuals into a common spatial coordinate system, it becomes possible to calculate developmental differences between the different individuals, and explore the patterns of brain growth and development </w:t>
      </w:r>
      <w:r>
        <w:fldChar w:fldCharType="begin"/>
      </w:r>
      <w:r>
        <w:rPr/>
        <w:instrText>ADDIN ZOTERO_ITEM CSL_CITATION {"citationID":"gnNz7Wu9","properties":{"formattedCitation":"[8], [9], [10]","plainCitation":"[8], [9], [10]","noteIndex":0},"citationItems":[{"id":115,"uris":["http://zotero.org/users/local/BKRnzujf/items/448J75SE"],"itemData":{"id":115,"type":"article","abstract":"Deformable image registration is fundamental to longitudinal and population analysis. Geometric alignment of the infant brain MR images is challenging, owing to rapid changes in image appearance in association with brain development. In this paper, we propose an infant-dedicated deep registration network that uses the auto-context strategy to gradually refine the deformation fields to obtain highly accurate correspondences. Instead of training multiple registration networks, our method estimates the deformation fields by invoking a single network multiple times for iterative deformation refinement. The final deformation field is obtained by the incremental composition of the deformation fields. Experimental results in comparison with state-of-the-art registration methods indicate that our method achieves higher accuracy while at the same time preserves the smoothness of the deformation fields. Our implementation is available online.","DOI":"10.48550/arXiv.2005.09230","note":"arXiv:2005.09230 [cs]","number":"arXiv:2005.09230","publisher":"arXiv","source":"arXiv.org","title":"An Auto-Context Deformable Registration Network for Infant Brain MRI","URL":"http://arxiv.org/abs/2005.09230","author":[{"family":"Wei","given":"Dongming"},{"family":"Ahmad","given":"Sahar"},{"family":"Huang","given":"Yunzhi"},{"family":"Ma","given":"Lei"},{"family":"Wu","given":"Zhengwang"},{"family":"Li","given":"Gang"},{"family":"Wang","given":"Li"},{"family":"Wang","given":"Qian"},{"family":"Yap","given":"Pew-Thian"},{"family":"Shen","given":"Dinggang"}],"accessed":{"date-parts":[["2023",5,16]]},"issued":{"date-parts":[["2020",7,5]]},"citation-key":"weiAutoContextDeformableRegistration2020"},"label":"page"},{"id":101,"uris":["http://zotero.org/users/local/BKRnzujf/items/HGLM3FNE"],"itemData":{"id":101,"type":"paper-conference","abstract":"Quantify dynamic structural changes in the first year of life is a key step in early brain development studies, which is indispensable to accurate deformable image registration. However, very few registration methods can work universally well for infant brain images at arbitrary development stages from birth to one year old, mainly due to (1) large anatomical variations and (2) dynamic appearance changes. In this paper, we propose a novel learning-based registration method to not only align the anatomical structures but also estimate the appearance difference between two infant MR images with possible large age gap. To achieve this goal, we leverage the random forest regression and auto-context model to learn the evolution of shape and appearance from a set of longitudinal infant images (with subject-specific temporal correspondences well determined) and then predict both the deformation pathway and appearance change between two new infant subjects. After that, it becomes much easier to deploy any conventional image registration method to complete the remaining registration since the above challenges for current state-of-the-art registration methods have been solved successfully. We apply our proposed registration method to align infant brain images of different subjects from 2-week-old to 12-month-old. Promising registration results have been achieved in terms of registration accuracy, compared to the counterpart registration methods.","collection-title":"Lecture Notes in Computer Science","container-title":"Machine Learning in Medical Imaging","DOI":"10.1007/978-3-319-47157-0_5","event-place":"Cham","ISBN":"978-3-319-47157-0","language":"en","page":"36-44","publisher":"Springer International Publishing","publisher-place":"Cham","source":"Springer Link","title":"Learning Appearance and Shape Evolution for Infant Image Registration in the First Year of Life","author":[{"family":"Wei","given":"Lifang"},{"family":"Hu","given":"Shunbo"},{"family":"Gao","given":"Yaozong"},{"family":"Cao","given":"Xiaohuan"},{"family":"Wu","given":"Guorong"},{"family":"Shen","given":"Dinggang"}],"editor":[{"family":"Wang","given":"Li"},{"family":"Adeli","given":"Ehsan"},{"family":"Wang","given":"Qian"},{"family":"Shi","given":"Yinghuan"},{"family":"Suk","given":"Heung-Il"}],"issued":{"date-parts":[["2016"]]},"citation-key":"weiLearningAppearanceShape2016"},"label":"page"},{"id":102,"uris":["http://zotero.org/users/local/BKRnzujf/items/K3SQ4BQS"],"itemData":{"id":102,"type":"article-journal","abstract":"PURPOSE: Accurately analyzing the rapid structural evolution of human brain in the first year of life is a key step in early brain development studies, which requires accurate deformable image registration. However, due to (a) dynamic appearance and (b) large anatomical changes, very few methods in the literature can work well for the registration of two infant brain MR images acquired at two arbitrary development phases, such as birth and one-year-old.\nMETHODS: To address these challenging issues, we propose a learning-based registration method, which can handle the anatomical structures and the appearance changes between the two infant brain MR images with possible time gap. Specifically, in the training stage, we employ a multioutput random forest regression and auto-context model to learn the evolution of anatomical shape and appearance from a training set of longitudinal infant images. To make the learning procedure more robust, we further harness the multimodal MR imaging information. Then, in the testing stage, for registering the two new infant images scanned at two different development phases, the learned model will be used to predict both the deformation field and appearance changes between the images under registration. After that, it becomes much easier to deploy any conventional image registration method to complete the remaining registration since the above-mentioned challenges for state-of-the-art registration methods have been well addressed.\nRESULTS: We have applied our proposed registration method to intersubject registration of infant brain MR images acquired at 2-week-old, 3-month-old, 6-month-old, and 9-month-old with the images acquired at 12-month-old. Promising registration results have been achieved in terms of registration accuracy, compared with the counterpart nonlearning based registration methods.\nCONCLUSIONS: The proposed new learning-based registration method have tackled the challenging issues in registering infant brain images acquired from the first year of life, by leveraging the multioutput random forest regression with auto-context model, which can learn the evolution of shape and appearance from a training set of longitudinal infant images. Thus, for the new infant image, its deformation field to the template and also its template-like appearances can be predicted by the learned models. We have extensively compared our method with state-of-the-art deformable registration methods, as well as multiple variants of our method, which show that our method can achieve higher accuracy even for the difficult cases with large appearance and shape changes between subject and template images.","container-title":"Medical Physics","DOI":"10.1002/mp.12578","ISSN":"2473-4209","issue":"12","journalAbbreviation":"Med Phys","language":"eng","note":"PMID: 28902466\nPMCID: PMC5734654","page":"6289-6303","source":"PubMed","title":"Learning-based deformable registration for infant MRI by integrating random forest with auto-context model","volume":"44","author":[{"family":"Wei","given":"Lifang"},{"family":"Cao","given":"Xiaohuan"},{"family":"Wang","given":"Zhensong"},{"family":"Gao","given":"Yaozong"},{"family":"Hu","given":"Shunbo"},{"family":"Wang","given":"Li"},{"family":"Wu","given":"Guorong"},{"family":"Shen","given":"Dinggang"}],"issued":{"date-parts":[["2017",12]]},"citation-key":"weiLearningbasedDeformableRegistration2017"},"label":"page"}],"schema":"https://github.com/citation-style-language/schema/raw/master/csl-citation.json"}</w:instrText>
      </w:r>
      <w:r>
        <w:rPr/>
      </w:r>
      <w:r>
        <w:rPr/>
        <w:fldChar w:fldCharType="separate"/>
      </w:r>
      <w:r>
        <w:rPr/>
        <w:t>[8-10]</w:t>
      </w:r>
      <w:r>
        <w:rPr/>
      </w:r>
      <w:r>
        <w:rPr/>
        <w:fldChar w:fldCharType="end"/>
      </w:r>
      <w:r>
        <w:rPr/>
        <w:t xml:space="preserve">. The application of algorithms in the registration field has yielded improved results and can facilitate efficient comparisons of patients, aiding doctors in diagnosis and lowering the costs of treatment. However, the registration problem persists as a difficult task due to the absence of appropriate constraint methods for extracting correspondences between images. As a result, maintaining semantic consistency in the deformation field generated is challenging. </w:t>
      </w:r>
    </w:p>
    <w:p>
      <w:pPr>
        <w:pStyle w:val="Keyword"/>
        <w:widowControl w:val="false"/>
        <w:tabs>
          <w:tab w:val="clear" w:pos="720"/>
          <w:tab w:val="left" w:pos="187" w:leader="none"/>
        </w:tabs>
        <w:snapToGrid w:val="false"/>
        <w:rPr>
          <w:strike/>
        </w:rPr>
      </w:pPr>
      <w:r>
        <w:rPr/>
        <w:t xml:space="preserve">Traditional registration methods gradually refine deformation estimation through iterative optimization, which typically demands substantial computational resources. Examples of such methods include Demons </w:t>
      </w:r>
      <w:r>
        <w:fldChar w:fldCharType="begin"/>
      </w:r>
      <w:r>
        <w:rPr/>
        <w:instrText>ADDIN ZOTERO_ITEM CSL_CITATION {"citationID":"ses9JK1w","properties":{"formattedCitation":"[11]","plainCitation":"[11]","noteIndex":0},"citationItems":[{"id":33,"uris":["http://zotero.org/users/local/BKRnzujf/items/2YQH7JGA"],"itemData":{"id":33,"type":"article-journal","abstract":"We propose an efficient non-parametric diffeomorphic image registration algorithm based on Thirion's demons algorithm. In the first part of this paper, we show that Thirion's demons algorithm can be seen as an optimization procedure on the entire space of displacement fields. We provide strong theoretical roots to the different variants of Thirion's demons algorithm. This analysis predicts a theoretical advantage for the symmetric forces variant of the demons algorithm. We show on controlled experiments that this advantage is confirmed in practice and yields a faster convergence. In the second part of this paper, we adapt the optimization procedure underlying the demons algorithm to a space of diffeomorphic transformations. In contrast to many diffeomorphic registration algorithms, our solution is computationally efficient since in practice it only replaces an addition of displacement fields by a few compositions. Our experiments show that in addition to being diffeomorphic, our algorithm provides results that are similar to the ones from the demons algorithm but with transformations that are much smoother and closer to the gold standard, available in controlled experiments, in terms of Jacobians.","collection-title":"Mathematics in Brain Imaging","container-title":"NeuroImage","DOI":"10.1016/j.neuroimage.2008.10.040","ISSN":"1053-8119","issue":"1, Supplement 1","journalAbbreviation":"NeuroImage","language":"en","page":"S61-S72","source":"ScienceDirect","title":"Diffeomorphic demons: Efficient non-parametric image registration","title-short":"Diffeomorphic demons","volume":"45","author":[{"family":"Vercauteren","given":"Tom"},{"family":"Pennec","given":"Xavier"},{"family":"Perchant","given":"Aymeric"},{"family":"Ayache","given":"Nicholas"}],"issued":{"date-parts":[["2009",3,1]]},"citation-key":"vercauterenDiffeomorphicDemonsEfficient2009"}}],"schema":"https://github.com/citation-style-language/schema/raw/master/csl-citation.json"}</w:instrText>
      </w:r>
      <w:r>
        <w:rPr/>
      </w:r>
      <w:r>
        <w:rPr/>
        <w:fldChar w:fldCharType="separate"/>
      </w:r>
      <w:r>
        <w:rPr/>
        <w:t>[11]</w:t>
      </w:r>
      <w:r>
        <w:rPr/>
      </w:r>
      <w:r>
        <w:rPr/>
        <w:fldChar w:fldCharType="end"/>
      </w:r>
      <w:r>
        <w:rPr/>
        <w:t xml:space="preserve">, Large Diffeomorphic Distance Metric Mapping (LDDMM) </w:t>
      </w:r>
      <w:r>
        <w:fldChar w:fldCharType="begin"/>
      </w:r>
      <w:r>
        <w:rPr/>
        <w:instrText>ADDIN ZOTERO_ITEM CSL_CITATION {"citationID":"AIMkRWkd","properties":{"formattedCitation":"[12]","plainCitation":"[12]","noteIndex":0},"citationItems":[{"id":30,"uris":["http://zotero.org/users/local/BKRnzujf/items/83WIU2AZ"],"itemData":{"id":30,"type":"article-journal","abstract":"We present a matching criterion for curves and integrate it into the large deformation diffeomorphic metric mapping (LDDMM) scheme for computing an optimal transformation between two curves embedded in Euclidean space ℝd. Curves are first represented as vector-valued measures, which incorporate both location and the first order geometric structure of the curves. Then, a Hilbert space structure is imposed on the measures to build the norm for quantifying the closeness between two curves. We describe a discretized version of this, in which discrete sequences of points along the curve are represented by vector-valued functionals. This gives a convenient and practical way to define a matching functional for curves. We derive and implement the curve matching in the large deformation framework and demonstrate mapping results of curves in ℝ2 and ℝ3. Behaviors of the curve mapping are discussed using 2D curves. The applications to shape classification is shown and experiments with 3D curves extracted from brain cortical surfaces are presented.","container-title":"International journal of computer vision","DOI":"10.1007/s11263-008-0141-9","ISSN":"0920-5691","issue":"3","journalAbbreviation":"Int J Comput Vis","note":"PMID: 20419045\nPMCID: PMC2858418","page":"317-336","source":"PubMed Central","title":"Large Deformation Diffeomorphic Metric Curve Mapping","volume":"80","author":[{"family":"Glaunès","given":"Joan"},{"family":"Qiu","given":"Anqi"},{"family":"Miller","given":"Michael I."},{"family":"Younes","given":"Laurent"}],"issued":{"date-parts":[["2008",12,1]]},"citation-key":"glaunesLargeDeformationDiffeomorphic2008"}}],"schema":"https://github.com/citation-style-language/schema/raw/master/csl-citation.json"}</w:instrText>
      </w:r>
      <w:r>
        <w:rPr/>
      </w:r>
      <w:r>
        <w:rPr/>
        <w:fldChar w:fldCharType="separate"/>
      </w:r>
      <w:r>
        <w:rPr/>
        <w:t>[12]</w:t>
      </w:r>
      <w:r>
        <w:rPr/>
      </w:r>
      <w:r>
        <w:rPr/>
        <w:fldChar w:fldCharType="end"/>
      </w:r>
      <w:r>
        <w:rPr/>
        <w:t xml:space="preserve">, and symmetric normalization (SyN) </w:t>
      </w:r>
      <w:r>
        <w:fldChar w:fldCharType="begin"/>
      </w:r>
      <w:r>
        <w:rPr/>
        <w:instrText>ADDIN ZOTERO_ITEM CSL_CITATION {"citationID":"s9Ol2MMS","properties":{"formattedCitation":"[13]","plainCitation":"[13]","noteIndex":0},"citationItems":[{"id":36,"uris":["http://zotero.org/users/local/BKRnzujf/items/ZFQB9ECG"],"itemData":{"id":36,"type":"article-journal","abstract":"One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individuals.","container-title":"Medical Image Analysis","DOI":"10.1016/j.media.2007.06.004","ISSN":"1361-8423","issue":"1","journalAbbreviation":"Med Image Anal","language":"eng","note":"PMID: 17659998\nPMCID: PMC2276735","page":"26-41","source":"PubMed","title":"Symmetric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C."}],"issued":{"date-parts":[["2008",2]]},"citation-key":"avantsSymmetricDiffeomorphicImage2008"}}],"schema":"https://github.com/citation-style-language/schema/raw/master/csl-citation.json"}</w:instrText>
      </w:r>
      <w:r>
        <w:rPr/>
      </w:r>
      <w:r>
        <w:rPr/>
        <w:fldChar w:fldCharType="separate"/>
      </w:r>
      <w:r>
        <w:rPr/>
        <w:t>[13]</w:t>
      </w:r>
      <w:r>
        <w:rPr/>
      </w:r>
      <w:r>
        <w:rPr/>
        <w:fldChar w:fldCharType="end"/>
      </w:r>
      <w:r>
        <w:rPr/>
        <w:t>. With the wide application of deep learning in computer vision tasks, deep learning-based methods exhibit excellent performance and hold significant potential in solving the shortcomings of the low efficiency of traditional registration methods. Various models have been developed based on deep learning architectures. For instance, models based on Convolutional Neural Networks (CNNs) are widely employed in registration tasks</w:t>
      </w:r>
      <w:r>
        <w:fldChar w:fldCharType="begin"/>
      </w:r>
      <w:r>
        <w:rPr/>
        <w:instrText>ADDIN ZOTERO_ITEM CSL_CITATION {"citationID":"KdhGpQYL","properties":{"formattedCitation":"[14], [15], [16], [17]","plainCitation":"[14], [15], [16], [17]","noteIndex":0},"citationItems":[{"id":41,"uris":["http://zotero.org/users/local/BKRnzujf/items/7KQ33H67"],"itemData":{"id":41,"type":"article-journal","abstract":"We present VoxelMorph, a fast learning-based framework for deformable, pairwise medical image registration. Traditional registration methods optimize an objective function for each pair of images, which can be time-consuming for large datasets or rich deformation models. In contrast to this approach, and building on recent learning-based methods, we formulate registration as a function that maps an input image pair to a deformation field that aligns these images. We parameterize the function via a convolutional neural network (CNN), and optimize the parameters of the neural network on a set of images. Given a new pair of scans, VoxelMorph rapidly computes a deformation field by directly evaluating the function. In this work, we explore two different training strategies. In the first (unsupervised) setting, we train the model to maximize standard image matching objective functions that are based on the image intensities. In the second setting, we leverage auxiliary segmentations available in the training data. We demonstrate that the unsupervised model's accuracy is comparable to state-of-the-art methods, while operating orders of magnitude faster. We also show that VoxelMorph trained with auxiliary data improves registration accuracy at test time, and evaluate the effect of training set size on registration. Our method promises to speed up medical image analysis and processing pipelines, while facilitating novel directions in learning-based registration and its applications. Our code is freely available at voxelmorph.csail.mit.edu.","container-title":"IEEE Transactions on Medical Imaging","DOI":"10.1109/TMI.2019.2897538","ISSN":"0278-0062, 1558-254X","issue":"8","journalAbbreviation":"IEEE Trans. Med. Imaging","note":"arXiv:1809.05231 [cs]","page":"1788-1800","source":"arXiv.org","title":"VoxelMorph: A Learning Framework for Deformable Medical Image Registration","title-short":"VoxelMorph","volume":"38","author":[{"family":"Balakrishnan","given":"Guha"},{"family":"Zhao","given":"Amy"},{"family":"Sabuncu","given":"Mert R."},{"family":"Guttag","given":"John"},{"family":"Dalca","given":"Adrian V."}],"issued":{"date-parts":[["2019",8]]},"citation-key":"balakrishnanVoxelMorphLearningFramework2019"},"label":"page"},{"id":46,"uris":["http://zotero.org/users/local/BKRnzujf/items/NNAY5WFG"],"itemData":{"id":46,"type":"paper-conference","abstract":"Diffeomorphic deformable image registration is crucial in many medical image studies, as it offers unique, special properties including topology preservation and invertibility of the transformation. Recent deep learning-based deformable image registration methods achieve fast image registration by leveraging a convolutional neural network (CNN) to learn the spatial transformation from the synthetic ground truth or the similarity metric. However, these approaches often ignore the topology preservation of the transformation and the smoothness of the transformation which is enforced by a global smoothing energy function alone. Moreover, deep learning-based approaches often estimate the displacement ﬁeld directly, which cannot guarantee the existence of the inverse transformation. In this paper, we present a novel, efﬁcient unsupervised symmetric image registration method which maximizes the similarity between images within the space of diffeomorphic maps and estimates both forward and inverse transformations simultaneously. We evaluate our method on 3D image registration with a large scale brain image dataset. Our method achieves state-of-the-art registration accuracy and running time while maintaining desirable diffeomorphic properties.","container-title":"2020 IEEE/CVF Conference on Computer Vision and Pattern Recognition (CVPR)","DOI":"10.1109/CVPR42600.2020.00470","event-place":"Seattle, WA, USA","event-title":"2020 IEEE/CVF Conference on Computer Vision and Pattern Recognition (CVPR)","ISBN":"978-1-72817-168-5","language":"en","page":"4643-4652","publisher":"IEEE","publisher-place":"Seattle, WA, USA","source":"DOI.org (Crossref)","title":"Fast Symmetric Diffeomorphic Image Registration with Convolutional Neural Networks","URL":"https://ieeexplore.ieee.org/document/9156870/","author":[{"family":"Mok","given":"Tony C.W."},{"family":"Chung","given":"Albert C.S."}],"accessed":{"date-parts":[["2023",5,16]]},"issued":{"date-parts":[["2020",6]]},"citation-key":"mokFastSymmetricDiffeomorphic2020"},"label":"page"},{"id":47,"uris":["http://zotero.org/users/local/BKRnzujf/items/URRXCAYM"],"itemData":{"id":47,"type":"article","abstract":"Deformable image registration is a fundamental task in medical image analysis, aiming to establish a dense and non-linear correspondence between a pair of images. Previous deep-learning studies usually employ supervised neural networks to directly learn the spatial transformation from one image to another, requiring task-specific ground-truth registration for model training. Due to the difficulty in collecting precise ground-truth registration, implementation of these supervised methods is practically challenging. Although several unsupervised networks have been recently developed, these methods usually ignore the inherent inverse-consistent property (essential for diffeomorphic mapping) of transformations between a pair of images. Also, existing approaches usually encourage the to-be-estimated transformation to be locally smooth via a smoothness constraint only, which could not completely avoid folding in the resulting transformation. To this end, we propose an Inverse-Consistent deep Network (ICNet) for unsupervised deformable image registration. Specifically, we develop an inverse-consistent constraint to encourage that a pair of images are symmetrically deformed toward one another, until both warped images are matched. Besides using the conventional smoothness constraint, we also propose an anti-folding constraint to further avoid folding in the transformation. The proposed method does not require any supervision information, while encouraging the diffeomoprhic property of the transformation via the proposed inverse-consistent and anti-folding constraints. We evaluate our method on T1-weighted brain magnetic resonance imaging (MRI) scans for tissue segmentation and anatomical landmark detection, with results demonstrating the superior performance of our ICNet over several state-of-the-art approaches for deformable image registration. Our code will be made publicly available.","DOI":"10.48550/arXiv.1809.03443","note":"arXiv:1809.03443 [cs]","number":"arXiv:1809.03443","publisher":"arXiv","source":"arXiv.org","title":"Inverse-Consistent Deep Networks for Unsupervised Deformable Image Registration","URL":"http://arxiv.org/abs/1809.03443","author":[{"family":"Zhang","given":"Jun"}],"accessed":{"date-parts":[["2023",5,16]]},"issued":{"date-parts":[["2018",9,10]]},"citation-key":"zhangInverseConsistentDeepNetworks2018"},"label":"page"},{"id":75,"uris":["http://zotero.org/users/local/BKRnzujf/items/XTU8U6WX"],"itemData":{"id":75,"type":"article","abstract":"Image registration is a fundamental task in medical image analysis. Recently, deep learning based image registration methods have been extensively investigated due to their excellent performance despite the ultra-fast computational time. However, the existing deep learning methods still have limitation in the preservation of original topology during the deformation with registration vector fields. To address this issues, here we present a cycle-consistent deformable image registration. The cycle consistency enhances image registration performance by providing an implicit regularization to preserve topology during the deformation. The proposed method is so flexible that can be applied for both 2D and 3D registration problems for various applications, and can be easily extended to multi-scale implementation to deal with the memory issues in large volume registration. Experimental results on various datasets from medical and non-medical applications demonstrate that the proposed method provides effective and accurate registration on diverse image pairs within a few seconds. Qualitative and quantitative evaluations on deformation fields also verify the effectiveness of the cycle consistency of the proposed method.","DOI":"10.48550/arXiv.2008.05772","note":"arXiv:2008.05772 [cs, eess, stat]","number":"arXiv:2008.05772","publisher":"arXiv","source":"arXiv.org","title":"CycleMorph: Cycle Consistent Unsupervised Deformable Image Registration","title-short":"CycleMorph","URL":"http://arxiv.org/abs/2008.05772","author":[{"family":"Kim","given":"Boah"},{"family":"Kim","given":"Dong Hwan"},{"family":"Park","given":"Seong Ho"},{"family":"Kim","given":"Jieun"},{"family":"Lee","given":"June-Goo"},{"family":"Ye","given":"Jong Chul"}],"accessed":{"date-parts":[["2023",5,16]]},"issued":{"date-parts":[["2020",8,13]]},"citation-key":"kimCycleMorphCycleConsistent2020"},"label":"page"}],"schema":"https://github.com/citation-style-language/schema/raw/master/csl-citation.json"}</w:instrText>
      </w:r>
      <w:r>
        <w:rPr/>
      </w:r>
      <w:r>
        <w:rPr/>
        <w:fldChar w:fldCharType="separate"/>
      </w:r>
      <w:r>
        <w:rPr/>
        <w:t>[14-17]</w:t>
      </w:r>
      <w:r>
        <w:rPr/>
      </w:r>
      <w:r>
        <w:rPr/>
        <w:fldChar w:fldCharType="end"/>
      </w:r>
      <w:r>
        <w:rPr/>
        <w:t>, with VoxelMorph</w:t>
      </w:r>
      <w:r>
        <w:fldChar w:fldCharType="begin"/>
      </w:r>
      <w:r>
        <w:rPr/>
        <w:instrText>ADDIN ZOTERO_ITEM CSL_CITATION {"citationID":"u8XDdizZ","properties":{"formattedCitation":"[14]","plainCitation":"[14]","noteIndex":0},"citationItems":[{"id":41,"uris":["http://zotero.org/users/local/BKRnzujf/items/7KQ33H67"],"itemData":{"id":41,"type":"article-journal","abstract":"We present VoxelMorph, a fast learning-based framework for deformable, pairwise medical image registration. Traditional registration methods optimize an objective function for each pair of images, which can be time-consuming for large datasets or rich deformation models. In contrast to this approach, and building on recent learning-based methods, we formulate registration as a function that maps an input image pair to a deformation field that aligns these images. We parameterize the function via a convolutional neural network (CNN), and optimize the parameters of the neural network on a set of images. Given a new pair of scans, VoxelMorph rapidly computes a deformation field by directly evaluating the function. In this work, we explore two different training strategies. In the first (unsupervised) setting, we train the model to maximize standard image matching objective functions that are based on the image intensities. In the second setting, we leverage auxiliary segmentations available in the training data. We demonstrate that the unsupervised model's accuracy is comparable to state-of-the-art methods, while operating orders of magnitude faster. We also show that VoxelMorph trained with auxiliary data improves registration accuracy at test time, and evaluate the effect of training set size on registration. Our method promises to speed up medical image analysis and processing pipelines, while facilitating novel directions in learning-based registration and its applications. Our code is freely available at voxelmorph.csail.mit.edu.","container-title":"IEEE Transactions on Medical Imaging","DOI":"10.1109/TMI.2019.2897538","ISSN":"0278-0062, 1558-254X","issue":"8","journalAbbreviation":"IEEE Trans. Med. Imaging","note":"arXiv:1809.05231 [cs]","page":"1788-1800","source":"arXiv.org","title":"VoxelMorph: A Learning Framework for Deformable Medical Image Registration","title-short":"VoxelMorph","volume":"38","author":[{"family":"Balakrishnan","given":"Guha"},{"family":"Zhao","given":"Amy"},{"family":"Sabuncu","given":"Mert R."},{"family":"Guttag","given":"John"},{"family":"Dalca","given":"Adrian V."}],"issued":{"date-parts":[["2019",8]]},"citation-key":"balakrishnanVoxelMorphLearningFramework2019"}}],"schema":"https://github.com/citation-style-language/schema/raw/master/csl-citation.json"}</w:instrText>
      </w:r>
      <w:r>
        <w:rPr/>
      </w:r>
      <w:r>
        <w:rPr/>
        <w:fldChar w:fldCharType="separate"/>
      </w:r>
      <w:r>
        <w:rPr/>
        <w:t>[14]</w:t>
      </w:r>
      <w:r>
        <w:rPr/>
      </w:r>
      <w:r>
        <w:rPr/>
        <w:fldChar w:fldCharType="end"/>
      </w:r>
      <w:r>
        <w:rPr/>
        <w:t xml:space="preserve"> being a seminal example. VoxelMorph, a pioneer in introducing the unet architecture to registration models, successfully bridges the transition from conventional to deep learning-based registration methods. SYMNet</w:t>
      </w:r>
      <w:r>
        <w:fldChar w:fldCharType="begin"/>
      </w:r>
      <w:r>
        <w:rPr/>
        <w:instrText>ADDIN ZOTERO_ITEM CSL_CITATION {"citationID":"kZaCaWzS","properties":{"formattedCitation":"[15]","plainCitation":"[15]","noteIndex":0},"citationItems":[{"id":46,"uris":["http://zotero.org/users/local/BKRnzujf/items/NNAY5WFG"],"itemData":{"id":46,"type":"paper-conference","abstract":"Diffeomorphic deformable image registration is crucial in many medical image studies, as it offers unique, special properties including topology preservation and invertibility of the transformation. Recent deep learning-based deformable image registration methods achieve fast image registration by leveraging a convolutional neural network (CNN) to learn the spatial transformation from the synthetic ground truth or the similarity metric. However, these approaches often ignore the topology preservation of the transformation and the smoothness of the transformation which is enforced by a global smoothing energy function alone. Moreover, deep learning-based approaches often estimate the displacement ﬁeld directly, which cannot guarantee the existence of the inverse transformation. In this paper, we present a novel, efﬁcient unsupervised symmetric image registration method which maximizes the similarity between images within the space of diffeomorphic maps and estimates both forward and inverse transformations simultaneously. We evaluate our method on 3D image registration with a large scale brain image dataset. Our method achieves state-of-the-art registration accuracy and running time while maintaining desirable diffeomorphic properties.","container-title":"2020 IEEE/CVF Conference on Computer Vision and Pattern Recognition (CVPR)","DOI":"10.1109/CVPR42600.2020.00470","event-place":"Seattle, WA, USA","event-title":"2020 IEEE/CVF Conference on Computer Vision and Pattern Recognition (CVPR)","ISBN":"978-1-72817-168-5","language":"en","page":"4643-4652","publisher":"IEEE","publisher-place":"Seattle, WA, USA","source":"DOI.org (Crossref)","title":"Fast Symmetric Diffeomorphic Image Registration with Convolutional Neural Networks","URL":"https://ieeexplore.ieee.org/document/9156870/","author":[{"family":"Mok","given":"Tony C.W."},{"family":"Chung","given":"Albert C.S."}],"accessed":{"date-parts":[["2023",5,16]]},"issued":{"date-parts":[["2020",6]]},"citation-key":"mokFastSymmetricDiffeomorphic2020"}}],"schema":"https://github.com/citation-style-language/schema/raw/master/csl-citation.json"}</w:instrText>
      </w:r>
      <w:r>
        <w:rPr/>
      </w:r>
      <w:r>
        <w:rPr/>
        <w:fldChar w:fldCharType="separate"/>
      </w:r>
      <w:r>
        <w:rPr/>
        <w:t>[15]</w:t>
      </w:r>
      <w:r>
        <w:rPr/>
      </w:r>
      <w:r>
        <w:rPr/>
        <w:fldChar w:fldCharType="end"/>
      </w:r>
      <w:r>
        <w:rPr/>
        <w:t xml:space="preserve"> utilizes the Fully Convolutional Network (FCN) for feature extraction and incorporates a diffeomorphic structure to maintain the smooth invertibility of deformation fields. While this approach achieves lower Jacobian values, its impact on improving registration outcomes is not pronounced. Inverse-Consistent deep Network (ICNet)</w:t>
      </w:r>
      <w:r>
        <w:fldChar w:fldCharType="begin"/>
      </w:r>
      <w:r>
        <w:rPr/>
        <w:instrText>ADDIN ZOTERO_ITEM CSL_CITATION {"citationID":"ScZ80FzG","properties":{"formattedCitation":"[16]","plainCitation":"[16]","noteIndex":0},"citationItems":[{"id":47,"uris":["http://zotero.org/users/local/BKRnzujf/items/URRXCAYM"],"itemData":{"id":47,"type":"article","abstract":"Deformable image registration is a fundamental task in medical image analysis, aiming to establish a dense and non-linear correspondence between a pair of images. Previous deep-learning studies usually employ supervised neural networks to directly learn the spatial transformation from one image to another, requiring task-specific ground-truth registration for model training. Due to the difficulty in collecting precise ground-truth registration, implementation of these supervised methods is practically challenging. Although several unsupervised networks have been recently developed, these methods usually ignore the inherent inverse-consistent property (essential for diffeomorphic mapping) of transformations between a pair of images. Also, existing approaches usually encourage the to-be-estimated transformation to be locally smooth via a smoothness constraint only, which could not completely avoid folding in the resulting transformation. To this end, we propose an Inverse-Consistent deep Network (ICNet) for unsupervised deformable image registration. Specifically, we develop an inverse-consistent constraint to encourage that a pair of images are symmetrically deformed toward one another, until both warped images are matched. Besides using the conventional smoothness constraint, we also propose an anti-folding constraint to further avoid folding in the transformation. The proposed method does not require any supervision information, while encouraging the diffeomoprhic property of the transformation via the proposed inverse-consistent and anti-folding constraints. We evaluate our method on T1-weighted brain magnetic resonance imaging (MRI) scans for tissue segmentation and anatomical landmark detection, with results demonstrating the superior performance of our ICNet over several state-of-the-art approaches for deformable image registration. Our code will be made publicly available.","DOI":"10.48550/arXiv.1809.03443","note":"arXiv:1809.03443 [cs]","number":"arXiv:1809.03443","publisher":"arXiv","source":"arXiv.org","title":"Inverse-Consistent Deep Networks for Unsupervised Deformable Image Registration","URL":"http://arxiv.org/abs/1809.03443","author":[{"family":"Zhang","given":"Jun"}],"accessed":{"date-parts":[["2023",5,16]]},"issued":{"date-parts":[["2018",9,10]]},"citation-key":"zhangInverseConsistentDeepNetworks2018"}}],"schema":"https://github.com/citation-style-language/schema/raw/master/csl-citation.json"}</w:instrText>
      </w:r>
      <w:r>
        <w:rPr/>
      </w:r>
      <w:r>
        <w:rPr/>
        <w:fldChar w:fldCharType="separate"/>
      </w:r>
      <w:r>
        <w:rPr/>
        <w:t>[16]</w:t>
      </w:r>
      <w:r>
        <w:rPr/>
      </w:r>
      <w:r>
        <w:rPr/>
        <w:fldChar w:fldCharType="end"/>
      </w:r>
      <w:r>
        <w:rPr/>
        <w:t>, by computing both forward and backward deformation fields, ensures the invertibility of deformation fields. Building upon ICNet, CycleMorph</w:t>
      </w:r>
      <w:r>
        <w:fldChar w:fldCharType="begin"/>
      </w:r>
      <w:r>
        <w:rPr/>
        <w:instrText>ADDIN ZOTERO_ITEM CSL_CITATION {"citationID":"S0kPA6gZ","properties":{"unsorted":true,"formattedCitation":"[17]","plainCitation":"[17]","noteIndex":0},"citationItems":[{"id":75,"uris":["http://zotero.org/users/local/BKRnzujf/items/XTU8U6WX"],"itemData":{"id":75,"type":"article","abstract":"Image registration is a fundamental task in medical image analysis. Recently, deep learning based image registration methods have been extensively investigated due to their excellent performance despite the ultra-fast computational time. However, the existing deep learning methods still have limitation in the preservation of original topology during the deformation with registration vector fields. To address this issues, here we present a cycle-consistent deformable image registration. The cycle consistency enhances image registration performance by providing an implicit regularization to preserve topology during the deformation. The proposed method is so flexible that can be applied for both 2D and 3D registration problems for various applications, and can be easily extended to multi-scale implementation to deal with the memory issues in large volume registration. Experimental results on various datasets from medical and non-medical applications demonstrate that the proposed method provides effective and accurate registration on diverse image pairs within a few seconds. Qualitative and quantitative evaluations on deformation fields also verify the effectiveness of the cycle consistency of the proposed method.","DOI":"10.48550/arXiv.2008.05772","note":"arXiv:2008.05772 [cs, eess, stat]","number":"arXiv:2008.05772","publisher":"arXiv","source":"arXiv.org","title":"CycleMorph: Cycle Consistent Unsupervised Deformable Image Registration","title-short":"CycleMorph","URL":"http://arxiv.org/abs/2008.05772","author":[{"family":"Kim","given":"Boah"},{"family":"Kim","given":"Dong Hwan"},{"family":"Park","given":"Seong Ho"},{"family":"Kim","given":"Jieun"},{"family":"Lee","given":"June-Goo"},{"family":"Ye","given":"Jong Chul"}],"accessed":{"date-parts":[["2023",5,16]]},"issued":{"date-parts":[["2020",8,13]]},"citation-key":"kimCycleMorphCycleConsistent2020"}}],"schema":"https://github.com/citation-style-language/schema/raw/master/csl-citation.json"}</w:instrText>
      </w:r>
      <w:r>
        <w:rPr/>
      </w:r>
      <w:r>
        <w:rPr/>
        <w:fldChar w:fldCharType="separate"/>
      </w:r>
      <w:r>
        <w:rPr/>
        <w:t>[17]</w:t>
      </w:r>
      <w:r>
        <w:rPr/>
      </w:r>
      <w:r>
        <w:rPr/>
        <w:fldChar w:fldCharType="end"/>
      </w:r>
      <w:r>
        <w:rPr/>
        <w:t xml:space="preserve"> introduces refinements by calculating the reverse deformation field of the backward deformation field, thus establishing a cyclically constrained network. Although these methods produce smoother and more invertible deformation fields, they fall short of achieving high-precision registration results.</w:t>
      </w:r>
    </w:p>
    <w:p>
      <w:pPr>
        <w:pStyle w:val="Keyword"/>
        <w:widowControl w:val="false"/>
        <w:tabs>
          <w:tab w:val="clear" w:pos="720"/>
          <w:tab w:val="left" w:pos="187" w:leader="none"/>
        </w:tabs>
        <w:snapToGrid w:val="false"/>
        <w:rPr/>
      </w:pPr>
      <w:bookmarkStart w:id="1" w:name="_Hlk159604662"/>
      <w:r>
        <w:rPr/>
        <w:t>Given the widespread success of the Transformer architecture in visual tasks, many researchers have integrated it into registration tasks</w:t>
      </w:r>
      <w:r>
        <w:fldChar w:fldCharType="begin"/>
      </w:r>
      <w:r>
        <w:rPr/>
        <w:instrText>ADDIN ZOTERO_ITEM CSL_CITATION {"citationID":"qtVVqVxR","properties":{"unsorted":true,"formattedCitation":"[18], [19], [20], [21]","plainCitation":"[18], [19], [20], [21]","noteIndex":0},"citationItems":[{"id":73,"uris":["http://zotero.org/users/local/BKRnzujf/items/DCUA47BQ"],"itemData":{"id":73,"type":"paper-conference","abstract":"Deformable medical image registration is widely used in medical image processing with the invertible and one-to-one mapping between images. While state-of-the-art image registration methods are based on convolutional neural networks, few attempts have been made with Transformers which show impressive performance on computer vision tasks. Existing models neglect to employ attention mechanisms to handle the long-range cross-image relevance in embedding learning, limiting such approaches to identify the semantically meaningful correspondence of anatomical structures. These methods also ignore the topology preservation and invertibility of the transformation although they achieve fast image registration. In this paper, we propose a novel, symmetric unsupervised learning network Swin-VoxelMorph based on the Swin Transformer which minimizes the dissimilarity between images and estimates both forward and inverse transformations simultaneously. Specifically, we propose 3D Swin-UNet, which applies hierarchical Swin Transformer with shifted windows as the encoder to extract context features. And a symmetric Swin Transformer-based decoder with patch expanding layer is designed to perform the up-sampling operation to estimate the registration fields. Besides, our objective loss functions can guarantee substantial diffeomorphic properties of the predicted transformations. We verify our method on two datasets including ADNI and PPMI, and it achieves state-of-the-art registration accuracy while maintaining desirable diffeomorphic properties.","collection-title":"Lecture Notes in Computer Science","container-title":"Medical Image Computing and Computer Assisted Intervention – MICCAI 2022","DOI":"10.1007/978-3-031-16446-0_8","event-place":"Cham","ISBN":"978-3-031-16446-0","language":"en","page":"78-87","publisher":"Springer Nature Switzerland","publisher-place":"Cham","source":"Springer Link","title":"Swin-VoxelMorph: A Symmetric Unsupervised Learning Model for Deformable Medical Image Registration Using Swin Transformer","title-short":"Swin-VoxelMorph","author":[{"family":"Zhu","given":"Yongpei"},{"family":"Lu","given":"Shi"}],"editor":[{"family":"Wang","given":"Linwei"},{"family":"Dou","given":"Qi"},{"family":"Fletcher","given":"P. Thomas"},{"family":"Speidel","given":"Stefanie"},{"family":"Li","given":"Shuo"}],"issued":{"date-parts":[["2022"]]},"citation-key":"zhuSwinVoxelMorphSymmetricUnsupervised2022"},"label":"page"},{"id":53,"uris":["http://zotero.org/users/local/BKRnzujf/items/NCHRQKB3"],"itemData":{"id":53,"type":"article","abstract":"An effective backbone network is important to deep learning-based Deformable Medical Image Registration (DMIR), because it extracts and matches the features between two images to discover the mutual correspondence for fine registration. However, the existing deep networks focus on single image situation and are limited in registration task which is performed on paired images. Therefore, we advance a novel backbone network, XMorpher, for the effective corresponding feature representation in DMIR. 1) It proposes a novel full transformer architecture including dual parallel feature extraction networks which exchange information through cross attention, thus discovering multi-level semantic correspondence while extracting respective features gradually for final effective registration. 2) It advances the Cross Attention Transformer (CAT) blocks to establish the attention mechanism between images which is able to find the correspondence automatically and prompts the features to fuse efficiently in the network. 3) It constrains the attention computation between base windows and searching windows with different sizes, and thus focuses on the local transformation of deformable registration and enhances the computing efficiency at the same time. Without any bells and whistles, our XMorpher gives Voxelmorph 2.8% improvement on DSC , demonstrating its effective representation of the features from the paired images in DMIR. We believe that our XMorpher has great application potential in more paired medical images. Our XMorpher is open on https://github.com/Solemoon/XMorpher","DOI":"10.48550/arXiv.2206.07349","note":"arXiv:2206.07349 [cs]","number":"arXiv:2206.07349","publisher":"arXiv","source":"arXiv.org","title":"XMorpher: Full Transformer for Deformable Medical Image Registration via Cross Attention","title-short":"XMorpher","URL":"http://arxiv.org/abs/2206.07349","author":[{"family":"Shi","given":"Jiacheng"},{"family":"He","given":"Yuting"},{"family":"Kong","given":"Youyong"},{"family":"Coatrieux","given":"Jean-Louis"},{"family":"Shu","given":"Huazhong"},{"family":"Yang","given":"Guanyu"},{"family":"Li","given":"Shuo"}],"accessed":{"date-parts":[["2023",5,16]]},"issued":{"date-parts":[["2022",6,15]]},"citation-key":"shiXMorpherFullTransformer2022"},"label":"page"},{"id":118,"uris":["http://zotero.org/users/local/BKRnzujf/items/AM4Q969M"],"itemData":{"id":118,"type":"article","abstract":"Affine registration is indispensable in a comprehensive medical image registration pipeline. However, only a few studies focus on fast and robust affine registration algorithms. Most of these studies utilize convolutional neural networks (CNNs) to learn joint affine and non-parametric registration, while the standalone performance of the affine subnetwork is less explored. Moreover, existing CNN-based affine registration approaches focus either on the local misalignment or the global orientation and position of the input to predict the affine transformation matrix, which are sensitive to spatial initialization and exhibit limited generalizability apart from the training dataset. In this paper, we present a fast and robust learning-based algorithm, Coarse-to-Fine Vision Transformer (C2FViT), for 3D affine medical image registration. Our method naturally leverages the global connectivity and locality of the convolutional vision transformer and the multi-resolution strategy to learn the global affine registration. We evaluate our method on 3D brain atlas registration and template-matching normalization. Comprehensive results demonstrate that our method is superior to the existing CNNs-based affine registration methods in terms of registration accuracy, robustness and generalizability while preserving the runtime advantage of the learning-based methods. The source code is available at https://github.com/cwmok/C2FViT.","DOI":"10.48550/arXiv.2203.15216","note":"arXiv:2203.15216 [cs]","number":"arXiv:2203.15216","publisher":"arXiv","source":"arXiv.org","title":"Affine Medical Image Registration with Coarse-to-Fine Vision Transformer","URL":"http://arxiv.org/abs/2203.15216","author":[{"family":"Mok","given":"Tony C. W."},{"family":"Chung","given":"Albert C. S."}],"accessed":{"date-parts":[["2023",5,16]]},"issued":{"date-parts":[["2022",3,29]]},"citation-key":"mokAffineMedicalImage2022"},"label":"page"},{"id":57,"uris":["http://zotero.org/users/local/BKRnzujf/items/PU38TS8R"],"itemData":{"id":57,"type":"article-journal","abstract":"In the last decade, convolutional neural networks (ConvNets) have been a major focus of research in medical image analysis. However, the performances of ConvNets may be limited by a lack of explicit consideration of the long-range spatial relationships in an image. Recently Vision Transformer architectures have been proposed to address the shortcomings of ConvNets and have produced state-of-the-art performances in many medical imaging applications. Transformers may be a strong candidate for image registration because their substantially larger receptive field enables a more precise comprehension of the spatial correspondence between moving and fixed images. Here, we present TransMorph, a hybrid Transformer-ConvNet model for volumetric medical image registration. This paper also presents diffeomorphic and Bayesian variants of TransMorph: the diffeomorphic variants ensure the topology-preserving deformations, and the Bayesian variant produces a well-calibrated registration uncertainty estimate. We extensively validated the proposed models using 3D medical images from three applications: inter-patient and atlas-to-patient brain MRI registration and phantom-to-CT registration. The proposed models are evaluated in comparison to a variety of existing registration methods and Transformer architectures. Qualitative and quantitative results demonstrate that the proposed Transformer-based model leads to a substantial performance improvement over the baseline methods, confirming the effectiveness of Transformers for medical image registration.","container-title":"Medical Image Analysis","DOI":"10.1016/j.media.2022.102615","ISSN":"13618415","journalAbbreviation":"Medical Image Analysis","note":"arXiv:2111.10480 [cs, eess]","page":"102615","source":"arXiv.org","title":"TransMorph: Transformer for unsupervised medical image registration","title-short":"TransMorph","volume":"82","author":[{"family":"Chen","given":"Junyu"},{"family":"Frey","given":"Eric C."},{"family":"He","given":"Yufan"},{"family":"Segars","given":"William P."},{"family":"Li","given":"Ye"},{"family":"Du","given":"Yong"}],"issued":{"date-parts":[["2022",11]]},"citation-key":"chenTransMorphTransformerUnsupervised2022a"},"label":"page"}],"schema":"https://github.com/citation-style-language/schema/raw/master/csl-citation.json"}</w:instrText>
      </w:r>
      <w:r>
        <w:rPr/>
      </w:r>
      <w:r>
        <w:rPr/>
        <w:fldChar w:fldCharType="separate"/>
      </w:r>
      <w:r>
        <w:rPr/>
        <w:t>[18-21]</w:t>
      </w:r>
      <w:r>
        <w:rPr/>
      </w:r>
      <w:r>
        <w:rPr/>
        <w:fldChar w:fldCharType="end"/>
      </w:r>
      <w:r>
        <w:rPr/>
        <w:t>, yielding significant improvements. Transmorph</w:t>
      </w:r>
      <w:r>
        <w:fldChar w:fldCharType="begin"/>
      </w:r>
      <w:r>
        <w:rPr/>
        <w:instrText>ADDIN ZOTERO_ITEM CSL_CITATION {"citationID":"lmCP3G6X","properties":{"formattedCitation":"[21]","plainCitation":"[21]","noteIndex":0},"citationItems":[{"id":57,"uris":["http://zotero.org/users/local/BKRnzujf/items/PU38TS8R"],"itemData":{"id":57,"type":"article-journal","abstract":"In the last decade, convolutional neural networks (ConvNets) have been a major focus of research in medical image analysis. However, the performances of ConvNets may be limited by a lack of explicit consideration of the long-range spatial relationships in an image. Recently Vision Transformer architectures have been proposed to address the shortcomings of ConvNets and have produced state-of-the-art performances in many medical imaging applications. Transformers may be a strong candidate for image registration because their substantially larger receptive field enables a more precise comprehension of the spatial correspondence between moving and fixed images. Here, we present TransMorph, a hybrid Transformer-ConvNet model for volumetric medical image registration. This paper also presents diffeomorphic and Bayesian variants of TransMorph: the diffeomorphic variants ensure the topology-preserving deformations, and the Bayesian variant produces a well-calibrated registration uncertainty estimate. We extensively validated the proposed models using 3D medical images from three applications: inter-patient and atlas-to-patient brain MRI registration and phantom-to-CT registration. The proposed models are evaluated in comparison to a variety of existing registration methods and Transformer architectures. Qualitative and quantitative results demonstrate that the proposed Transformer-based model leads to a substantial performance improvement over the baseline methods, confirming the effectiveness of Transformers for medical image registration.","container-title":"Medical Image Analysis","DOI":"10.1016/j.media.2022.102615","ISSN":"13618415","journalAbbreviation":"Medical Image Analysis","note":"arXiv:2111.10480 [cs, eess]","page":"102615","source":"arXiv.org","title":"TransMorph: Transformer for unsupervised medical image registration","title-short":"TransMorph","volume":"82","author":[{"family":"Chen","given":"Junyu"},{"family":"Frey","given":"Eric C."},{"family":"He","given":"Yufan"},{"family":"Segars","given":"William P."},{"family":"Li","given":"Ye"},{"family":"Du","given":"Yong"}],"issued":{"date-parts":[["2022",11]]},"citation-key":"chenTransMorphTransformerUnsupervised2022a"}}],"schema":"https://github.com/citation-style-language/schema/raw/master/csl-citation.json"}</w:instrText>
      </w:r>
      <w:r>
        <w:rPr/>
      </w:r>
      <w:r>
        <w:rPr/>
        <w:fldChar w:fldCharType="separate"/>
      </w:r>
      <w:r>
        <w:rPr/>
        <w:t>[18]</w:t>
      </w:r>
      <w:r>
        <w:rPr/>
      </w:r>
      <w:r>
        <w:rPr/>
        <w:fldChar w:fldCharType="end"/>
      </w:r>
      <w:r>
        <w:rPr/>
        <w:t xml:space="preserve"> proposes a hybrid model combining Transformer and CNN, followed by C2FViT</w:t>
      </w:r>
      <w:r>
        <w:fldChar w:fldCharType="begin"/>
      </w:r>
      <w:r>
        <w:rPr/>
        <w:instrText>ADDIN ZOTERO_ITEM CSL_CITATION {"citationID":"0gr45B5N","properties":{"formattedCitation":"[20]","plainCitation":"[20]","noteIndex":0},"citationItems":[{"id":118,"uris":["http://zotero.org/users/local/BKRnzujf/items/AM4Q969M"],"itemData":{"id":118,"type":"article","abstract":"Affine registration is indispensable in a comprehensive medical image registration pipeline. However, only a few studies focus on fast and robust affine registration algorithms. Most of these studies utilize convolutional neural networks (CNNs) to learn joint affine and non-parametric registration, while the standalone performance of the affine subnetwork is less explored. Moreover, existing CNN-based affine registration approaches focus either on the local misalignment or the global orientation and position of the input to predict the affine transformation matrix, which are sensitive to spatial initialization and exhibit limited generalizability apart from the training dataset. In this paper, we present a fast and robust learning-based algorithm, Coarse-to-Fine Vision Transformer (C2FViT), for 3D affine medical image registration. Our method naturally leverages the global connectivity and locality of the convolutional vision transformer and the multi-resolution strategy to learn the global affine registration. We evaluate our method on 3D brain atlas registration and template-matching normalization. Comprehensive results demonstrate that our method is superior to the existing CNNs-based affine registration methods in terms of registration accuracy, robustness and generalizability while preserving the runtime advantage of the learning-based methods. The source code is available at https://github.com/cwmok/C2FViT.","DOI":"10.48550/arXiv.2203.15216","note":"arXiv:2203.15216 [cs]","number":"arXiv:2203.15216","publisher":"arXiv","source":"arXiv.org","title":"Affine Medical Image Registration with Coarse-to-Fine Vision Transformer","URL":"http://arxiv.org/abs/2203.15216","author":[{"family":"Mok","given":"Tony C. W."},{"family":"Chung","given":"Albert C. S."}],"accessed":{"date-parts":[["2023",5,16]]},"issued":{"date-parts":[["2022",3,29]]},"citation-key":"mokAffineMedicalImage2022"}}],"schema":"https://github.com/citation-style-language/schema/raw/master/csl-citation.json"}</w:instrText>
      </w:r>
      <w:r>
        <w:rPr/>
      </w:r>
      <w:r>
        <w:rPr/>
        <w:fldChar w:fldCharType="separate"/>
      </w:r>
      <w:r>
        <w:rPr/>
        <w:t>[19]</w:t>
      </w:r>
      <w:r>
        <w:rPr/>
      </w:r>
      <w:r>
        <w:rPr/>
        <w:fldChar w:fldCharType="end"/>
      </w:r>
      <w:r>
        <w:rPr/>
        <w:t>, which entirely replaces CNN for feature extraction. Swin-VoxelMorph</w:t>
      </w:r>
      <w:r>
        <w:fldChar w:fldCharType="begin"/>
      </w:r>
      <w:r>
        <w:rPr/>
        <w:instrText>ADDIN ZOTERO_ITEM CSL_CITATION {"citationID":"Dj826XHZ","properties":{"formattedCitation":"[18]","plainCitation":"[18]","noteIndex":0},"citationItems":[{"id":73,"uris":["http://zotero.org/users/local/BKRnzujf/items/DCUA47BQ"],"itemData":{"id":73,"type":"paper-conference","abstract":"Deformable medical image registration is widely used in medical image processing with the invertible and one-to-one mapping between images. While state-of-the-art image registration methods are based on convolutional neural networks, few attempts have been made with Transformers which show impressive performance on computer vision tasks. Existing models neglect to employ attention mechanisms to handle the long-range cross-image relevance in embedding learning, limiting such approaches to identify the semantically meaningful correspondence of anatomical structures. These methods also ignore the topology preservation and invertibility of the transformation although they achieve fast image registration. In this paper, we propose a novel, symmetric unsupervised learning network Swin-VoxelMorph based on the Swin Transformer which minimizes the dissimilarity between images and estimates both forward and inverse transformations simultaneously. Specifically, we propose 3D Swin-UNet, which applies hierarchical Swin Transformer with shifted windows as the encoder to extract context features. And a symmetric Swin Transformer-based decoder with patch expanding layer is designed to perform the up-sampling operation to estimate the registration fields. Besides, our objective loss functions can guarantee substantial diffeomorphic properties of the predicted transformations. We verify our method on two datasets including ADNI and PPMI, and it achieves state-of-the-art registration accuracy while maintaining desirable diffeomorphic properties.","collection-title":"Lecture Notes in Computer Science","container-title":"Medical Image Computing and Computer Assisted Intervention – MICCAI 2022","DOI":"10.1007/978-3-031-16446-0_8","event-place":"Cham","ISBN":"978-3-031-16446-0","language":"en","page":"78-87","publisher":"Springer Nature Switzerland","publisher-place":"Cham","source":"Springer Link","title":"Swin-VoxelMorph: A Symmetric Unsupervised Learning Model for Deformable Medical Image Registration Using Swin Transformer","title-short":"Swin-VoxelMorph","author":[{"family":"Zhu","given":"Yongpei"},{"family":"Lu","given":"Shi"}],"editor":[{"family":"Wang","given":"Linwei"},{"family":"Dou","given":"Qi"},{"family":"Fletcher","given":"P. Thomas"},{"family":"Speidel","given":"Stefanie"},{"family":"Li","given":"Shuo"}],"issued":{"date-parts":[["2022"]]},"citation-key":"zhuSwinVoxelMorphSymmetricUnsupervised2022"}}],"schema":"https://github.com/citation-style-language/schema/raw/master/csl-citation.json"}</w:instrText>
      </w:r>
      <w:r>
        <w:rPr/>
      </w:r>
      <w:r>
        <w:rPr/>
        <w:fldChar w:fldCharType="separate"/>
      </w:r>
      <w:r>
        <w:rPr/>
        <w:t>[20]</w:t>
      </w:r>
      <w:r>
        <w:rPr/>
      </w:r>
      <w:r>
        <w:rPr/>
        <w:fldChar w:fldCharType="end"/>
      </w:r>
      <w:r>
        <w:rPr/>
        <w:t xml:space="preserve"> further enhances model performance by introducing the Swin-Transformer structure. Subsequently, XMorpher</w:t>
      </w:r>
      <w:r>
        <w:fldChar w:fldCharType="begin"/>
      </w:r>
      <w:r>
        <w:rPr/>
        <w:instrText>ADDIN ZOTERO_ITEM CSL_CITATION {"citationID":"FpAcnBT8","properties":{"formattedCitation":"[19]","plainCitation":"[19]","noteIndex":0},"citationItems":[{"id":53,"uris":["http://zotero.org/users/local/BKRnzujf/items/NCHRQKB3"],"itemData":{"id":53,"type":"article","abstract":"An effective backbone network is important to deep learning-based Deformable Medical Image Registration (DMIR), because it extracts and matches the features between two images to discover the mutual correspondence for fine registration. However, the existing deep networks focus on single image situation and are limited in registration task which is performed on paired images. Therefore, we advance a novel backbone network, XMorpher, for the effective corresponding feature representation in DMIR. 1) It proposes a novel full transformer architecture including dual parallel feature extraction networks which exchange information through cross attention, thus discovering multi-level semantic correspondence while extracting respective features gradually for final effective registration. 2) It advances the Cross Attention Transformer (CAT) blocks to establish the attention mechanism between images which is able to find the correspondence automatically and prompts the features to fuse efficiently in the network. 3) It constrains the attention computation between base windows and searching windows with different sizes, and thus focuses on the local transformation of deformable registration and enhances the computing efficiency at the same time. Without any bells and whistles, our XMorpher gives Voxelmorph 2.8% improvement on DSC , demonstrating its effective representation of the features from the paired images in DMIR. We believe that our XMorpher has great application potential in more paired medical images. Our XMorpher is open on https://github.com/Solemoon/XMorpher","DOI":"10.48550/arXiv.2206.07349","note":"arXiv:2206.07349 [cs]","number":"arXiv:2206.07349","publisher":"arXiv","source":"arXiv.org","title":"XMorpher: Full Transformer for Deformable Medical Image Registration via Cross Attention","title-short":"XMorpher","URL":"http://arxiv.org/abs/2206.07349","author":[{"family":"Shi","given":"Jiacheng"},{"family":"He","given":"Yuting"},{"family":"Kong","given":"Youyong"},{"family":"Coatrieux","given":"Jean-Louis"},{"family":"Shu","given":"Huazhong"},{"family":"Yang","given":"Guanyu"},{"family":"Li","given":"Shuo"}],"accessed":{"date-parts":[["2023",5,16]]},"issued":{"date-parts":[["2022",6,15]]},"citation-key":"shiXMorpherFullTransformer2022"}}],"schema":"https://github.com/citation-style-language/schema/raw/master/csl-citation.json"}</w:instrText>
      </w:r>
      <w:r>
        <w:rPr/>
      </w:r>
      <w:r>
        <w:rPr/>
        <w:fldChar w:fldCharType="separate"/>
      </w:r>
      <w:r>
        <w:rPr/>
        <w:t>[21]</w:t>
      </w:r>
      <w:r>
        <w:rPr/>
      </w:r>
      <w:r>
        <w:rPr/>
        <w:fldChar w:fldCharType="end"/>
      </w:r>
      <w:r>
        <w:rPr/>
        <w:t xml:space="preserve"> builds upon Swin-Transformer and incorporates cross-attention mechanisms in the encoder and decoder sections, achieving superior registration outcomes. Experimental results demonstrate that the Transformer structure, particularly the Swin-Transformer, significantly elevates registration accuracy. However, these models demand substantial computational resources and prolonged processing times, posing stringent requirements on hardware infrastructure.</w:t>
      </w:r>
    </w:p>
    <w:p>
      <w:pPr>
        <w:pStyle w:val="Keyword"/>
        <w:widowControl w:val="false"/>
        <w:tabs>
          <w:tab w:val="clear" w:pos="720"/>
          <w:tab w:val="left" w:pos="187" w:leader="none"/>
        </w:tabs>
        <w:snapToGrid w:val="false"/>
        <w:rPr/>
      </w:pPr>
      <w:r>
        <w:rPr/>
        <w:t>Several scholars have explored the use of Generative Adversarial Network (GAN) networks to address registration challenges</w:t>
      </w:r>
      <w:r>
        <w:fldChar w:fldCharType="begin"/>
      </w:r>
      <w:r>
        <w:rPr/>
        <w:instrText>ADDIN ZOTERO_ITEM CSL_CITATION {"citationID":"Uk4xiChd","properties":{"formattedCitation":"[22], [23], [24]","plainCitation":"[22], [23], [24]","noteIndex":0},"citationItems":[{"id":61,"uris":["http://zotero.org/users/local/BKRnzujf/items/IVAANGSS"],"itemData":{"id":61,"type":"article-journal","abstract":"Symmetric image registration estimates bi-directional spatial transformations between images while enforcing an inverse-consistency. Its capability of eliminating bias introduced inevitably by generic single-directional image registration allows more precise analysis in different interdisciplinary applications of image registration, e.g., computational anatomy and shape analysis. However, most existing symmetric registration techniques especially for multimodal images are limited by low speed from the commonly-used iterative optimization, hardship in exploring inter-modality relations or high labor cost for labeling data. We propose SymReg-GAN to shatter these limits, which is a novel generative adversarial networks (GAN) based approach to symmetric image registration. We formulate symmetric registration of unimodal/multimodal images as a conditional GAN and train it with a semi-supervised strategy. The registration symmetry is realized by introducing a loss for encouraging that the cycle composed of the geometric transformation from one image to another and its reverse should bring an image back. The semi-supervised learning enables both the precious labeled data and large amounts of unlabeled data to be fully exploited. Experimental results from six public brain magnetic resonance imaging (MRI) datasets and 1 our own computed tomography (CT) and MRI dataset demonstrate the superiority of SymReg-GAN to several existing state-of-the-art methods.","container-title":"IEEE Transactions on Pattern Analysis and Machine Intelligence","DOI":"10.1109/TPAMI.2021.3083543","ISSN":"1939-3539","issue":"9","note":"event-title: IEEE Transactions on Pattern Analysis and Machine Intelligence","page":"5631-5646","source":"IEEE Xplore","title":"SymReg-GAN: Symmetric Image Registration With Generative Adversarial Networks","title-short":"SymReg-GAN","volume":"44","author":[{"family":"Zheng","given":"Yuanjie"},{"family":"Sui","given":"Xiaodan"},{"family":"Jiang","given":"Yanyun"},{"family":"Che","given":"Tongtong"},{"family":"Zhang","given":"Shaoting"},{"family":"Yang","given":"Jie"},{"family":"Li","given":"Hongsheng"}],"issued":{"date-parts":[["2022",9]]},"citation-key":"zhengSymRegGANSymmetricImage2022"},"label":"page"},{"id":81,"uris":["http://zotero.org/users/local/BKRnzujf/items/ZZQIHNMQ"],"itemData":{"id":81,"type":"article","abstract":"Deformable registration is one of the most challenging task in the field of medical image analysis, especially for the alignment between different sequences and modalities. In this paper, a non-rigid registration method is proposed for 3D medical images leveraging unsupervised learning. To the best of our knowledge, this is the first attempt to introduce gradient loss into deep-learning-based registration. The proposed gradient loss is robust across sequences and modals for large deformation. Besides, adversarial learning approach is used to transfer multi-modal similarity to mono-modal similarity and improve the precision. Neither ground-truth nor manual labeling is required during training. We evaluated our network on a 3D brain registration task comprehensively. The experiments demonstrate that the proposed method can cope with the data which has non-functional intensity relations, noise and blur. Our approach outperforms other methods especially in accuracy and speed.","DOI":"10.48550/arXiv.2002.11430","note":"arXiv:2002.11430 [cs]","number":"arXiv:2002.11430","publisher":"arXiv","source":"arXiv.org","title":"Deform-GAN:An Unsupervised Learning Model for Deformable Registration","title-short":"Deform-GAN","URL":"http://arxiv.org/abs/2002.11430","author":[{"family":"Zhang","given":"Xiaoyue"},{"family":"Jian","given":"Weijian"},{"family":"Chen","given":"Yu"},{"family":"Yang","given":"Shihting"}],"accessed":{"date-parts":[["2023",5,16]]},"issued":{"date-parts":[["2020",2,26]]},"citation-key":"zhangDeformGANUnsupervisedLearning2020"},"label":"page"},{"id":63,"uris":["http://zotero.org/users/local/BKRnzujf/items/J86KQZVI"],"itemData":{"id":63,"type":"chapter","abstract":"We describe an adversarial learning approach to constrain convolutional neural network training for image registration, replacing heuristic smoothness measures of displacement fields often used in these tasks. Using minimally-invasive prostate cancer intervention as an example application, we demonstrate the feasibility of utilizing biomechanical simulations to regularize a weakly-supervised anatomical-label-driven registration network for aligning pre-procedural magnetic resonance (MR) and 3D intra-procedural transrectal ultrasound (TRUS) images. A discriminator network is optimized to distinguish the registration-predicted displacement fields from the motion data simulated by finite element analysis. During training, the registration network simultaneously aims to maximize similarity between anatomical labels that drives image alignment and to minimize an adversarial generator loss that measures divergence between the predicted- and simulated deformation. The end-to-end trained network enables efficient and fully-automated registration that only requires an MR and TRUS image pair as input, without anatomical labels or simulated data during inference. 108 pairs of labelled MR and TRUS images from 76 prostate cancer patients and 71,500 nonlinear finite-element simulations from 143 different patients were used for this study. We show that, with only gland segmentation as training labels, the proposed method can help predict physically plausible deformation without any other smoothness penalty. Based on cross-validation experiments using 834 pairs of independent validation landmarks, the proposed adversarial-regularized registration achieved a target registration error of 6.3 mm that is significantly lower than those from several other regularization methods.","note":"DOI: 10.1007/978-3-030-00928-1_87\narXiv:1805.10665 [cs, stat]","page":"774-782","source":"arXiv.org","title":"Adversarial Deformation Regularization for Training Image Registration Neural Networks","URL":"http://arxiv.org/abs/1805.10665","volume":"11070","author":[{"family":"Hu","given":"Yipeng"},{"family":"Gibson","given":"Eli"},{"family":"Ghavami","given":"Nooshin"},{"family":"Bonmati","given":"Ester"},{"family":"Moore","given":"Caroline M."},{"family":"Emberton","given":"Mark"},{"family":"Vercauteren","given":"Tom"},{"family":"Noble","given":"J. Alison"},{"family":"Barratt","given":"Dean C."}],"accessed":{"date-parts":[["2023",5,16]]},"issued":{"date-parts":[["2018"]]},"citation-key":"huAdversarialDeformationRegularization2018"},"label":"page"}],"schema":"https://github.com/citation-style-language/schema/raw/master/csl-citation.json"}</w:instrText>
      </w:r>
      <w:r>
        <w:rPr/>
      </w:r>
      <w:r>
        <w:rPr/>
        <w:fldChar w:fldCharType="separate"/>
      </w:r>
      <w:r>
        <w:rPr/>
        <w:t>[22-24]</w:t>
      </w:r>
      <w:r>
        <w:rPr/>
      </w:r>
      <w:r>
        <w:rPr/>
        <w:fldChar w:fldCharType="end"/>
      </w:r>
      <w:r>
        <w:rPr/>
        <w:t>, exemplified by models such as ASNet</w:t>
      </w:r>
      <w:r>
        <w:fldChar w:fldCharType="begin"/>
      </w:r>
      <w:r>
        <w:rPr/>
        <w:instrText>ADDIN ZOTERO_ITEM CSL_CITATION {"citationID":"mS1eeXHE","properties":{"formattedCitation":"[24]","plainCitation":"[24]","noteIndex":0},"citationItems":[{"id":63,"uris":["http://zotero.org/users/local/BKRnzujf/items/J86KQZVI"],"itemData":{"id":63,"type":"chapter","abstract":"We describe an adversarial learning approach to constrain convolutional neural network training for image registration, replacing heuristic smoothness measures of displacement fields often used in these tasks. Using minimally-invasive prostate cancer intervention as an example application, we demonstrate the feasibility of utilizing biomechanical simulations to regularize a weakly-supervised anatomical-label-driven registration network for aligning pre-procedural magnetic resonance (MR) and 3D intra-procedural transrectal ultrasound (TRUS) images. A discriminator network is optimized to distinguish the registration-predicted displacement fields from the motion data simulated by finite element analysis. During training, the registration network simultaneously aims to maximize similarity between anatomical labels that drives image alignment and to minimize an adversarial generator loss that measures divergence between the predicted- and simulated deformation. The end-to-end trained network enables efficient and fully-automated registration that only requires an MR and TRUS image pair as input, without anatomical labels or simulated data during inference. 108 pairs of labelled MR and TRUS images from 76 prostate cancer patients and 71,500 nonlinear finite-element simulations from 143 different patients were used for this study. We show that, with only gland segmentation as training labels, the proposed method can help predict physically plausible deformation without any other smoothness penalty. Based on cross-validation experiments using 834 pairs of independent validation landmarks, the proposed adversarial-regularized registration achieved a target registration error of 6.3 mm that is significantly lower than those from several other regularization methods.","note":"DOI: 10.1007/978-3-030-00928-1_87\narXiv:1805.10665 [cs, stat]","page":"774-782","source":"arXiv.org","title":"Adversarial Deformation Regularization for Training Image Registration Neural Networks","URL":"http://arxiv.org/abs/1805.10665","volume":"11070","author":[{"family":"Hu","given":"Yipeng"},{"family":"Gibson","given":"Eli"},{"family":"Ghavami","given":"Nooshin"},{"family":"Bonmati","given":"Ester"},{"family":"Moore","given":"Caroline M."},{"family":"Emberton","given":"Mark"},{"family":"Vercauteren","given":"Tom"},{"family":"Noble","given":"J. Alison"},{"family":"Barratt","given":"Dean C."}],"accessed":{"date-parts":[["2023",5,16]]},"issued":{"date-parts":[["2018"]]},"citation-key":"huAdversarialDeformationRegularization2018"}}],"schema":"https://github.com/citation-style-language/schema/raw/master/csl-citation.json"}</w:instrText>
      </w:r>
      <w:r>
        <w:rPr/>
      </w:r>
      <w:r>
        <w:rPr/>
        <w:fldChar w:fldCharType="separate"/>
      </w:r>
      <w:r>
        <w:rPr/>
        <w:t>[22]</w:t>
      </w:r>
      <w:r>
        <w:rPr/>
      </w:r>
      <w:r>
        <w:rPr/>
        <w:fldChar w:fldCharType="end"/>
      </w:r>
      <w:r>
        <w:rPr/>
        <w:t xml:space="preserve"> and Deform-GAN</w:t>
      </w:r>
      <w:r>
        <w:fldChar w:fldCharType="begin"/>
      </w:r>
      <w:r>
        <w:rPr/>
        <w:instrText>ADDIN ZOTERO_ITEM CSL_CITATION {"citationID":"jEsNIpgX","properties":{"formattedCitation":"[23]","plainCitation":"[23]","noteIndex":0},"citationItems":[{"id":81,"uris":["http://zotero.org/users/local/BKRnzujf/items/ZZQIHNMQ"],"itemData":{"id":81,"type":"article","abstract":"Deformable registration is one of the most challenging task in the field of medical image analysis, especially for the alignment between different sequences and modalities. In this paper, a non-rigid registration method is proposed for 3D medical images leveraging unsupervised learning. To the best of our knowledge, this is the first attempt to introduce gradient loss into deep-learning-based registration. The proposed gradient loss is robust across sequences and modals for large deformation. Besides, adversarial learning approach is used to transfer multi-modal similarity to mono-modal similarity and improve the precision. Neither ground-truth nor manual labeling is required during training. We evaluated our network on a 3D brain registration task comprehensively. The experiments demonstrate that the proposed method can cope with the data which has non-functional intensity relations, noise and blur. Our approach outperforms other methods especially in accuracy and speed.","DOI":"10.48550/arXiv.2002.11430","note":"arXiv:2002.11430 [cs]","number":"arXiv:2002.11430","publisher":"arXiv","source":"arXiv.org","title":"Deform-GAN:An Unsupervised Learning Model for Deformable Registration","title-short":"Deform-GAN","URL":"http://arxiv.org/abs/2002.11430","author":[{"family":"Zhang","given":"Xiaoyue"},{"family":"Jian","given":"Weijian"},{"family":"Chen","given":"Yu"},{"family":"Yang","given":"Shihting"}],"accessed":{"date-parts":[["2023",5,16]]},"issued":{"date-parts":[["2020",2,26]]},"citation-key":"zhangDeformGANUnsupervisedLearning2020"}}],"schema":"https://github.com/citation-style-language/schema/raw/master/csl-citation.json"}</w:instrText>
      </w:r>
      <w:r>
        <w:rPr/>
      </w:r>
      <w:r>
        <w:rPr/>
        <w:fldChar w:fldCharType="separate"/>
      </w:r>
      <w:r>
        <w:rPr/>
        <w:t>[23]</w:t>
      </w:r>
      <w:r>
        <w:rPr/>
      </w:r>
      <w:r>
        <w:rPr/>
        <w:fldChar w:fldCharType="end"/>
      </w:r>
      <w:r>
        <w:rPr/>
        <w:t>, employing a set of GAN networks for registration. These models require at least two modalities of information, generating one modality from another. Nevertheless, clinical data often lacks multiple modalities, constraining their applicability. SymReg-GAN</w:t>
      </w:r>
      <w:r>
        <w:fldChar w:fldCharType="begin"/>
      </w:r>
      <w:r>
        <w:rPr/>
        <w:instrText>ADDIN ZOTERO_ITEM CSL_CITATION {"citationID":"6BSD6EHX","properties":{"formattedCitation":"[22]","plainCitation":"[22]","noteIndex":0},"citationItems":[{"id":61,"uris":["http://zotero.org/users/local/BKRnzujf/items/IVAANGSS"],"itemData":{"id":61,"type":"article-journal","abstract":"Symmetric image registration estimates bi-directional spatial transformations between images while enforcing an inverse-consistency. Its capability of eliminating bias introduced inevitably by generic single-directional image registration allows more precise analysis in different interdisciplinary applications of image registration, e.g., computational anatomy and shape analysis. However, most existing symmetric registration techniques especially for multimodal images are limited by low speed from the commonly-used iterative optimization, hardship in exploring inter-modality relations or high labor cost for labeling data. We propose SymReg-GAN to shatter these limits, which is a novel generative adversarial networks (GAN) based approach to symmetric image registration. We formulate symmetric registration of unimodal/multimodal images as a conditional GAN and train it with a semi-supervised strategy. The registration symmetry is realized by introducing a loss for encouraging that the cycle composed of the geometric transformation from one image to another and its reverse should bring an image back. The semi-supervised learning enables both the precious labeled data and large amounts of unlabeled data to be fully exploited. Experimental results from six public brain magnetic resonance imaging (MRI) datasets and 1 our own computed tomography (CT) and MRI dataset demonstrate the superiority of SymReg-GAN to several existing state-of-the-art methods.","container-title":"IEEE Transactions on Pattern Analysis and Machine Intelligence","DOI":"10.1109/TPAMI.2021.3083543","ISSN":"1939-3539","issue":"9","note":"event-title: IEEE Transactions on Pattern Analysis and Machine Intelligence","page":"5631-5646","source":"IEEE Xplore","title":"SymReg-GAN: Symmetric Image Registration With Generative Adversarial Networks","title-short":"SymReg-GAN","volume":"44","author":[{"family":"Zheng","given":"Yuanjie"},{"family":"Sui","given":"Xiaodan"},{"family":"Jiang","given":"Yanyun"},{"family":"Che","given":"Tongtong"},{"family":"Zhang","given":"Shaoting"},{"family":"Yang","given":"Jie"},{"family":"Li","given":"Hongsheng"}],"issued":{"date-parts":[["2022",9]]},"citation-key":"zhengSymRegGANSymmetricImage2022"}}],"schema":"https://github.com/citation-style-language/schema/raw/master/csl-citation.json"}</w:instrText>
      </w:r>
      <w:r>
        <w:rPr/>
      </w:r>
      <w:r>
        <w:rPr/>
        <w:fldChar w:fldCharType="separate"/>
      </w:r>
      <w:r>
        <w:rPr/>
        <w:t>[24]</w:t>
      </w:r>
      <w:r>
        <w:rPr/>
      </w:r>
      <w:r>
        <w:rPr/>
        <w:fldChar w:fldCharType="end"/>
      </w:r>
      <w:r>
        <w:rPr/>
        <w:t xml:space="preserve"> adeptly tackles this limitation by proposing a bidirectional GAN registration network, enforcing bidirectional constraints on deformation fields. </w:t>
      </w:r>
      <w:bookmarkEnd w:id="1"/>
      <w:r>
        <w:rPr/>
        <w:t>Despite the potential of GAN networks in registration, their intrinsic limitations, particularly the issue of 'creating information from nothing,' may introduce information in generated images that does not exist in the original images, a phenomenon deemed unacceptable in the context of medical imaging.</w:t>
      </w:r>
    </w:p>
    <w:p>
      <w:pPr>
        <w:pStyle w:val="Keyword"/>
        <w:widowControl w:val="false"/>
        <w:tabs>
          <w:tab w:val="clear" w:pos="720"/>
          <w:tab w:val="left" w:pos="187" w:leader="none"/>
        </w:tabs>
        <w:snapToGrid w:val="false"/>
        <w:rPr/>
      </w:pPr>
      <w:bookmarkStart w:id="2" w:name="_Hlk154137972"/>
      <w:r>
        <w:rPr/>
        <w:t xml:space="preserve">The models described </w:t>
      </w:r>
      <w:r>
        <w:fldChar w:fldCharType="begin"/>
      </w:r>
      <w:r>
        <w:rPr/>
        <w:instrText>ADDIN ZOTERO_ITEM CSL_CITATION {"citationID":"zSfsURpv","properties":{"formattedCitation":"[11], [12], [13], [14], [15], [16], [17], [18], [19], [20], [21], [22], [23], [24]","plainCitation":"[11], [12], [13], [14], [15], [16], [17], [18], [19], [20], [21], [22], [23], [24]","noteIndex":0},"citationItems":[{"id":33,"uris":["http://zotero.org/users/local/BKRnzujf/items/2YQH7JGA"],"itemData":{"id":33,"type":"article-journal","abstract":"We propose an efficient non-parametric diffeomorphic image registration algorithm based on Thirion's demons algorithm. In the first part of this paper, we show that Thirion's demons algorithm can be seen as an optimization procedure on the entire space of displacement fields. We provide strong theoretical roots to the different variants of Thirion's demons algorithm. This analysis predicts a theoretical advantage for the symmetric forces variant of the demons algorithm. We show on controlled experiments that this advantage is confirmed in practice and yields a faster convergence. In the second part of this paper, we adapt the optimization procedure underlying the demons algorithm to a space of diffeomorphic transformations. In contrast to many diffeomorphic registration algorithms, our solution is computationally efficient since in practice it only replaces an addition of displacement fields by a few compositions. Our experiments show that in addition to being diffeomorphic, our algorithm provides results that are similar to the ones from the demons algorithm but with transformations that are much smoother and closer to the gold standard, available in controlled experiments, in terms of Jacobians.","collection-title":"Mathematics in Brain Imaging","container-title":"NeuroImage","DOI":"10.1016/j.neuroimage.2008.10.040","ISSN":"1053-8119","issue":"1, Supplement 1","journalAbbreviation":"NeuroImage","language":"en","page":"S61-S72","source":"ScienceDirect","title":"Diffeomorphic demons: Efficient non-parametric image registration","title-short":"Diffeomorphic demons","volume":"45","author":[{"family":"Vercauteren","given":"Tom"},{"family":"Pennec","given":"Xavier"},{"family":"Perchant","given":"Aymeric"},{"family":"Ayache","given":"Nicholas"}],"issued":{"date-parts":[["2009",3,1]]},"citation-key":"vercauterenDiffeomorphicDemonsEfficient2009"},"label":"page"},{"id":30,"uris":["http://zotero.org/users/local/BKRnzujf/items/83WIU2AZ"],"itemData":{"id":30,"type":"article-journal","abstract":"We present a matching criterion for curves and integrate it into the large deformation diffeomorphic metric mapping (LDDMM) scheme for computing an optimal transformation between two curves embedded in Euclidean space ℝd. Curves are first represented as vector-valued measures, which incorporate both location and the first order geometric structure of the curves. Then, a Hilbert space structure is imposed on the measures to build the norm for quantifying the closeness between two curves. We describe a discretized version of this, in which discrete sequences of points along the curve are represented by vector-valued functionals. This gives a convenient and practical way to define a matching functional for curves. We derive and implement the curve matching in the large deformation framework and demonstrate mapping results of curves in ℝ2 and ℝ3. Behaviors of the curve mapping are discussed using 2D curves. The applications to shape classification is shown and experiments with 3D curves extracted from brain cortical surfaces are presented.","container-title":"International journal of computer vision","DOI":"10.1007/s11263-008-0141-9","ISSN":"0920-5691","issue":"3","journalAbbreviation":"Int J Comput Vis","note":"PMID: 20419045\nPMCID: PMC2858418","page":"317-336","source":"PubMed Central","title":"Large Deformation Diffeomorphic Metric Curve Mapping","volume":"80","author":[{"family":"Glaunès","given":"Joan"},{"family":"Qiu","given":"Anqi"},{"family":"Miller","given":"Michael I."},{"family":"Younes","given":"Laurent"}],"issued":{"date-parts":[["2008",12,1]]},"citation-key":"glaunesLargeDeformationDiffeomorphic2008"},"label":"page"},{"id":36,"uris":["http://zotero.org/users/local/BKRnzujf/items/ZFQB9ECG"],"itemData":{"id":36,"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individuals.","container-title":"Medical Image Analysis","DOI":"10.1016/j.media.2007.06.004","ISSN":"1361-8423","issue":"1","journalAbbreviation":"Med Image Anal","language":"eng","note":"PMID: 17659998\nPMCID: PMC2276735","page":"26-41","source":"PubMed","title":"Symmetric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C."}],"issued":{"date-parts":[["2008",2]]},"citation-key":"avantsSymmetricDiffeomorphicImage2008"},"label":"page"},{"id":41,"uris":["http://zotero.org/users/local/BKRnzujf/items/7KQ33H67"],"itemData":{"id":41,"type":"article-journal","abstract":"We present VoxelMorph, a fast learning-based framework for deformable, pairwise medical image registration. Traditional registration methods optimize an objective function for each pair of images, which can be time-consuming for large datasets or rich deformation models. In contrast to this approach, and building on recent learning-based methods, we formulate registration as a function that maps an input image pair to a deformation field that aligns these images. We parameterize the function via a convolutional neural network (CNN), and optimize the parameters of the neural network on a set of images. Given a new pair of scans, VoxelMorph rapidly computes a deformation field by directly evaluating the function. In this work, we explore two different training strategies. In the first (unsupervised) setting, we train the model to maximize standard image matching objective functions that are based on the image intensities. In the second setting, we leverage auxiliary segmentations available in the training data. We demonstrate that the unsupervised model's accuracy is comparable to state-of-the-art methods, while operating orders of magnitude faster. We also show that VoxelMorph trained with auxiliary data improves registration accuracy at test time, and evaluate the effect of training set size on registration. Our method promises to speed up medical image analysis and processing pipelines, while facilitating novel directions in learning-based registration and its applications. Our code is freely available at voxelmorph.csail.mit.edu.","container-title":"IEEE Transactions on Medical Imaging","DOI":"10.1109/TMI.2019.2897538","ISSN":"0278-0062, 1558-254X","issue":"8","journalAbbreviation":"IEEE Trans. Med. Imaging","note":"arXiv:1809.05231 [cs]","page":"1788-1800","source":"arXiv.org","title":"VoxelMorph: A Learning Framework for Deformable Medical Image Registration","title-short":"VoxelMorph","volume":"38","author":[{"family":"Balakrishnan","given":"Guha"},{"family":"Zhao","given":"Amy"},{"family":"Sabuncu","given":"Mert R."},{"family":"Guttag","given":"John"},{"family":"Dalca","given":"Adrian V."}],"issued":{"date-parts":[["2019",8]]},"citation-key":"balakrishnanVoxelMorphLearningFramework2019"},"label":"page"},{"id":46,"uris":["http://zotero.org/users/local/BKRnzujf/items/NNAY5WFG"],"itemData":{"id":46,"type":"paper-conference","abstract":"Diffeomorphic deformable image registration is crucial in many medical image studies, as it offers unique, special properties including topology preservation and invertibility of the transformation. Recent deep learning-based deformable image registration methods achieve fast image registration by leveraging a convolutional neural network (CNN) to learn the spatial transformation from the synthetic ground truth or the similarity metric. However, these approaches often ignore the topology preservation of the transformation and the smoothness of the transformation which is enforced by a global smoothing energy function alone. Moreover, deep learning-based approaches often estimate the displacement ﬁeld directly, which cannot guarantee the existence of the inverse transformation. In this paper, we present a novel, efﬁcient unsupervised symmetric image registration method which maximizes the similarity between images within the space of diffeomorphic maps and estimates both forward and inverse transformations simultaneously. We evaluate our method on 3D image registration with a large scale brain image dataset. Our method achieves state-of-the-art registration accuracy and running time while maintaining desirable diffeomorphic properties.","container-title":"2020 IEEE/CVF Conference on Computer Vision and Pattern Recognition (CVPR)","DOI":"10.1109/CVPR42600.2020.00470","event-place":"Seattle, WA, USA","event-title":"2020 IEEE/CVF Conference on Computer Vision and Pattern Recognition (CVPR)","ISBN":"978-1-72817-168-5","language":"en","page":"4643-4652","publisher":"IEEE","publisher-place":"Seattle, WA, USA","source":"DOI.org (Crossref)","title":"Fast Symmetric Diffeomorphic Image Registration with Convolutional Neural Networks","URL":"https://ieeexplore.ieee.org/document/9156870/","author":[{"family":"Mok","given":"Tony C.W."},{"family":"Chung","given":"Albert C.S."}],"accessed":{"date-parts":[["2023",5,16]]},"issued":{"date-parts":[["2020",6]]},"citation-key":"mokFastSymmetricDiffeomorphic2020"},"label":"page"},{"id":47,"uris":["http://zotero.org/users/local/BKRnzujf/items/URRXCAYM"],"itemData":{"id":47,"type":"article","abstract":"Deformable image registration is a fundamental task in medical image analysis, aiming to establish a dense and non-linear correspondence between a pair of images. Previous deep-learning studies usually employ supervised neural networks to directly learn the spatial transformation from one image to another, requiring task-specific ground-truth registration for model training. Due to the difficulty in collecting precise ground-truth registration, implementation of these supervised methods is practically challenging. Although several unsupervised networks have been recently developed, these methods usually ignore the inherent inverse-consistent property (essential for diffeomorphic mapping) of transformations between a pair of images. Also, existing approaches usually encourage the to-be-estimated transformation to be locally smooth via a smoothness constraint only, which could not completely avoid folding in the resulting transformation. To this end, we propose an Inverse-Consistent deep Network (ICNet) for unsupervised deformable image registration. Specifically, we develop an inverse-consistent constraint to encourage that a pair of images are symmetrically deformed toward one another, until both warped images are matched. Besides using the conventional smoothness constraint, we also propose an anti-folding constraint to further avoid folding in the transformation. The proposed method does not require any supervision information, while encouraging the diffeomoprhic property of the transformation via the proposed inverse-consistent and anti-folding constraints. We evaluate our method on T1-weighted brain magnetic resonance imaging (MRI) scans for tissue segmentation and anatomical landmark detection, with results demonstrating the superior performance of our ICNet over several state-of-the-art approaches for deformable image registration. Our code will be made publicly available.","DOI":"10.48550/arXiv.1809.03443","note":"arXiv:1809.03443 [cs]","number":"arXiv:1809.03443","publisher":"arXiv","source":"arXiv.org","title":"Inverse-Consistent Deep Networks for Unsupervised Deformable Image Registration","URL":"http://arxiv.org/abs/1809.03443","author":[{"family":"Zhang","given":"Jun"}],"accessed":{"date-parts":[["2023",5,16]]},"issued":{"date-parts":[["2018",9,10]]},"citation-key":"zhangInverseConsistentDeepNetworks2018"},"label":"page"},{"id":75,"uris":["http://zotero.org/users/local/BKRnzujf/items/XTU8U6WX"],"itemData":{"id":75,"type":"article","abstract":"Image registration is a fundamental task in medical image analysis. Recently, deep learning based image registration methods have been extensively investigated due to their excellent performance despite the ultra-fast computational time. However, the existing deep learning methods still have limitation in the preservation of original topology during the deformation with registration vector fields. To address this issues, here we present a cycle-consistent deformable image registration. The cycle consistency enhances image registration performance by providing an implicit regularization to preserve topology during the deformation. The proposed method is so flexible that can be applied for both 2D and 3D registration problems for various applications, and can be easily extended to multi-scale implementation to deal with the memory issues in large volume registration. Experimental results on various datasets from medical and non-medical applications demonstrate that the proposed method provides effective and accurate registration on diverse image pairs within a few seconds. Qualitative and quantitative evaluations on deformation fields also verify the effectiveness of the cycle consistency of the proposed method.","DOI":"10.48550/arXiv.2008.05772","note":"arXiv:2008.05772 [cs, eess, stat]","number":"arXiv:2008.05772","publisher":"arXiv","source":"arXiv.org","title":"CycleMorph: Cycle Consistent Unsupervised Deformable Image Registration","title-short":"CycleMorph","URL":"http://arxiv.org/abs/2008.05772","author":[{"family":"Kim","given":"Boah"},{"family":"Kim","given":"Dong Hwan"},{"family":"Park","given":"Seong Ho"},{"family":"Kim","given":"Jieun"},{"family":"Lee","given":"June-Goo"},{"family":"Ye","given":"Jong Chul"}],"accessed":{"date-parts":[["2023",5,16]]},"issued":{"date-parts":[["2020",8,13]]},"citation-key":"kimCycleMorphCycleConsistent2020"},"label":"page"},{"id":73,"uris":["http://zotero.org/users/local/BKRnzujf/items/DCUA47BQ"],"itemData":{"id":73,"type":"paper-conference","abstract":"Deformable medical image registration is widely used in medical image processing with the invertible and one-to-one mapping between images. While state-of-the-art image registration methods are based on convolutional neural networks, few attempts have been made with Transformers which show impressive performance on computer vision tasks. Existing models neglect to employ attention mechanisms to handle the long-range cross-image relevance in embedding learning, limiting such approaches to identify the semantically meaningful correspondence of anatomical structures. These methods also ignore the topology preservation and invertibility of the transformation although they achieve fast image registration. In this paper, we propose a novel, symmetric unsupervised learning network Swin-VoxelMorph based on the Swin Transformer which minimizes the dissimilarity between images and estimates both forward and inverse transformations simultaneously. Specifically, we propose 3D Swin-UNet, which applies hierarchical Swin Transformer with shifted windows as the encoder to extract context features. And a symmetric Swin Transformer-based decoder with patch expanding layer is designed to perform the up-sampling operation to estimate the registration fields. Besides, our objective loss functions can guarantee substantial diffeomorphic properties of the predicted transformations. We verify our method on two datasets including ADNI and PPMI, and it achieves state-of-the-art registration accuracy while maintaining desirable diffeomorphic properties.","collection-title":"Lecture Notes in Computer Science","container-title":"Medical Image Computing and Computer Assisted Intervention – MICCAI 2022","DOI":"10.1007/978-3-031-16446-0_8","event-place":"Cham","ISBN":"978-3-031-16446-0","language":"en","page":"78-87","publisher":"Springer Nature Switzerland","publisher-place":"Cham","source":"Springer Link","title":"Swin-VoxelMorph: A Symmetric Unsupervised Learning Model for Deformable Medical Image Registration Using Swin Transformer","title-short":"Swin-VoxelMorph","author":[{"family":"Zhu","given":"Yongpei"},{"family":"Lu","given":"Shi"}],"editor":[{"family":"Wang","given":"Linwei"},{"family":"Dou","given":"Qi"},{"family":"Fletcher","given":"P. Thomas"},{"family":"Speidel","given":"Stefanie"},{"family":"Li","given":"Shuo"}],"issued":{"date-parts":[["2022"]]},"citation-key":"zhuSwinVoxelMorphSymmetricUnsupervised2022"},"label":"page"},{"id":53,"uris":["http://zotero.org/users/local/BKRnzujf/items/NCHRQKB3"],"itemData":{"id":53,"type":"article","abstract":"An effective backbone network is important to deep learning-based Deformable Medical Image Registration (DMIR), because it extracts and matches the features between two images to discover the mutual correspondence for fine registration. However, the existing deep networks focus on single image situation and are limited in registration task which is performed on paired images. Therefore, we advance a novel backbone network, XMorpher, for the effective corresponding feature representation in DMIR. 1) It proposes a novel full transformer architecture including dual parallel feature extraction networks which exchange information through cross attention, thus discovering multi-level semantic correspondence while extracting respective features gradually for final effective registration. 2) It advances the Cross Attention Transformer (CAT) blocks to establish the attention mechanism between images which is able to find the correspondence automatically and prompts the features to fuse efficiently in the network. 3) It constrains the attention computation between base windows and searching windows with different sizes, and thus focuses on the local transformation of deformable registration and enhances the computing efficiency at the same time. Without any bells and whistles, our XMorpher gives Voxelmorph 2.8% improvement on DSC , demonstrating its effective representation of the features from the paired images in DMIR. We believe that our XMorpher has great application potential in more paired medical images. Our XMorpher is open on https://github.com/Solemoon/XMorpher","DOI":"10.48550/arXiv.2206.07349","note":"arXiv:2206.07349 [cs]","number":"arXiv:2206.07349","publisher":"arXiv","source":"arXiv.org","title":"XMorpher: Full Transformer for Deformable Medical Image Registration via Cross Attention","title-short":"XMorpher","URL":"http://arxiv.org/abs/2206.07349","author":[{"family":"Shi","given":"Jiacheng"},{"family":"He","given":"Yuting"},{"family":"Kong","given":"Youyong"},{"family":"Coatrieux","given":"Jean-Louis"},{"family":"Shu","given":"Huazhong"},{"family":"Yang","given":"Guanyu"},{"family":"Li","given":"Shuo"}],"accessed":{"date-parts":[["2023",5,16]]},"issued":{"date-parts":[["2022",6,15]]},"citation-key":"shiXMorpherFullTransformer2022"},"label":"page"},{"id":118,"uris":["http://zotero.org/users/local/BKRnzujf/items/AM4Q969M"],"itemData":{"id":118,"type":"article","abstract":"Affine registration is indispensable in a comprehensive medical image registration pipeline. However, only a few studies focus on fast and robust affine registration algorithms. Most of these studies utilize convolutional neural networks (CNNs) to learn joint affine and non-parametric registration, while the standalone performance of the affine subnetwork is less explored. Moreover, existing CNN-based affine registration approaches focus either on the local misalignment or the global orientation and position of the input to predict the affine transformation matrix, which are sensitive to spatial initialization and exhibit limited generalizability apart from the training dataset. In this paper, we present a fast and robust learning-based algorithm, Coarse-to-Fine Vision Transformer (C2FViT), for 3D affine medical image registration. Our method naturally leverages the global connectivity and locality of the convolutional vision transformer and the multi-resolution strategy to learn the global affine registration. We evaluate our method on 3D brain atlas registration and template-matching normalization. Comprehensive results demonstrate that our method is superior to the existing CNNs-based affine registration methods in terms of registration accuracy, robustness and generalizability while preserving the runtime advantage of the learning-based methods. The source code is available at https://github.com/cwmok/C2FViT.","DOI":"10.48550/arXiv.2203.15216","note":"arXiv:2203.15216 [cs]","number":"arXiv:2203.15216","publisher":"arXiv","source":"arXiv.org","title":"Affine Medical Image Registration with Coarse-to-Fine Vision Transformer","URL":"http://arxiv.org/abs/2203.15216","author":[{"family":"Mok","given":"Tony C. W."},{"family":"Chung","given":"Albert C. S."}],"accessed":{"date-parts":[["2023",5,16]]},"issued":{"date-parts":[["2022",3,29]]},"citation-key":"mokAffineMedicalImage2022"},"label":"page"},{"id":57,"uris":["http://zotero.org/users/local/BKRnzujf/items/PU38TS8R"],"itemData":{"id":57,"type":"article-journal","abstract":"In the last decade, convolutional neural networks (ConvNets) have been a major focus of research in medical image analysis. However, the performances of ConvNets may be limited by a lack of explicit consideration of the long-range spatial relationships in an image. Recently Vision Transformer architectures have been proposed to address the shortcomings of ConvNets and have produced state-of-the-art performances in many medical imaging applications. Transformers may be a strong candidate for image registration because their substantially larger receptive field enables a more precise comprehension of the spatial correspondence between moving and fixed images. Here, we present TransMorph, a hybrid Transformer-ConvNet model for volumetric medical image registration. This paper also presents diffeomorphic and Bayesian variants of TransMorph: the diffeomorphic variants ensure the topology-preserving deformations, and the Bayesian variant produces a well-calibrated registration uncertainty estimate. We extensively validated the proposed models using 3D medical images from three applications: inter-patient and atlas-to-patient brain MRI registration and phantom-to-CT registration. The proposed models are evaluated in comparison to a variety of existing registration methods and Transformer architectures. Qualitative and quantitative results demonstrate that the proposed Transformer-based model leads to a substantial performance improvement over the baseline methods, confirming the effectiveness of Transformers for medical image registration.","container-title":"Medical Image Analysis","DOI":"10.1016/j.media.2022.102615","ISSN":"13618415","journalAbbreviation":"Medical Image Analysis","note":"arXiv:2111.10480 [cs, eess]","page":"102615","source":"arXiv.org","title":"TransMorph: Transformer for unsupervised medical image registration","title-short":"TransMorph","volume":"82","author":[{"family":"Chen","given":"Junyu"},{"family":"Frey","given":"Eric C."},{"family":"He","given":"Yufan"},{"family":"Segars","given":"William P."},{"family":"Li","given":"Ye"},{"family":"Du","given":"Yong"}],"issued":{"date-parts":[["2022",11]]},"citation-key":"chenTransMorphTransformerUnsupervised2022a"},"label":"page"},{"id":61,"uris":["http://zotero.org/users/local/BKRnzujf/items/IVAANGSS"],"itemData":{"id":61,"type":"article-journal","abstract":"Symmetric image registration estimates bi-directional spatial transformations between images while enforcing an inverse-consistency. Its capability of eliminating bias introduced inevitably by generic single-directional image registration allows more precise analysis in different interdisciplinary applications of image registration, e.g., computational anatomy and shape analysis. However, most existing symmetric registration techniques especially for multimodal images are limited by low speed from the commonly-used iterative optimization, hardship in exploring inter-modality relations or high labor cost for labeling data. We propose SymReg-GAN to shatter these limits, which is a novel generative adversarial networks (GAN) based approach to symmetric image registration. We formulate symmetric registration of unimodal/multimodal images as a conditional GAN and train it with a semi-supervised strategy. The registration symmetry is realized by introducing a loss for encouraging that the cycle composed of the geometric transformation from one image to another and its reverse should bring an image back. The semi-supervised learning enables both the precious labeled data and large amounts of unlabeled data to be fully exploited. Experimental results from six public brain magnetic resonance imaging (MRI) datasets and 1 our own computed tomography (CT) and MRI dataset demonstrate the superiority of SymReg-GAN to several existing state-of-the-art methods.","container-title":"IEEE Transactions on Pattern Analysis and Machine Intelligence","DOI":"10.1109/TPAMI.2021.3083543","ISSN":"1939-3539","issue":"9","note":"event-title: IEEE Transactions on Pattern Analysis and Machine Intelligence","page":"5631-5646","source":"IEEE Xplore","title":"SymReg-GAN: Symmetric Image Registration With Generative Adversarial Networks","title-short":"SymReg-GAN","volume":"44","author":[{"family":"Zheng","given":"Yuanjie"},{"family":"Sui","given":"Xiaodan"},{"family":"Jiang","given":"Yanyun"},{"family":"Che","given":"Tongtong"},{"family":"Zhang","given":"Shaoting"},{"family":"Yang","given":"Jie"},{"family":"Li","given":"Hongsheng"}],"issued":{"date-parts":[["2022",9]]},"citation-key":"zhengSymRegGANSymmetricImage2022"},"label":"page"},{"id":81,"uris":["http://zotero.org/users/local/BKRnzujf/items/ZZQIHNMQ"],"itemData":{"id":81,"type":"article","abstract":"Deformable registration is one of the most challenging task in the field of medical image analysis, especially for the alignment between different sequences and modalities. In this paper, a non-rigid registration method is proposed for 3D medical images leveraging unsupervised learning. To the best of our knowledge, this is the first attempt to introduce gradient loss into deep-learning-based registration. The proposed gradient loss is robust across sequences and modals for large deformation. Besides, adversarial learning approach is used to transfer multi-modal similarity to mono-modal similarity and improve the precision. Neither ground-truth nor manual labeling is required during training. We evaluated our network on a 3D brain registration task comprehensively. The experiments demonstrate that the proposed method can cope with the data which has non-functional intensity relations, noise and blur. Our approach outperforms other methods especially in accuracy and speed.","DOI":"10.48550/arXiv.2002.11430","note":"arXiv:2002.11430 [cs]","number":"arXiv:2002.11430","publisher":"arXiv","source":"arXiv.org","title":"Deform-GAN:An Unsupervised Learning Model for Deformable Registration","title-short":"Deform-GAN","URL":"http://arxiv.org/abs/2002.11430","author":[{"family":"Zhang","given":"Xiaoyue"},{"family":"Jian","given":"Weijian"},{"family":"Chen","given":"Yu"},{"family":"Yang","given":"Shihting"}],"accessed":{"date-parts":[["2023",5,16]]},"issued":{"date-parts":[["2020",2,26]]},"citation-key":"zhangDeformGANUnsupervisedLearning2020"},"label":"page"},{"id":63,"uris":["http://zotero.org/users/local/BKRnzujf/items/J86KQZVI"],"itemData":{"id":63,"type":"chapter","abstract":"We describe an adversarial learning approach to constrain convolutional neural network training for image registration, replacing heuristic smoothness measures of displacement fields often used in these tasks. Using minimally-invasive prostate cancer intervention as an example application, we demonstrate the feasibility of utilizing biomechanical simulations to regularize a weakly-supervised anatomical-label-driven registration network for aligning pre-procedural magnetic resonance (MR) and 3D intra-procedural transrectal ultrasound (TRUS) images. A discriminator network is optimized to distinguish the registration-predicted displacement fields from the motion data simulated by finite element analysis. During training, the registration network simultaneously aims to maximize similarity between anatomical labels that drives image alignment and to minimize an adversarial generator loss that measures divergence between the predicted- and simulated deformation. The end-to-end trained network enables efficient and fully-automated registration that only requires an MR and TRUS image pair as input, without anatomical labels or simulated data during inference. 108 pairs of labelled MR and TRUS images from 76 prostate cancer patients and 71,500 nonlinear finite-element simulations from 143 different patients were used for this study. We show that, with only gland segmentation as training labels, the proposed method can help predict physically plausible deformation without any other smoothness penalty. Based on cross-validation experiments using 834 pairs of independent validation landmarks, the proposed adversarial-regularized registration achieved a target registration error of 6.3 mm that is significantly lower than those from several other regularization methods.","note":"DOI: 10.1007/978-3-030-00928-1_87\narXiv:1805.10665 [cs, stat]","page":"774-782","source":"arXiv.org","title":"Adversarial Deformation Regularization for Training Image Registration Neural Networks","URL":"http://arxiv.org/abs/1805.10665","volume":"11070","author":[{"family":"Hu","given":"Yipeng"},{"family":"Gibson","given":"Eli"},{"family":"Ghavami","given":"Nooshin"},{"family":"Bonmati","given":"Ester"},{"family":"Moore","given":"Caroline M."},{"family":"Emberton","given":"Mark"},{"family":"Vercauteren","given":"Tom"},{"family":"Noble","given":"J. Alison"},{"family":"Barratt","given":"Dean C."}],"accessed":{"date-parts":[["2023",5,16]]},"issued":{"date-parts":[["2018"]]},"citation-key":"huAdversarialDeformationRegularization2018"},"label":"page"}],"schema":"https://github.com/citation-style-language/schema/raw/master/csl-citation.json"}</w:instrText>
      </w:r>
      <w:r>
        <w:rPr/>
      </w:r>
      <w:r>
        <w:rPr/>
        <w:fldChar w:fldCharType="separate"/>
      </w:r>
      <w:r>
        <w:rPr/>
        <w:t>[11-24]</w:t>
      </w:r>
      <w:r>
        <w:rPr/>
      </w:r>
      <w:r>
        <w:rPr/>
        <w:fldChar w:fldCharType="end"/>
      </w:r>
      <w:r>
        <w:rPr/>
        <w:t xml:space="preserve"> typically use a single-stream encoder-decoder network, focusing solely on intensity images as input.</w:t>
      </w:r>
      <w:bookmarkEnd w:id="2"/>
      <w:r>
        <w:rPr/>
        <w:t xml:space="preserve"> This might limit their applicability in real-world clinical settings due to insufficient constraint information for model training. Although some methods introduce semi-supervised registration models, the segmentation image often only validates the model's registration effect, overlooking semantic consistency between the label and the image. It's crucial to highlight that intensity images and segmentation images carry identical semantic information, encompassing features like edges, contours, and distortion levels. However, they employ different voxel classification methods. To fully exploit this information, we aim for a registration method that optimally utilizes both types. Voxelmorph introduces the incorporation of an auxiliary loss to constrain the registration impact of the segmentation mask. Inspired by this approach, we have designed a dual-channel registration model in which both intensity images and segmentation images serve as input data. This design enables the model to learn not only intensity information but also anatomical information. To enhance the extraction of crucial features from our dual input channels, we've introduced a cross constraint module. In this module, using intensity images as an example, the moving intensity image experiences deformation through the deformation field associated with intensity images, generating a 'moved' image. Simultaneously, the same moving intensity image undergoes deformation using the deformation field linked to segmentation images, resulting in another 'moved' image. A similar process is applied to the second input channel, extending the concept of cross constraints to foster mutual influence between the two input channels and their respective deformation fields. To encourage alignment between these deformation fields, a similarity loss is calculated by comparing the two generated 'moved' images. The objective is to enforce a high degree of consistency between the two deformation fields. This strategy guarantees that information from both intensity and segmentation channels plays a crucial role in the registration process, leading to enhanced accuracy. In contrast to many network models relying on labeled images for supervision, our approach focuses on ensuring semantic-level consistency between intensity and segmentation images, concurrently exploring the potential relationship between the two learned deformation fields.</w:t>
      </w:r>
    </w:p>
    <w:p>
      <w:pPr>
        <w:pStyle w:val="Keyword"/>
        <w:widowControl w:val="false"/>
        <w:tabs>
          <w:tab w:val="clear" w:pos="720"/>
          <w:tab w:val="left" w:pos="187" w:leader="none"/>
        </w:tabs>
        <w:snapToGrid w:val="false"/>
        <w:rPr/>
      </w:pPr>
      <w:r>
        <w:rPr/>
        <w:t xml:space="preserve">In the context of deformable image registration, maintaining semantic consistency in the deformation field with minimal singularities presents a significant challenge. Semantic consistency here means that the deformation fields obtained by the two channels are the identical. </w:t>
      </w:r>
      <w:bookmarkStart w:id="3" w:name="_Hlk159604716"/>
      <w:r>
        <w:rPr/>
        <w:t>Some researchers have employed methods like Mean Square Error (MSE)</w:t>
      </w:r>
      <w:r>
        <w:fldChar w:fldCharType="begin"/>
      </w:r>
      <w:r>
        <w:rPr/>
        <w:instrText>ADDIN ZOTERO_ITEM CSL_CITATION {"citationID":"XHQNsHs4","properties":{"formattedCitation":"[16]","plainCitation":"[16]","noteIndex":0},"citationItems":[{"id":47,"uris":["http://zotero.org/users/local/BKRnzujf/items/URRXCAYM"],"itemData":{"id":47,"type":"article","abstract":"Deformable image registration is a fundamental task in medical image analysis, aiming to establish a dense and non-linear correspondence between a pair of images. Previous deep-learning studies usually employ supervised neural networks to directly learn the spatial transformation from one image to another, requiring task-specific ground-truth registration for model training. Due to the difficulty in collecting precise ground-truth registration, implementation of these supervised methods is practically challenging. Although several unsupervised networks have been recently developed, these methods usually ignore the inherent inverse-consistent property (essential for diffeomorphic mapping) of transformations between a pair of images. Also, existing approaches usually encourage the to-be-estimated transformation to be locally smooth via a smoothness constraint only, which could not completely avoid folding in the resulting transformation. To this end, we propose an Inverse-Consistent deep Network (ICNet) for unsupervised deformable image registration. Specifically, we develop an inverse-consistent constraint to encourage that a pair of images are symmetrically deformed toward one another, until both warped images are matched. Besides using the conventional smoothness constraint, we also propose an anti-folding constraint to further avoid folding in the transformation. The proposed method does not require any supervision information, while encouraging the diffeomoprhic property of the transformation via the proposed inverse-consistent and anti-folding constraints. We evaluate our method on T1-weighted brain magnetic resonance imaging (MRI) scans for tissue segmentation and anatomical landmark detection, with results demonstrating the superior performance of our ICNet over several state-of-the-art approaches for deformable image registration. Our code will be made publicly available.","DOI":"10.48550/arXiv.1809.03443","note":"arXiv:1809.03443 [cs]","number":"arXiv:1809.03443","publisher":"arXiv","source":"arXiv.org","title":"Inverse-Consistent Deep Networks for Unsupervised Deformable Image Registration","URL":"http://arxiv.org/abs/1809.03443","author":[{"family":"Zhang","given":"Jun"}],"accessed":{"date-parts":[["2023",5,16]]},"issued":{"date-parts":[["2018",9,10]]},"citation-key":"zhangInverseConsistentDeepNetworks2018"}}],"schema":"https://github.com/citation-style-language/schema/raw/master/csl-citation.json"}</w:instrText>
      </w:r>
      <w:r>
        <w:rPr/>
      </w:r>
      <w:r>
        <w:rPr/>
        <w:fldChar w:fldCharType="separate"/>
      </w:r>
      <w:r>
        <w:rPr/>
        <w:t>[15]</w:t>
      </w:r>
      <w:r>
        <w:rPr/>
      </w:r>
      <w:r>
        <w:rPr/>
        <w:fldChar w:fldCharType="end"/>
      </w:r>
      <w:r>
        <w:rPr/>
        <w:t xml:space="preserve"> or length constraint </w:t>
      </w:r>
      <w:r>
        <w:fldChar w:fldCharType="begin"/>
      </w:r>
      <w:r>
        <w:rPr/>
        <w:instrText>ADDIN ZOTERO_ITEM CSL_CITATION {"citationID":"IWel7Inn","properties":{"formattedCitation":"[15]","plainCitation":"[15]","noteIndex":0},"citationItems":[{"id":46,"uris":["http://zotero.org/users/local/BKRnzujf/items/NNAY5WFG"],"itemData":{"id":46,"type":"paper-conference","abstract":"Diffeomorphic deformable image registration is crucial in many medical image studies, as it offers unique, special properties including topology preservation and invertibility of the transformation. Recent deep learning-based deformable image registration methods achieve fast image registration by leveraging a convolutional neural network (CNN) to learn the spatial transformation from the synthetic ground truth or the similarity metric. However, these approaches often ignore the topology preservation of the transformation and the smoothness of the transformation which is enforced by a global smoothing energy function alone. Moreover, deep learning-based approaches often estimate the displacement ﬁeld directly, which cannot guarantee the existence of the inverse transformation. In this paper, we present a novel, efﬁcient unsupervised symmetric image registration method which maximizes the similarity between images within the space of diffeomorphic maps and estimates both forward and inverse transformations simultaneously. We evaluate our method on 3D image registration with a large scale brain image dataset. Our method achieves state-of-the-art registration accuracy and running time while maintaining desirable diffeomorphic properties.","container-title":"2020 IEEE/CVF Conference on Computer Vision and Pattern Recognition (CVPR)","DOI":"10.1109/CVPR42600.2020.00470","event-place":"Seattle, WA, USA","event-title":"2020 IEEE/CVF Conference on Computer Vision and Pattern Recognition (CVPR)","ISBN":"978-1-72817-168-5","language":"en","page":"4643-4652","publisher":"IEEE","publisher-place":"Seattle, WA, USA","source":"DOI.org (Crossref)","title":"Fast Symmetric Diffeomorphic Image Registration with Convolutional Neural Networks","URL":"https://ieeexplore.ieee.org/document/9156870/","author":[{"family":"Mok","given":"Tony C.W."},{"family":"Chung","given":"Albert C.S."}],"accessed":{"date-parts":[["2023",5,16]]},"issued":{"date-parts":[["2020",6]]},"citation-key":"mokFastSymmetricDiffeomorphic2020"}}],"schema":"https://github.com/citation-style-language/schema/raw/master/csl-citation.json"}</w:instrText>
      </w:r>
      <w:r>
        <w:rPr/>
      </w:r>
      <w:r>
        <w:rPr/>
        <w:fldChar w:fldCharType="separate"/>
      </w:r>
      <w:r>
        <w:rPr/>
        <w:t>[16]</w:t>
      </w:r>
      <w:r>
        <w:rPr/>
      </w:r>
      <w:r>
        <w:rPr/>
        <w:fldChar w:fldCharType="end"/>
      </w:r>
      <w:r>
        <w:rPr/>
        <w:t xml:space="preserve">to measure similarity between the two deformation fields. </w:t>
      </w:r>
      <w:bookmarkEnd w:id="3"/>
      <w:r>
        <w:rPr/>
        <w:t>Although these methods can constrain the obtained deformation field to a certain extent, the expansion of the three-dimensional deformation field into one-dimensional numerical calculation ignores the essential property of the deformation field as a vector field that results in inaccurate registration results. Therefore, we utilize a cosine similarity loss function to constrain the directional consistency between the learned two deformation fields and try to suppress the semantic inconsistency caused by large deformation.</w:t>
      </w:r>
      <w:bookmarkStart w:id="4" w:name="_Hlk154728677"/>
      <w:r>
        <w:rPr/>
        <w:t xml:space="preserve"> The designed framework is utilized based on the consistency of semantic information between intensity images and segmentation images, and to maintain the semantic consistency of the deformation field. To address the challenges mentioned above, we have introduced a novel dual-channel cross constraint network for medical image registration. It is worth noting that some existing deep neural network models also employ a dual-channel input architecture, such as Dual-PRNet</w:t>
      </w:r>
      <w:r>
        <w:fldChar w:fldCharType="begin"/>
      </w:r>
      <w:r>
        <w:rPr/>
        <w:instrText>ADDIN ZOTERO_ITEM CSL_CITATION {"citationID":"ciI4DXgL","properties":{"formattedCitation":"[25]","plainCitation":"[25]","noteIndex":0},"citationItems":[{"id":191,"uris":["http://zotero.org/users/local/BKRnzujf/items/F49G6PYL"],"itemData":{"id":191,"type":"article","abstract":"We propose a Dual-Stream Pyramid Registration Network (referred as Dual-PRNet) for unsupervised 3D medical image registration. Unlike recent CNN-based registration approaches, such as VoxelMorph, which explores a single-stream encoder-decoder network to compute a registration fields from a pair of 3D volumes, we design a two-stream architecture able to compute multi-scale registration fields from convolutional feature pyramids. Our contributions are two-fold: (i) we design a two-stream 3D encoder-decoder network which computes two convolutional feature pyramids separately for a pair of input volumes, resulting in strong deep representations that are meaningful for deformation estimation; (ii) we propose a pyramid registration module able to predict multi-scale registration fields directly from the decoding feature pyramids. This allows it to refine the registration fields gradually in a coarse-to-fine manner via sequential warping, and enable the model with the capability for handling significant deformations between two volumes, such as large displacements in spatial domain or slice space. The proposed Dual-PRNet is evaluated on two standard benchmarks for brain MRI registration, where it outperforms the state-of-the-art approaches by a large margin, e.g., having improvements over recent VoxelMorph [2] with 0.683-&gt;0.778 on the LPBA40, and 0.511-&gt;0.631 on the Mindboggle101, in term of average Dice score. Code is available at: https://github.com/kangmiao15/Dual-Stream-PRNet-Plus.","DOI":"10.48550/arXiv.1909.11966","note":"arXiv:1909.11966 [cs]","number":"arXiv:1909.11966","publisher":"arXiv","source":"arXiv.org","title":"Dual-Stream Pyramid Registration Network","URL":"http://arxiv.org/abs/1909.11966","author":[{"family":"Kang","given":"Miao"},{"family":"Hu","given":"Xiaojun"},{"family":"Huang","given":"Weilin"},{"family":"Scott","given":"Matthew R."},{"family":"Reyes","given":"Mauricio"}],"accessed":{"date-parts":[["2023",11,27]]},"issued":{"date-parts":[["2023",4,1]]},"citation-key":"kangDualStreamPyramidRegistration2023"}}],"schema":"https://github.com/citation-style-language/schema/raw/master/csl-citation.json"}</w:instrText>
      </w:r>
      <w:r>
        <w:rPr/>
      </w:r>
      <w:r>
        <w:rPr/>
        <w:fldChar w:fldCharType="separate"/>
      </w:r>
      <w:r>
        <w:rPr/>
        <w:t>[25]</w:t>
      </w:r>
      <w:r>
        <w:rPr/>
      </w:r>
      <w:r>
        <w:rPr/>
        <w:fldChar w:fldCharType="end"/>
      </w:r>
      <w:r>
        <w:rPr/>
        <w:t>, PIViT</w:t>
      </w:r>
      <w:r>
        <w:fldChar w:fldCharType="begin"/>
      </w:r>
      <w:r>
        <w:rPr/>
        <w:instrText>ADDIN ZOTERO_ITEM CSL_CITATION {"citationID":"agXOJcZ6","properties":{"formattedCitation":"[26]","plainCitation":"[26]","noteIndex":0},"citationItems":[{"id":203,"uris":["http://zotero.org/users/local/BKRnzujf/items/68ZUR3VE"],"itemData":{"id":203,"type":"paper-conference","abstract":"Large deformation image registration is a challenging task in medical image registration. Iterative registration and pyramid registration are two common CNN-based methods for the task. However, these methods usually consume more parameters and time. Additionally, the existing CNN-based registration methods mainly focus on local feature extraction, limiting their ability to capture the long-distance correlation between image pairs. In this paper, we propose a fast and accurate learning-based algorithm, Pyramid-Iterative Vision Transformer (PIViT), for 3D large deformation medical image registration. Our method constructs a novel pyramid iterative composite structure to solve large deformation problem by using low-scale iterative registration with a Swin Transformer-based long-distance correlation decoder. Furthermore, we exploit pyramid structure to supplement the detailed information of the deformation field by using high-scale feature maps. Comprehensive experimental results implemented on brain MRI and liver CT datasets show that the proposed method is superior to the existing registration methods in terms of registration accuracy, training time and parameters, especially of a significant advantage in running time. Our code is available at https://github.com/Torbjorn1997/PIViT.","collection-title":"Lecture Notes in Computer Science","container-title":"Medical Image Computing and Computer Assisted Intervention – MICCAI 2023","DOI":"10.1007/978-3-031-43999-5_57","event-place":"Cham","ISBN":"978-3-031-43999-5","language":"en","page":"602-612","publisher":"Springer Nature Switzerland","publisher-place":"Cham","source":"Springer Link","title":"PIViT: Large Deformation Image Registration with Pyramid-Iterative Vision Transformer","title-short":"PIViT","author":[{"family":"Ma","given":"Tai"},{"family":"Dai","given":"Xinru"},{"family":"Zhang","given":"Suwei"},{"family":"Wen","given":"Ying"}],"editor":[{"family":"Greenspan","given":"Hayit"},{"family":"Madabhushi","given":"Anant"},{"family":"Mousavi","given":"Parvin"},{"family":"Salcudean","given":"Septimiu"},{"family":"Duncan","given":"James"},{"family":"Syeda-Mahmood","given":"Tanveer"},{"family":"Taylor","given":"Russell"}],"issued":{"date-parts":[["2023"]]},"citation-key":"maPIViTLargeDeformation2023"}}],"schema":"https://github.com/citation-style-language/schema/raw/master/csl-citation.json"}</w:instrText>
      </w:r>
      <w:r>
        <w:rPr/>
      </w:r>
      <w:r>
        <w:rPr/>
        <w:fldChar w:fldCharType="separate"/>
      </w:r>
      <w:r>
        <w:rPr/>
        <w:t>[26]</w:t>
      </w:r>
      <w:r>
        <w:rPr/>
      </w:r>
      <w:r>
        <w:rPr/>
        <w:fldChar w:fldCharType="end"/>
      </w:r>
      <w:r>
        <w:rPr/>
        <w:t>, NICE-Net</w:t>
      </w:r>
      <w:r>
        <w:fldChar w:fldCharType="begin"/>
      </w:r>
      <w:r>
        <w:rPr/>
        <w:instrText>ADDIN ZOTERO_ITEM CSL_CITATION {"citationID":"93AvSF2Z","properties":{"formattedCitation":"[27]","plainCitation":"[27]","noteIndex":0},"citationItems":[{"id":207,"uris":["http://zotero.org/users/local/BKRnzujf/items/ZLYQESCN"],"itemData":{"id":207,"type":"chapter","abstract":"Deformable image registration is a crucial step in medical image analysis for finding a non-linear spatial transformation between a pair of fixed and moving images. Deep registration methods based on Convolutional Neural Networks (CNNs) have been widely used as they can perform image registration in a fast and end-to-end manner. However, these methods usually have limited performance for image pairs with large deformations. Recently, iterative deep registration methods have been used to alleviate this limitation, where the transformations are iteratively learned in a coarse-to-fine manner. However, iterative methods inevitably prolong the registration runtime, and tend to learn separate image features for each iteration, which hinders the features from being leveraged to facilitate the registration at later iterations. In this study, we propose a Non-Iterative Coarse-to-finE registration Network (NICE-Net) for deformable image registration. In the NICE-Net, we propose: (i) a Single-pass Deep Cumulative Learning (SDCL) decoder that can cumulatively learn coarseto-fine transformations within a single pass (iteration) of the network, and (ii) a Selectively-propagated Feature Learning (SFL) encoder that can learn common image features for the whole coarse-to-fine registration process and selectively propagate the features as needed. Extensive experiments on six public datasets of 3D brain Magnetic Resonance Imaging (MRI) show that our proposed NICENet can outperform state-of-the-art iterative deep registration methods while only requiring similar runtime to non-iterative methods.","container-title":"Medical Image Computing and Computer Assisted Intervention – MICCAI 2022","event-place":"Cham","ISBN":"978-3-031-16445-3","language":"en","note":"collection-title: Lecture Notes in Computer Science\nDOI: 10.1007/978-3-031-16446-0_9","page":"88-97","publisher":"Springer Nature Switzerland","publisher-place":"Cham","source":"DOI.org (Crossref)","title":"Non-iterative Coarse-to-Fine Registration Based on Single-Pass Deep Cumulative Learning","URL":"https://link.springer.com/10.1007/978-3-031-16446-0_9","volume":"13436","editor":[{"family":"Wang","given":"Linwei"},{"family":"Dou","given":"Qi"},{"family":"Fletcher","given":"P. Thomas"},{"family":"Speidel","given":"Stefanie"},{"family":"Li","given":"Shuo"}],"author":[{"family":"Meng","given":"Mingyuan"},{"family":"Bi","given":"Lei"},{"family":"Feng","given":"Dagan"},{"family":"Kim","given":"Jinman"}],"accessed":{"date-parts":[["2023",12,29]]},"issued":{"date-parts":[["2022"]]},"citation-key":"mengNoniterativeCoarsetoFineRegistration2022"}}],"schema":"https://github.com/citation-style-language/schema/raw/master/csl-citation.json"}</w:instrText>
      </w:r>
      <w:r>
        <w:rPr/>
      </w:r>
      <w:r>
        <w:rPr/>
        <w:fldChar w:fldCharType="separate"/>
      </w:r>
      <w:r>
        <w:rPr/>
        <w:t>[27]</w:t>
      </w:r>
      <w:r>
        <w:rPr/>
      </w:r>
      <w:r>
        <w:rPr/>
        <w:fldChar w:fldCharType="end"/>
      </w:r>
      <w:r>
        <w:rPr/>
        <w:t>, NICE-Trans</w:t>
      </w:r>
      <w:r>
        <w:fldChar w:fldCharType="begin"/>
      </w:r>
      <w:r>
        <w:rPr/>
        <w:instrText>ADDIN ZOTERO_ITEM CSL_CITATION {"citationID":"HsziaIJz","properties":{"formattedCitation":"[28]","plainCitation":"[28]","noteIndex":0},"citationItems":[{"id":210,"uris":["http://zotero.org/users/local/BKRnzujf/items/TRFMK52P"],"itemData":{"id":210,"type":"chapter","abstract":"Image registration is a fundamental requirement for medical image analysis. Deep registration methods based on deep learning have been widely recognized for their capabilities to perform fast end-to-end registration. Many deep registration methods achieved state-of-the-art performance by performing coarse-to-fine registration, where multiple registration steps were iterated with cascaded networks. Recently, Non-Iterative Coarse-to-finE (NICE) registration methods have been proposed to perform coarse-to-fine registration in a single network and showed advantages in both registration accuracy and runtime. However, existing NICE registration methods mainly focus on deformable registration, while affine registration, a common prerequisite, is still reliant on time-consuming traditional optimization-based methods or extra affine registration networks. In addition, existing NICE registration methods are limited by the intrinsic locality of convolution operations. Transformers may address this limitation for their capabilities to capture long-range dependency, but the benefits of using transformers for NICE registration have not been explored. In this study, we propose a Non-Iterative Coarse-to-finE Transformer network (NICETrans) for image registration. Our NICE-Trans is the first deep registration method that (i) performs joint affine and deformable coarse-to-fine registration within a single network, and (ii) embeds transformers into a NICE registration framework to model long-range relevance between images. Extensive experiments with seven public datasets show that our NICE-Trans outperforms stateof-the-art registration methods on both registration accuracy and runtime.","container-title":"Medical Image Computing and Computer Assisted Intervention – MICCAI 2023","event-place":"Cham","ISBN":"978-3-031-43998-8","language":"en","note":"collection-title: Lecture Notes in Computer Science\nDOI: 10.1007/978-3-031-43999-5_71","page":"750-760","publisher":"Springer Nature Switzerland","publisher-place":"Cham","source":"DOI.org (Crossref)","title":"Non-iterative Coarse-to-Fine Transformer Networks for Joint Affine and Deformable Image Registration","URL":"https://link.springer.com/10.1007/978-3-031-43999-5_71","volume":"14229","editor":[{"family":"Greenspan","given":"Hayit"},{"family":"Madabhushi","given":"Anant"},{"family":"Mousavi","given":"Parvin"},{"family":"Salcudean","given":"Septimiu"},{"family":"Duncan","given":"James"},{"family":"Syeda-Mahmood","given":"Tanveer"},{"family":"Taylor","given":"Russell"}],"author":[{"family":"Meng","given":"Mingyuan"},{"family":"Bi","given":"Lei"},{"family":"Fulham","given":"Michael"},{"family":"Feng","given":"Dagan"},{"family":"Kim","given":"Jinman"}],"accessed":{"date-parts":[["2023",12,29]]},"issued":{"date-parts":[["2023"]]},"citation-key":"mengNoniterativeCoarsetoFineTransformer2023a"}}],"schema":"https://github.com/citation-style-language/schema/raw/master/csl-citation.json"}</w:instrText>
      </w:r>
      <w:r>
        <w:rPr/>
      </w:r>
      <w:r>
        <w:rPr/>
        <w:fldChar w:fldCharType="separate"/>
      </w:r>
      <w:r>
        <w:rPr/>
        <w:t>[28]</w:t>
      </w:r>
      <w:r>
        <w:rPr/>
      </w:r>
      <w:r>
        <w:rPr/>
        <w:fldChar w:fldCharType="end"/>
      </w:r>
      <w:r>
        <w:rPr/>
        <w:t>. However, unlike our approach, they separate the moving and fixed images into two parameter-sharing channels for input. Their objective is to reduce the parameter count in the encoder section. In contrast, our dual-channel approach aims to incorporate information from both grayscale and segmented modalities.</w:t>
      </w:r>
      <w:bookmarkEnd w:id="4"/>
    </w:p>
    <w:p>
      <w:pPr>
        <w:pStyle w:val="Keyword"/>
        <w:widowControl w:val="false"/>
        <w:tabs>
          <w:tab w:val="clear" w:pos="720"/>
          <w:tab w:val="left" w:pos="187" w:leader="none"/>
        </w:tabs>
        <w:snapToGrid w:val="false"/>
        <w:rPr/>
      </w:pPr>
      <w:r>
        <w:rPr/>
        <w:t>To summarize, this paper makes the following contributions: (1) We propose a dual-channel cross constrained network that leverages both intensity and anatomical information to constrain the deformation field. (2) We propose a directional consistency constraint to effectively constrain the obtained two deformation fields by the dual-channel cross constrained network.</w:t>
      </w:r>
    </w:p>
    <w:p>
      <w:pPr>
        <w:pStyle w:val="Keyword"/>
        <w:widowControl w:val="false"/>
        <w:tabs>
          <w:tab w:val="clear" w:pos="720"/>
          <w:tab w:val="left" w:pos="187" w:leader="none"/>
        </w:tabs>
        <w:snapToGrid w:val="false"/>
        <w:spacing w:before="0" w:after="60"/>
        <w:rPr/>
      </w:pPr>
      <w:r>
        <w:rPr/>
        <w:t>The structure of this article is outlined as follows: The first section, Introduction, delves into traditional registration methods and deep learning registration approaches. It analyzes some prevailing issues within the current mainstream single-stream registration networks, leading to the introduction of our innovative dual-channel cross-constrained registration network. In the second section, Method, we expound on two key innovations of our approach: the cross-constraint module and the direction consistency module. Additionally, we provide an in-depth explanation of the loss functions utilized during the training process for these two modules. Moving on to the third part, Experiment, we elaborate on the datasets and preprocessing, experimental settings, as well as the results and their analysis. The fourth section, Discussion, scrutinizes the results of ablation experiments, substantiating the efficacy of both the cross-constraint module and the direction consistency module. Finally, the concluding section, Conclusion, offers a comprehensive summary of the entire article.</w:t>
      </w:r>
    </w:p>
    <w:p>
      <w:pPr>
        <w:pStyle w:val="Normal"/>
        <w:widowControl w:val="false"/>
        <w:snapToGrid w:val="false"/>
        <w:spacing w:before="240" w:after="60"/>
        <w:rPr>
          <w:b/>
          <w:b/>
          <w:szCs w:val="22"/>
        </w:rPr>
      </w:pPr>
      <w:r>
        <w:rPr>
          <w:b/>
          <w:szCs w:val="22"/>
        </w:rPr>
        <w:t>2 Methods</w:t>
      </w:r>
    </w:p>
    <w:p>
      <w:pPr>
        <w:pStyle w:val="Normal"/>
        <w:widowControl w:val="false"/>
        <w:snapToGrid w:val="false"/>
        <w:spacing w:before="240" w:after="60"/>
        <w:rPr>
          <w:bCs/>
          <w:szCs w:val="22"/>
        </w:rPr>
      </w:pPr>
      <w:r>
        <w:rPr>
          <w:bCs/>
          <w:szCs w:val="22"/>
        </w:rPr>
        <w:t xml:space="preserve">The current supervised registration methods typically involve training a model to learn a deformation field from a pair of </w:t>
      </w:r>
      <w:r>
        <w:rPr>
          <w:szCs w:val="22"/>
        </w:rPr>
        <w:t>intensity</w:t>
      </w:r>
      <w:r>
        <w:rPr>
          <w:bCs/>
          <w:szCs w:val="22"/>
        </w:rPr>
        <w:t xml:space="preserve"> images. Subsequently, the corresponding segmentation image is input into this deformation field for spatial transformation to evaluate the registration results. However, considering that segmentation images are only used for validation, their information is not fully utilized. In order to better exploit the information contained in segmentation images, we propose a dual-channel cross-constraint network. Specifically, unlike conventional supervised models, our model treats segmentation images as inputs of equal importance alongside </w:t>
      </w:r>
      <w:r>
        <w:rPr>
          <w:szCs w:val="22"/>
        </w:rPr>
        <w:t>intensity</w:t>
      </w:r>
      <w:r>
        <w:rPr>
          <w:bCs/>
          <w:szCs w:val="22"/>
        </w:rPr>
        <w:t xml:space="preserve"> images. The inputs of the two channels learn their respective deformation fields, and the moving image is cross-input into the deformation field of the other channel for spatial transformation. It is noteworthy that </w:t>
      </w:r>
      <w:r>
        <w:rPr>
          <w:szCs w:val="22"/>
        </w:rPr>
        <w:t>intensity</w:t>
      </w:r>
      <w:r>
        <w:rPr>
          <w:bCs/>
          <w:szCs w:val="22"/>
        </w:rPr>
        <w:t xml:space="preserve"> images use Normalized Cross Correlation (NCC) loss, while segmented images use Dice loss. This approach ensures that each branch of the model calculates both Dice and NCC losses, incorporating information from both their own branch and the other channel, leading to improved registration outcomes.</w:t>
      </w:r>
    </w:p>
    <w:p>
      <w:pPr>
        <w:pStyle w:val="Normal"/>
        <w:widowControl w:val="false"/>
        <w:snapToGrid w:val="false"/>
        <w:spacing w:before="240" w:after="60"/>
        <w:rPr>
          <w:bCs/>
          <w:szCs w:val="22"/>
        </w:rPr>
      </w:pPr>
      <w:r>
        <w:rPr>
          <w:bCs/>
          <w:szCs w:val="22"/>
        </w:rPr>
        <w:t>The primary components of our proposed dual-channel cross constraint network are two modules. Firstly, there is the dual-channel cross constraint module, responsible for producing two deformation fields and facilitating the fusion of information across channels. Additionally, we have the directional consistency network module, which imposes further constraints on the two deformation fields. Subsequent sections offer detailed elucidations for each module.</w:t>
      </w:r>
    </w:p>
    <w:p>
      <w:pPr>
        <w:pStyle w:val="NormalWeb"/>
        <w:widowControl w:val="false"/>
        <w:tabs>
          <w:tab w:val="clear" w:pos="720"/>
          <w:tab w:val="left" w:pos="187" w:leader="none"/>
        </w:tabs>
        <w:snapToGrid w:val="false"/>
        <w:spacing w:beforeAutospacing="0" w:before="240" w:afterAutospacing="0" w:after="60"/>
        <w:jc w:val="both"/>
        <w:rPr>
          <w:b/>
          <w:b/>
          <w:i/>
          <w:i/>
          <w:sz w:val="22"/>
          <w:szCs w:val="22"/>
        </w:rPr>
      </w:pPr>
      <w:r>
        <w:rPr>
          <w:b/>
          <w:i/>
          <w:sz w:val="22"/>
          <w:szCs w:val="22"/>
        </w:rPr>
        <w:t>2.1 Dual-channel cross constraint networks</w:t>
      </w:r>
    </w:p>
    <w:p>
      <w:pPr>
        <w:pStyle w:val="Normal"/>
        <w:widowControl w:val="false"/>
        <w:tabs>
          <w:tab w:val="clear" w:pos="720"/>
          <w:tab w:val="left" w:pos="187" w:leader="none"/>
        </w:tabs>
        <w:snapToGrid w:val="false"/>
        <w:rPr>
          <w:szCs w:val="22"/>
        </w:rPr>
      </w:pPr>
      <w:r>
        <w:rPr>
          <w:szCs w:val="22"/>
        </w:rPr>
        <w:t xml:space="preserve">The dual-channel cross constraint network is constructed upon VoxelMorph architecture as backbone, introducing a novel dual-stream framework. In the single-stream encoder-decoder structure, the moving intensity image is mapped through the spatial transform of the obtained deformation field for the moved image, and then the NCC loss between the moved image and fixed image is calculated. To achieve cross constraints, the input intensity image and segmentation image are both mapped by the deformation field generated with itself stream and the deformation field generated with another stream. Therefore, the moving images are mapped by two deformation fields to generate two moved images, both of which are calculated with the fixed image for NCC loss or Dice loss respectively (depending on whether the input image is an intensity image or a segmentation image). The network framework diagram is shown in </w:t>
      </w:r>
      <w:r>
        <w:rPr>
          <w:szCs w:val="22"/>
        </w:rPr>
        <w:fldChar w:fldCharType="begin"/>
      </w:r>
      <w:r>
        <w:rPr>
          <w:szCs w:val="22"/>
        </w:rPr>
        <w:instrText> REF _Ref150716923 \h </w:instrText>
      </w:r>
      <w:r>
        <w:rPr>
          <w:szCs w:val="22"/>
        </w:rPr>
        <w:fldChar w:fldCharType="separate"/>
      </w:r>
      <w:r>
        <w:rPr>
          <w:szCs w:val="22"/>
        </w:rPr>
        <w:t>Figure 1</w:t>
      </w:r>
      <w:r>
        <w:rPr>
          <w:szCs w:val="22"/>
        </w:rPr>
        <w:fldChar w:fldCharType="end"/>
      </w:r>
      <w:r>
        <w:rPr>
          <w:szCs w:val="22"/>
        </w:rPr>
        <w:t xml:space="preserve">. </w:t>
      </w:r>
    </w:p>
    <w:p>
      <w:pPr>
        <w:pStyle w:val="Normal"/>
        <w:keepNext w:val="true"/>
        <w:widowControl w:val="false"/>
        <w:tabs>
          <w:tab w:val="clear" w:pos="720"/>
          <w:tab w:val="left" w:pos="187" w:leader="none"/>
        </w:tabs>
        <w:snapToGrid w:val="false"/>
        <w:jc w:val="center"/>
        <w:rPr/>
      </w:pPr>
      <w:r>
        <w:rPr/>
        <w:drawing>
          <wp:inline distT="0" distB="0" distL="0" distR="0">
            <wp:extent cx="4563745" cy="344487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4563745" cy="3444875"/>
                    </a:xfrm>
                    <a:prstGeom prst="rect">
                      <a:avLst/>
                    </a:prstGeom>
                  </pic:spPr>
                </pic:pic>
              </a:graphicData>
            </a:graphic>
          </wp:inline>
        </w:drawing>
      </w:r>
    </w:p>
    <w:p>
      <w:pPr>
        <w:pStyle w:val="Caption1"/>
        <w:rPr>
          <w:szCs w:val="22"/>
        </w:rPr>
      </w:pPr>
      <w:bookmarkStart w:id="5" w:name="_Ref150716923"/>
      <w:r>
        <w:rPr/>
        <w:t xml:space="preserve">Figure </w:t>
      </w:r>
      <w:r>
        <w:rPr/>
        <w:fldChar w:fldCharType="begin"/>
      </w:r>
      <w:r>
        <w:rPr/>
        <w:instrText> SEQ Figure \* ARABIC </w:instrText>
      </w:r>
      <w:r>
        <w:rPr/>
        <w:fldChar w:fldCharType="separate"/>
      </w:r>
      <w:r>
        <w:rPr/>
        <w:t>1</w:t>
      </w:r>
      <w:r>
        <w:rPr/>
        <w:fldChar w:fldCharType="end"/>
      </w:r>
      <w:bookmarkEnd w:id="5"/>
      <w:r>
        <w:rPr/>
        <w:t>：</w:t>
      </w:r>
      <w:bookmarkStart w:id="6" w:name="_Ref150716918"/>
      <w:r>
        <w:rPr>
          <w:b w:val="false"/>
          <w:szCs w:val="22"/>
        </w:rPr>
        <w:t>An illustration of our proposed Dual-channel cross constraint network networks.</w:t>
      </w:r>
      <w:bookmarkEnd w:id="6"/>
    </w:p>
    <w:p>
      <w:pPr>
        <w:pStyle w:val="Figure1"/>
        <w:spacing w:before="120" w:after="120"/>
        <w:jc w:val="both"/>
        <w:rPr>
          <w:rFonts w:eastAsia="宋体"/>
          <w:b w:val="false"/>
          <w:b w:val="false"/>
          <w:bCs w:val="false"/>
          <w:sz w:val="22"/>
          <w:szCs w:val="22"/>
          <w:lang w:eastAsia="zh-CN"/>
        </w:rPr>
      </w:pPr>
      <w:r>
        <w:rPr>
          <w:rFonts w:eastAsia="宋体"/>
          <w:b w:val="false"/>
          <w:bCs w:val="false"/>
          <w:sz w:val="22"/>
          <w:szCs w:val="22"/>
          <w:lang w:eastAsia="zh-CN"/>
        </w:rPr>
        <w:t>Two UNet networks are used to learn the deformation fields corresponding to the intensity and segmentation images, both intensity and segmentation images are concurrently fed into their designated deformation field computations while also entering the computation of the other, and directional consistency (</w:t>
      </w:r>
      <w:r>
        <w:rPr/>
        <w:object>
          <v:shape id="ole_rId3" style="width:24pt;height:15.75pt" o:ole="">
            <v:imagedata r:id="rId4" o:title=""/>
          </v:shape>
          <o:OLEObject Type="Embed" ProgID="Equation.DSMT4" ShapeID="ole_rId3" DrawAspect="Content" ObjectID="_2039665455" r:id="rId3"/>
        </w:object>
      </w:r>
      <w:r>
        <w:rPr>
          <w:rFonts w:eastAsia="宋体"/>
          <w:b w:val="false"/>
          <w:bCs w:val="false"/>
          <w:sz w:val="22"/>
          <w:szCs w:val="22"/>
          <w:lang w:eastAsia="zh-CN"/>
        </w:rPr>
        <w:t xml:space="preserve">) is used to constrain the two deformation fields. </w:t>
      </w:r>
      <w:r>
        <w:rPr/>
        <w:object>
          <v:shape id="ole_rId5" style="width:30pt;height:15.75pt" o:ole="">
            <v:imagedata r:id="rId6" o:title=""/>
          </v:shape>
          <o:OLEObject Type="Embed" ProgID="Equation.DSMT4" ShapeID="ole_rId5" DrawAspect="Content" ObjectID="_210327482" r:id="rId5"/>
        </w:object>
      </w:r>
      <w:r>
        <w:rPr>
          <w:rFonts w:eastAsia="宋体"/>
          <w:b w:val="false"/>
          <w:bCs w:val="false"/>
          <w:sz w:val="22"/>
          <w:szCs w:val="22"/>
          <w:lang w:eastAsia="zh-CN"/>
        </w:rPr>
        <w:t xml:space="preserve">is used to compute the similarity between segmentation images, and </w:t>
      </w:r>
      <w:r>
        <w:rPr/>
        <w:object>
          <v:shape id="ole_rId7" style="width:24.75pt;height:15.75pt" o:ole="">
            <v:imagedata r:id="rId8" o:title=""/>
          </v:shape>
          <o:OLEObject Type="Embed" ProgID="Equation.DSMT4" ShapeID="ole_rId7" DrawAspect="Content" ObjectID="_920034975" r:id="rId7"/>
        </w:object>
      </w:r>
      <w:r>
        <w:rPr>
          <w:rFonts w:eastAsia="宋体"/>
          <w:b w:val="false"/>
          <w:bCs w:val="false"/>
          <w:sz w:val="22"/>
          <w:szCs w:val="22"/>
          <w:lang w:eastAsia="zh-CN"/>
        </w:rPr>
        <w:t>is used to compute the similarity between intensity images. And the registration network employs a 3D UNet architecture.</w:t>
      </w:r>
    </w:p>
    <w:p>
      <w:pPr>
        <w:pStyle w:val="Normal"/>
        <w:widowControl w:val="false"/>
        <w:tabs>
          <w:tab w:val="clear" w:pos="720"/>
          <w:tab w:val="left" w:pos="187" w:leader="none"/>
        </w:tabs>
        <w:snapToGrid w:val="false"/>
        <w:spacing w:before="0" w:after="0"/>
        <w:rPr>
          <w:szCs w:val="22"/>
        </w:rPr>
      </w:pPr>
      <w:r>
        <w:rPr>
          <w:szCs w:val="22"/>
        </w:rPr>
        <w:t>Specifically, the backbone comprises a dual-stream encoder-decoder, adopting the same architecture as UNet</w:t>
      </w:r>
      <w:r>
        <w:fldChar w:fldCharType="begin"/>
      </w:r>
      <w:r>
        <w:rPr>
          <w:szCs w:val="22"/>
        </w:rPr>
        <w:instrText>ADDIN ZOTERO_ITEM CSL_CITATION {"citationID":"kGYM2gLs","properties":{"formattedCitation":"[29]","plainCitation":"[29]","noteIndex":0},"citationItems":[{"id":181,"uris":["http://zotero.org/users/local/BKRnzujf/items/K7RPICNK"],"itemData":{"id":181,"type":"article","abstract":"There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http://lmb.informatik.uni-freiburg.de/people/ronneber/u-net.","language":"en","note":"arXiv:1505.04597 [cs]","number":"arXiv:1505.04597","publisher":"arXiv","source":"arXiv.org","title":"U-Net: Convolutional Networks for Biomedical Image Segmentation","title-short":"U-Net","URL":"http://arxiv.org/abs/1505.04597","author":[{"family":"Ronneberger","given":"Olaf"},{"family":"Fischer","given":"Philipp"},{"family":"Brox","given":"Thomas"}],"accessed":{"date-parts":[["2023",11,11]]},"issued":{"date-parts":[["2015",5,18]]},"citation-key":"ronnebergerUNetConvolutionalNetworks2015a"}}],"schema":"https://github.com/citation-style-language/schema/raw/master/csl-citation.json"}</w:instrText>
      </w:r>
      <w:r>
        <w:rPr>
          <w:szCs w:val="22"/>
        </w:rPr>
      </w:r>
      <w:r>
        <w:rPr>
          <w:szCs w:val="22"/>
        </w:rPr>
        <w:fldChar w:fldCharType="separate"/>
      </w:r>
      <w:r>
        <w:rPr>
          <w:szCs w:val="22"/>
        </w:rPr>
      </w:r>
      <w:r>
        <w:rPr/>
        <w:t>[29]</w:t>
      </w:r>
      <w:r>
        <w:rPr>
          <w:szCs w:val="22"/>
        </w:rPr>
      </w:r>
      <w:r>
        <w:rPr>
          <w:szCs w:val="22"/>
        </w:rPr>
        <w:fldChar w:fldCharType="end"/>
      </w:r>
      <w:r>
        <w:rPr>
          <w:szCs w:val="22"/>
        </w:rPr>
        <w:t xml:space="preserve">that contains five convolutional. And each layer contained a convolutional layer followed by a Relu layer, using a 3 x 3 x 3 convolutional kernel with a stride of 1, the feature map obtained after the entire encoding operation is 1/16 of the input image’s resolution. In the decoder, the feature map obtained by the encoder is input to the corresponding part of the decoder by a skip connection. The lower-resolution convolutional maps are up-sampled and combined with the higher-resolution ones from encoding layers. This process is followed by a 3× 3 × 3 convolutional layer and ReLU activation. Consequently, we obtain two deformation fields, one derived from the intensity image and the other from the segmentation image, respectively. The UNet structure employed in our framework is shown in </w:t>
      </w:r>
      <w:r>
        <w:rPr>
          <w:szCs w:val="22"/>
        </w:rPr>
        <w:fldChar w:fldCharType="begin"/>
      </w:r>
      <w:r>
        <w:rPr>
          <w:szCs w:val="22"/>
        </w:rPr>
        <w:instrText> REF _Ref150716940 \h </w:instrText>
      </w:r>
      <w:r>
        <w:rPr>
          <w:szCs w:val="22"/>
        </w:rPr>
        <w:fldChar w:fldCharType="separate"/>
      </w:r>
      <w:r>
        <w:rPr>
          <w:szCs w:val="22"/>
        </w:rPr>
        <w:t>Figure 2</w:t>
      </w:r>
      <w:r>
        <w:rPr>
          <w:szCs w:val="22"/>
        </w:rPr>
        <w:fldChar w:fldCharType="end"/>
      </w:r>
      <w:r>
        <w:rPr>
          <w:szCs w:val="22"/>
        </w:rPr>
        <w:t>.</w:t>
      </w:r>
    </w:p>
    <w:p>
      <w:pPr>
        <w:pStyle w:val="Figure1"/>
        <w:rPr>
          <w:rFonts w:eastAsia="宋体"/>
          <w:b w:val="false"/>
          <w:b w:val="false"/>
          <w:bCs w:val="false"/>
          <w:sz w:val="22"/>
          <w:szCs w:val="22"/>
          <w:lang w:eastAsia="zh-CN"/>
        </w:rPr>
      </w:pPr>
      <w:r>
        <w:rPr>
          <w:rFonts w:eastAsia="宋体"/>
          <w:b w:val="false"/>
          <w:bCs w:val="false"/>
          <w:sz w:val="22"/>
          <w:szCs w:val="22"/>
          <w:lang w:eastAsia="zh-CN"/>
        </w:rPr>
      </w:r>
    </w:p>
    <w:p>
      <w:pPr>
        <w:pStyle w:val="Normal"/>
        <w:keepNext w:val="true"/>
        <w:widowControl w:val="false"/>
        <w:tabs>
          <w:tab w:val="clear" w:pos="720"/>
          <w:tab w:val="left" w:pos="187" w:leader="none"/>
        </w:tabs>
        <w:snapToGrid w:val="false"/>
        <w:jc w:val="center"/>
        <w:rPr/>
      </w:pPr>
      <w:r>
        <w:rPr/>
        <w:drawing>
          <wp:inline distT="0" distB="0" distL="0" distR="0">
            <wp:extent cx="4674870" cy="1642110"/>
            <wp:effectExtent l="0" t="0" r="0" b="0"/>
            <wp:docPr id="2"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
                    <pic:cNvPicPr>
                      <a:picLocks noChangeAspect="1" noChangeArrowheads="1"/>
                    </pic:cNvPicPr>
                  </pic:nvPicPr>
                  <pic:blipFill>
                    <a:blip r:embed="rId9"/>
                    <a:stretch>
                      <a:fillRect/>
                    </a:stretch>
                  </pic:blipFill>
                  <pic:spPr bwMode="auto">
                    <a:xfrm>
                      <a:off x="0" y="0"/>
                      <a:ext cx="4674870" cy="1642110"/>
                    </a:xfrm>
                    <a:prstGeom prst="rect">
                      <a:avLst/>
                    </a:prstGeom>
                  </pic:spPr>
                </pic:pic>
              </a:graphicData>
            </a:graphic>
          </wp:inline>
        </w:drawing>
      </w:r>
    </w:p>
    <w:p>
      <w:pPr>
        <w:pStyle w:val="Caption1"/>
        <w:jc w:val="both"/>
        <w:rPr>
          <w:szCs w:val="22"/>
        </w:rPr>
      </w:pPr>
      <w:bookmarkStart w:id="7" w:name="_Ref150716877"/>
      <w:bookmarkStart w:id="8" w:name="_Ref150716940"/>
      <w:r>
        <w:rPr/>
        <w:t xml:space="preserve">Figure </w:t>
      </w:r>
      <w:r>
        <w:rPr/>
        <w:fldChar w:fldCharType="begin"/>
      </w:r>
      <w:r>
        <w:rPr/>
        <w:instrText> SEQ Figure \* ARABIC </w:instrText>
      </w:r>
      <w:r>
        <w:rPr/>
        <w:fldChar w:fldCharType="separate"/>
      </w:r>
      <w:r>
        <w:rPr/>
        <w:t>2</w:t>
      </w:r>
      <w:r>
        <w:rPr/>
        <w:fldChar w:fldCharType="end"/>
      </w:r>
      <w:bookmarkEnd w:id="8"/>
      <w:r>
        <w:rPr/>
        <w:t>：</w:t>
      </w:r>
      <w:r>
        <w:rPr>
          <w:b w:val="false"/>
          <w:bCs/>
          <w:szCs w:val="22"/>
        </w:rPr>
        <w:t>Framework of the UNet that utilized to estimate the deformation field</w:t>
      </w:r>
      <w:bookmarkEnd w:id="7"/>
      <w:r>
        <w:rPr>
          <w:b w:val="false"/>
          <w:bCs/>
          <w:szCs w:val="22"/>
        </w:rPr>
        <w:t>. The 3D feature maps generated by the encoder and decoder are represented by blue and purple rectangular blocks, respectively, with blue lines indicating skip connections.</w:t>
      </w:r>
    </w:p>
    <w:p>
      <w:pPr>
        <w:pStyle w:val="Figure1"/>
        <w:rPr>
          <w:rFonts w:eastAsia="宋体"/>
          <w:b w:val="false"/>
          <w:b w:val="false"/>
          <w:bCs w:val="false"/>
          <w:sz w:val="22"/>
          <w:szCs w:val="22"/>
          <w:lang w:eastAsia="zh-CN"/>
        </w:rPr>
      </w:pPr>
      <w:r>
        <w:rPr>
          <w:rFonts w:eastAsia="宋体"/>
          <w:b w:val="false"/>
          <w:bCs w:val="false"/>
          <w:sz w:val="22"/>
          <w:szCs w:val="22"/>
          <w:lang w:eastAsia="zh-CN"/>
        </w:rPr>
        <w:t>Cross constraints in the implementation rely on two loss functions: Normalized Cross Correlation (NCC) loss and Dice loss. The utilization of these two loss functions effectively constrains the two channels, enabling the model to learn more semantic-level consistency features and thereby enhancing the registration effectiveness. Below are detailed introductions to each of these loss functions.</w:t>
      </w:r>
    </w:p>
    <w:p>
      <w:pPr>
        <w:pStyle w:val="Figure1"/>
        <w:numPr>
          <w:ilvl w:val="0"/>
          <w:numId w:val="1"/>
        </w:numPr>
        <w:rPr>
          <w:rFonts w:eastAsia="宋体"/>
          <w:b w:val="false"/>
          <w:b w:val="false"/>
          <w:bCs w:val="false"/>
          <w:sz w:val="22"/>
          <w:szCs w:val="22"/>
          <w:lang w:eastAsia="zh-CN"/>
        </w:rPr>
      </w:pPr>
      <w:r>
        <w:rPr>
          <w:rFonts w:eastAsia="宋体"/>
          <w:b w:val="false"/>
          <w:bCs w:val="false"/>
          <w:sz w:val="22"/>
          <w:szCs w:val="22"/>
          <w:lang w:eastAsia="zh-CN"/>
        </w:rPr>
        <w:t>NCC loss</w:t>
      </w:r>
    </w:p>
    <w:p>
      <w:pPr>
        <w:pStyle w:val="Figure1"/>
        <w:rPr>
          <w:rFonts w:eastAsia="宋体"/>
          <w:b w:val="false"/>
          <w:b w:val="false"/>
          <w:bCs w:val="false"/>
          <w:sz w:val="22"/>
          <w:szCs w:val="22"/>
          <w:lang w:eastAsia="zh-CN"/>
        </w:rPr>
      </w:pPr>
      <w:r>
        <w:rPr>
          <w:rFonts w:eastAsia="宋体"/>
          <w:b w:val="false"/>
          <w:bCs w:val="false"/>
          <w:sz w:val="22"/>
          <w:szCs w:val="22"/>
          <w:lang w:eastAsia="zh-CN"/>
        </w:rPr>
        <w:t>We assess image alignment between two input images using the Normalized Cross Correlation (NCC) as a similarity measure. The formula for computing the correlation coefficient, as indicated in Eq. (1) .</w:t>
      </w:r>
    </w:p>
    <w:p>
      <w:pPr>
        <w:pStyle w:val="MTDisplayEquation1"/>
        <w:ind w:left="0" w:hanging="0"/>
        <w:rPr/>
      </w:pPr>
      <w:r>
        <w:rPr/>
        <w:tab/>
      </w:r>
      <w:r>
        <w:rPr/>
        <w:object>
          <v:shape id="ole_rId10" style="width:254.25pt;height:63.75pt" o:ole="">
            <v:imagedata r:id="rId11" o:title=""/>
          </v:shape>
          <o:OLEObject Type="Embed" ProgID="Equation.DSMT4" ShapeID="ole_rId10" DrawAspect="Content" ObjectID="_903010808" r:id="rId10"/>
        </w:object>
      </w:r>
      <w:r>
        <w:rPr/>
        <w:tab/>
      </w:r>
      <w:bookmarkStart w:id="9" w:name="OLE_LINK219"/>
      <w:bookmarkEnd w:id="9"/>
      <w:r>
        <w:rPr/>
        <w:fldChar w:fldCharType="begin"/>
      </w:r>
      <w:r>
        <w:rPr/>
        <w:instrText> SEQ MTEqn \* ARABIC </w:instrText>
      </w:r>
      <w:r>
        <w:rPr/>
        <w:fldChar w:fldCharType="separate"/>
      </w:r>
      <w:r>
        <w:rPr/>
        <w:t>2</w:t>
      </w:r>
      <w:r>
        <w:rPr/>
        <w:fldChar w:fldCharType="end"/>
      </w:r>
      <w:r>
        <w:rPr/>
        <w:fldChar w:fldCharType="begin"/>
      </w:r>
      <w:r>
        <w:rPr/>
        <w:instrText> SEQ MTEqn \* ARABIC </w:instrText>
      </w:r>
      <w:r>
        <w:rPr/>
        <w:fldChar w:fldCharType="separate"/>
      </w:r>
      <w:r>
        <w:rPr/>
        <w:t>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ind w:left="0" w:hanging="0"/>
        <w:jc w:val="both"/>
        <w:rPr>
          <w:rFonts w:eastAsia="宋体"/>
          <w:lang w:eastAsia="zh-CN"/>
        </w:rPr>
      </w:pPr>
      <w:r>
        <w:rPr/>
        <w:object>
          <v:shape id="ole_rId12" style="width:26.25pt;height:17.25pt" o:ole="">
            <v:imagedata r:id="rId13" o:title=""/>
          </v:shape>
          <o:OLEObject Type="Embed" ProgID="Equation.DSMT4" ShapeID="ole_rId12" DrawAspect="Content" ObjectID="_724468752" r:id="rId12"/>
        </w:object>
      </w:r>
      <w:r>
        <w:rPr>
          <w:rFonts w:eastAsia="宋体"/>
          <w:lang w:eastAsia="zh-CN"/>
        </w:rPr>
        <w:t xml:space="preserve"> </w:t>
      </w:r>
      <w:r>
        <w:rPr>
          <w:rFonts w:eastAsia="宋体"/>
          <w:lang w:eastAsia="zh-CN"/>
        </w:rPr>
        <w:t xml:space="preserve">, </w:t>
      </w:r>
      <w:r>
        <w:rPr/>
        <w:object>
          <v:shape id="ole_rId14" style="width:27pt;height:17.25pt" o:ole="">
            <v:imagedata r:id="rId15" o:title=""/>
          </v:shape>
          <o:OLEObject Type="Embed" ProgID="Equation.DSMT4" ShapeID="ole_rId14" DrawAspect="Content" ObjectID="_323109858" r:id="rId14"/>
        </w:object>
      </w:r>
      <w:r>
        <w:rPr>
          <w:rFonts w:eastAsia="宋体"/>
          <w:lang w:eastAsia="zh-CN"/>
        </w:rPr>
        <w:t xml:space="preserve"> represent the average value of two local windows </w:t>
      </w:r>
      <w:r>
        <w:rPr/>
        <w:object>
          <v:shape id="ole_rId16" style="width:12.75pt;height:12.75pt" o:ole="">
            <v:imagedata r:id="rId17" o:title=""/>
          </v:shape>
          <o:OLEObject Type="Embed" ProgID="Equation.DSMT4" ShapeID="ole_rId16" DrawAspect="Content" ObjectID="_811328681" r:id="rId16"/>
        </w:object>
      </w:r>
      <w:r>
        <w:rPr>
          <w:rFonts w:eastAsia="宋体"/>
          <w:lang w:eastAsia="zh-CN"/>
        </w:rPr>
        <w:t xml:space="preserve">  with a size of 9 centered on </w:t>
      </w:r>
      <w:r>
        <w:rPr/>
        <w:object>
          <v:shape id="ole_rId18" style="width:9pt;height:9.75pt" o:ole="">
            <v:imagedata r:id="rId19" o:title=""/>
          </v:shape>
          <o:OLEObject Type="Embed" ProgID="Equation.DSMT4" ShapeID="ole_rId18" DrawAspect="Content" ObjectID="_1733170935" r:id="rId18"/>
        </w:object>
      </w:r>
      <w:r>
        <w:rPr>
          <w:rFonts w:eastAsia="宋体"/>
          <w:lang w:eastAsia="zh-CN"/>
        </w:rPr>
        <w:t xml:space="preserve"> respectively. Specifically, our proposed similarity loss function, denoted as </w:t>
      </w:r>
      <w:r>
        <w:rPr/>
        <w:object>
          <v:shape id="ole_rId20" style="width:24.75pt;height:15.75pt" o:ole="">
            <v:imagedata r:id="rId21" o:title=""/>
          </v:shape>
          <o:OLEObject Type="Embed" ProgID="Equation.DSMT4" ShapeID="ole_rId20" DrawAspect="Content" ObjectID="_785613064" r:id="rId20"/>
        </w:object>
      </w:r>
      <w:r>
        <w:rPr>
          <w:rFonts w:eastAsia="宋体"/>
          <w:lang w:eastAsia="zh-CN"/>
        </w:rPr>
        <w:t xml:space="preserve">  comprises two terms: calculating the similarity of the intensity images into the deformation field formed by the intensity images </w:t>
      </w:r>
      <w:r>
        <w:rPr/>
        <w:object>
          <v:shape id="ole_rId22" style="width:44.25pt;height:17.25pt" o:ole="">
            <v:imagedata r:id="rId23" o:title=""/>
          </v:shape>
          <o:OLEObject Type="Embed" ProgID="Equation.DSMT4" ShapeID="ole_rId22" DrawAspect="Content" ObjectID="_1624388086" r:id="rId22"/>
        </w:object>
      </w:r>
      <w:r>
        <w:rPr>
          <w:rFonts w:eastAsia="宋体"/>
          <w:lang w:eastAsia="zh-CN"/>
        </w:rPr>
        <w:t xml:space="preserve">and calculating the similarity of the intensity images into the deformation field formed by the segmentation images </w:t>
      </w:r>
      <w:r>
        <w:rPr/>
        <w:object>
          <v:shape id="ole_rId24" style="width:39.75pt;height:17.25pt" o:ole="">
            <v:imagedata r:id="rId25" o:title=""/>
          </v:shape>
          <o:OLEObject Type="Embed" ProgID="Equation.DSMT4" ShapeID="ole_rId24" DrawAspect="Content" ObjectID="_1851677279" r:id="rId24"/>
        </w:object>
      </w:r>
      <w:r>
        <w:rPr>
          <w:rFonts w:eastAsia="宋体"/>
          <w:lang w:eastAsia="zh-CN"/>
        </w:rPr>
        <w:t>,as shown in Eq. (2)-(4). Further,</w:t>
      </w:r>
      <w:r>
        <w:rPr/>
        <w:object>
          <v:shape id="ole_rId26" style="width:27.75pt;height:17.25pt" o:ole="">
            <v:imagedata r:id="rId27" o:title=""/>
          </v:shape>
          <o:OLEObject Type="Embed" ProgID="Equation.DSMT4" ShapeID="ole_rId26" DrawAspect="Content" ObjectID="_983445704" r:id="rId26"/>
        </w:object>
      </w:r>
      <w:r>
        <w:rPr>
          <w:rFonts w:eastAsia="宋体"/>
          <w:lang w:eastAsia="zh-CN"/>
        </w:rPr>
        <w:t xml:space="preserve"> and </w:t>
      </w:r>
      <w:r>
        <w:rPr/>
        <w:object>
          <v:shape id="ole_rId28" style="width:24pt;height:17.25pt" o:ole="">
            <v:imagedata r:id="rId29" o:title=""/>
          </v:shape>
          <o:OLEObject Type="Embed" ProgID="Equation.DSMT4" ShapeID="ole_rId28" DrawAspect="Content" ObjectID="_56354404" r:id="rId28"/>
        </w:object>
      </w:r>
      <w:r>
        <w:rPr>
          <w:rFonts w:eastAsia="宋体"/>
          <w:lang w:eastAsia="zh-CN"/>
        </w:rPr>
        <w:t xml:space="preserve"> represent the deformation field formed by intensity images and segmentation images, respectively. </w:t>
      </w:r>
      <w:r>
        <w:rPr/>
        <w:object>
          <v:shape id="ole_rId30" style="width:45.75pt;height:17.25pt" o:ole="">
            <v:imagedata r:id="rId31" o:title=""/>
          </v:shape>
          <o:OLEObject Type="Embed" ProgID="Equation.DSMT4" ShapeID="ole_rId30" DrawAspect="Content" ObjectID="_1362284487" r:id="rId30"/>
        </w:object>
      </w:r>
      <w:r>
        <w:rPr>
          <w:rFonts w:eastAsia="宋体"/>
          <w:lang w:eastAsia="zh-CN"/>
        </w:rPr>
        <w:t xml:space="preserve"> represents </w:t>
      </w:r>
      <w:bookmarkStart w:id="10" w:name="_Hlk150197968"/>
      <w:r>
        <w:rPr>
          <w:rFonts w:eastAsia="宋体"/>
          <w:lang w:eastAsia="zh-CN"/>
        </w:rPr>
        <w:t>the moved intensity image after deformation under the action of deformation field</w:t>
      </w:r>
      <w:bookmarkEnd w:id="10"/>
      <w:r>
        <w:rPr>
          <w:rFonts w:eastAsia="宋体"/>
          <w:lang w:eastAsia="zh-CN"/>
        </w:rPr>
        <w:t xml:space="preserve"> </w:t>
      </w:r>
      <w:r>
        <w:rPr/>
        <w:object>
          <v:shape id="ole_rId32" style="width:27.75pt;height:17.25pt" o:ole="">
            <v:imagedata r:id="rId33" o:title=""/>
          </v:shape>
          <o:OLEObject Type="Embed" ProgID="Equation.DSMT4" ShapeID="ole_rId32" DrawAspect="Content" ObjectID="_225758666" r:id="rId32"/>
        </w:object>
      </w:r>
      <w:r>
        <w:rPr>
          <w:rFonts w:eastAsia="宋体"/>
          <w:lang w:eastAsia="zh-CN"/>
        </w:rPr>
        <w:t>.</w:t>
      </w:r>
      <w:r>
        <w:rPr/>
        <w:object>
          <v:shape id="ole_rId34" style="width:42pt;height:17.25pt" o:ole="">
            <v:imagedata r:id="rId35" o:title=""/>
          </v:shape>
          <o:OLEObject Type="Embed" ProgID="Equation.DSMT4" ShapeID="ole_rId34" DrawAspect="Content" ObjectID="_1095619473" r:id="rId34"/>
        </w:object>
      </w:r>
      <w:r>
        <w:rPr>
          <w:rFonts w:eastAsia="宋体"/>
          <w:lang w:eastAsia="zh-CN"/>
        </w:rPr>
        <w:t xml:space="preserve">represents the moved intensity image after deformation under the action of deformation field </w:t>
      </w:r>
      <w:r>
        <w:rPr/>
        <w:object>
          <v:shape id="ole_rId36" style="width:24pt;height:17.25pt" o:ole="">
            <v:imagedata r:id="rId37" o:title=""/>
          </v:shape>
          <o:OLEObject Type="Embed" ProgID="Equation.DSMT4" ShapeID="ole_rId36" DrawAspect="Content" ObjectID="_757602992" r:id="rId36"/>
        </w:object>
      </w:r>
      <w:r>
        <w:rPr>
          <w:rFonts w:eastAsia="宋体"/>
          <w:lang w:eastAsia="zh-CN"/>
        </w:rPr>
        <w:t xml:space="preserve">, </w:t>
      </w:r>
      <w:bookmarkStart w:id="11" w:name="_Hlk150198908"/>
      <w:r>
        <w:rPr>
          <w:rFonts w:eastAsia="宋体"/>
          <w:lang w:eastAsia="zh-CN"/>
        </w:rPr>
        <w:t xml:space="preserve">and </w:t>
      </w:r>
      <w:r>
        <w:rPr/>
        <w:object>
          <v:shape id="ole_rId38" style="width:11.25pt;height:12.75pt" o:ole="">
            <v:imagedata r:id="rId39" o:title=""/>
          </v:shape>
          <o:OLEObject Type="Embed" ProgID="Equation.DSMT4" ShapeID="ole_rId38" DrawAspect="Content" ObjectID="_2113271777" r:id="rId38"/>
        </w:object>
      </w:r>
      <w:r>
        <w:rPr>
          <w:rFonts w:eastAsia="宋体"/>
          <w:lang w:eastAsia="zh-CN"/>
        </w:rPr>
        <w:t xml:space="preserve"> represents the fixed intensity image.</w:t>
      </w:r>
      <w:bookmarkEnd w:id="11"/>
    </w:p>
    <w:p>
      <w:pPr>
        <w:pStyle w:val="MTDisplayEquation1"/>
        <w:rPr/>
      </w:pPr>
      <w:r>
        <w:rPr/>
        <w:tab/>
      </w:r>
      <w:r>
        <w:rPr/>
        <w:object>
          <v:shape id="ole_rId40" style="width:117.75pt;height:17.25pt" o:ole="">
            <v:imagedata r:id="rId41" o:title=""/>
          </v:shape>
          <o:OLEObject Type="Embed" ProgID="Equation.DSMT4" ShapeID="ole_rId40" DrawAspect="Content" ObjectID="_888902077" r:id="rId40"/>
        </w:object>
      </w:r>
      <w:r>
        <w:rPr/>
        <w:tab/>
      </w:r>
      <w:r>
        <w:rPr/>
        <w:fldChar w:fldCharType="begin"/>
      </w:r>
      <w:r>
        <w:rPr/>
        <w:instrText> SEQ MTEqn \* ARABIC </w:instrText>
      </w:r>
      <w:r>
        <w:rPr/>
        <w:fldChar w:fldCharType="separate"/>
      </w:r>
      <w:r>
        <w:rPr/>
        <w:t>4</w:t>
      </w:r>
      <w:r>
        <w:rPr/>
        <w:fldChar w:fldCharType="end"/>
      </w:r>
      <w:r>
        <w:rPr/>
        <w:fldChar w:fldCharType="begin"/>
      </w:r>
      <w:r>
        <w:rPr/>
        <w:instrText> SEQ MTEqn \* ARABIC </w:instrText>
      </w:r>
      <w:r>
        <w:rPr/>
        <w:fldChar w:fldCharType="separate"/>
      </w:r>
      <w:r>
        <w:rPr/>
        <w:t>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pPr>
      <w:r>
        <w:rPr/>
        <w:t>With,</w:t>
      </w:r>
    </w:p>
    <w:p>
      <w:pPr>
        <w:pStyle w:val="MTDisplayEquation1"/>
        <w:rPr/>
      </w:pPr>
      <w:r>
        <w:rPr/>
        <w:tab/>
      </w:r>
      <w:r>
        <w:rPr/>
        <w:object>
          <v:shape id="ole_rId42" style="width:153pt;height:24pt" o:ole="">
            <v:imagedata r:id="rId43" o:title=""/>
          </v:shape>
          <o:OLEObject Type="Embed" ProgID="Equation.DSMT4" ShapeID="ole_rId42" DrawAspect="Content" ObjectID="_2025940297" r:id="rId42"/>
        </w:object>
      </w:r>
      <w:r>
        <w:rPr/>
        <w:tab/>
      </w:r>
      <w:r>
        <w:rPr/>
        <w:fldChar w:fldCharType="begin"/>
      </w:r>
      <w:r>
        <w:rPr/>
        <w:instrText> SEQ MTEqn \* ARABIC </w:instrText>
      </w:r>
      <w:r>
        <w:rPr/>
        <w:fldChar w:fldCharType="separate"/>
      </w:r>
      <w:r>
        <w:rPr/>
        <w:t>6</w:t>
      </w:r>
      <w:r>
        <w:rPr/>
        <w:fldChar w:fldCharType="end"/>
      </w:r>
      <w:r>
        <w:rPr/>
        <w:fldChar w:fldCharType="begin"/>
      </w:r>
      <w:r>
        <w:rPr/>
        <w:instrText> SEQ MTEqn \* ARABIC </w:instrText>
      </w:r>
      <w:r>
        <w:rPr/>
        <w:fldChar w:fldCharType="separate"/>
      </w:r>
      <w:r>
        <w:rPr/>
        <w:t>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pPr>
      <w:r>
        <w:rPr/>
        <w:t>And,</w:t>
      </w:r>
    </w:p>
    <w:p>
      <w:pPr>
        <w:pStyle w:val="MTDisplayEquation1"/>
        <w:rPr/>
      </w:pPr>
      <w:r>
        <w:rPr/>
        <w:tab/>
      </w:r>
      <w:r>
        <w:rPr/>
        <w:object>
          <v:shape id="ole_rId44" style="width:147pt;height:24pt" o:ole="">
            <v:imagedata r:id="rId45" o:title=""/>
          </v:shape>
          <o:OLEObject Type="Embed" ProgID="Equation.DSMT4" ShapeID="ole_rId44" DrawAspect="Content" ObjectID="_1208570959" r:id="rId44"/>
        </w:object>
      </w:r>
      <w:r>
        <w:rPr/>
        <w:tab/>
      </w:r>
      <w:r>
        <w:rPr/>
        <w:fldChar w:fldCharType="begin"/>
      </w:r>
      <w:r>
        <w:rPr/>
        <w:instrText> SEQ MTEqn \* ARABIC </w:instrText>
      </w:r>
      <w:r>
        <w:rPr/>
        <w:fldChar w:fldCharType="separate"/>
      </w:r>
      <w:r>
        <w:rPr/>
        <w:t>8</w:t>
      </w:r>
      <w:r>
        <w:rPr/>
        <w:fldChar w:fldCharType="end"/>
      </w:r>
      <w:r>
        <w:rPr/>
        <w:fldChar w:fldCharType="begin"/>
      </w:r>
      <w:r>
        <w:rPr/>
        <w:instrText> SEQ MTEqn \* ARABIC </w:instrText>
      </w:r>
      <w:r>
        <w:rPr/>
        <w:fldChar w:fldCharType="separate"/>
      </w:r>
      <w:r>
        <w:rPr/>
        <w:t>9</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Figure1"/>
        <w:numPr>
          <w:ilvl w:val="0"/>
          <w:numId w:val="1"/>
        </w:numPr>
        <w:rPr>
          <w:rFonts w:eastAsia="宋体"/>
          <w:b w:val="false"/>
          <w:b w:val="false"/>
          <w:bCs w:val="false"/>
          <w:sz w:val="22"/>
          <w:szCs w:val="22"/>
          <w:lang w:eastAsia="zh-CN"/>
        </w:rPr>
      </w:pPr>
      <w:r>
        <w:rPr>
          <w:rFonts w:eastAsia="宋体"/>
          <w:b w:val="false"/>
          <w:bCs w:val="false"/>
          <w:sz w:val="22"/>
          <w:szCs w:val="22"/>
          <w:lang w:eastAsia="zh-CN"/>
        </w:rPr>
        <w:t>Dice loss</w:t>
      </w:r>
    </w:p>
    <w:p>
      <w:pPr>
        <w:pStyle w:val="Normal"/>
        <w:rPr>
          <w:highlight w:val="white"/>
        </w:rPr>
      </w:pPr>
      <w:r>
        <w:rPr>
          <w:shd w:fill="FFFFFF" w:val="clear"/>
        </w:rPr>
        <w:t xml:space="preserve">We calculate Dice score using the segmentation images as the constraint. </w:t>
      </w:r>
      <w:r>
        <w:rPr/>
        <w:object>
          <v:shape id="ole_rId46" style="width:14.25pt;height:15.75pt" o:ole="">
            <v:imagedata r:id="rId47" o:title=""/>
          </v:shape>
          <o:OLEObject Type="Embed" ProgID="Equation.DSMT4" ShapeID="ole_rId46" DrawAspect="Content" ObjectID="_1537448546" r:id="rId46"/>
        </w:object>
      </w:r>
      <w:r>
        <w:rPr/>
        <w:t>,</w:t>
      </w:r>
      <w:r>
        <w:rPr/>
        <w:object>
          <v:shape id="ole_rId48" style="width:15.75pt;height:17.25pt" o:ole="">
            <v:imagedata r:id="rId49" o:title=""/>
          </v:shape>
          <o:OLEObject Type="Embed" ProgID="Equation.DSMT4" ShapeID="ole_rId48" DrawAspect="Content" ObjectID="_867107185" r:id="rId48"/>
        </w:object>
      </w:r>
      <w:r>
        <w:rPr>
          <w:shd w:fill="FFFFFF" w:val="clear"/>
        </w:rPr>
        <w:t xml:space="preserve">represent the </w:t>
      </w:r>
      <w:r>
        <w:rPr/>
        <w:object>
          <v:shape id="ole_rId50" style="width:12.75pt;height:12pt" o:ole="">
            <v:imagedata r:id="rId51" o:title=""/>
          </v:shape>
          <o:OLEObject Type="Embed" ProgID="Equation.DSMT4" ShapeID="ole_rId50" DrawAspect="Content" ObjectID="_2040558502" r:id="rId50"/>
        </w:object>
      </w:r>
      <w:r>
        <w:rPr>
          <w:shd w:fill="FFFFFF" w:val="clear"/>
        </w:rPr>
        <w:t xml:space="preserve"> voxel belonging to structure </w:t>
      </w:r>
      <w:r>
        <w:rPr/>
        <w:object>
          <v:shape id="ole_rId52" style="width:9.75pt;height:12pt" o:ole="">
            <v:imagedata r:id="rId53" o:title=""/>
          </v:shape>
          <o:OLEObject Type="Embed" ProgID="Equation.DSMT4" ShapeID="ole_rId52" DrawAspect="Content" ObjectID="_1033011777" r:id="rId52"/>
        </w:object>
      </w:r>
      <w:r>
        <w:rPr>
          <w:shd w:fill="FFFFFF" w:val="clear"/>
        </w:rPr>
        <w:t xml:space="preserve"> in image </w:t>
      </w:r>
      <w:r>
        <w:rPr/>
        <w:object>
          <v:shape id="ole_rId54" style="width:9pt;height:12.75pt" o:ole="">
            <v:imagedata r:id="rId55" o:title=""/>
          </v:shape>
          <o:OLEObject Type="Embed" ProgID="Equation.DSMT4" ShapeID="ole_rId54" DrawAspect="Content" ObjectID="_1655253672" r:id="rId54"/>
        </w:object>
      </w:r>
      <w:r>
        <w:rPr/>
        <w:t xml:space="preserve">, image </w:t>
      </w:r>
      <w:r>
        <w:rPr/>
        <w:object>
          <v:shape id="ole_rId56" style="width:11.25pt;height:12pt" o:ole="">
            <v:imagedata r:id="rId57" o:title=""/>
          </v:shape>
          <o:OLEObject Type="Embed" ProgID="Equation.DSMT4" ShapeID="ole_rId56" DrawAspect="Content" ObjectID="_1901430417" r:id="rId56"/>
        </w:object>
      </w:r>
      <w:r>
        <w:rPr/>
        <w:t xml:space="preserve"> </w:t>
      </w:r>
      <w:r>
        <w:rPr>
          <w:shd w:fill="FFFFFF" w:val="clear"/>
        </w:rPr>
        <w:t xml:space="preserve">respectively, as indicated in </w:t>
      </w:r>
      <w:bookmarkStart w:id="12" w:name="_Hlk154721363"/>
      <w:r>
        <w:rPr>
          <w:shd w:fill="FFFFFF" w:val="clear"/>
        </w:rPr>
        <w:t>Eq. (5)</w:t>
      </w:r>
      <w:bookmarkEnd w:id="12"/>
      <w:r>
        <w:rPr>
          <w:shd w:fill="FFFFFF" w:val="clear"/>
        </w:rPr>
        <w:t>, if the image</w:t>
      </w:r>
      <w:r>
        <w:rPr/>
        <w:object>
          <v:shape id="ole_rId58" style="width:9pt;height:12.75pt" o:ole="">
            <v:imagedata r:id="rId59" o:title=""/>
          </v:shape>
          <o:OLEObject Type="Embed" ProgID="Equation.DSMT4" ShapeID="ole_rId58" DrawAspect="Content" ObjectID="_369278033" r:id="rId58"/>
        </w:object>
      </w:r>
      <w:r>
        <w:rPr>
          <w:shd w:fill="FFFFFF" w:val="clear"/>
        </w:rPr>
        <w:t xml:space="preserve">and the image </w:t>
      </w:r>
      <w:r>
        <w:rPr/>
        <w:object>
          <v:shape id="ole_rId60" style="width:11.25pt;height:12pt" o:ole="">
            <v:imagedata r:id="rId61" o:title=""/>
          </v:shape>
          <o:OLEObject Type="Embed" ProgID="Equation.DSMT4" ShapeID="ole_rId60" DrawAspect="Content" ObjectID="_10075427" r:id="rId60"/>
        </w:object>
      </w:r>
      <w:r>
        <w:rPr>
          <w:shd w:fill="FFFFFF" w:val="clear"/>
        </w:rPr>
        <w:t>corresponding structure overlaps well, then the Dice value is 1, otherwise it is 0.</w:t>
      </w:r>
    </w:p>
    <w:p>
      <w:pPr>
        <w:pStyle w:val="MTDisplayEquation1"/>
        <w:rPr/>
      </w:pPr>
      <w:r>
        <w:rPr/>
        <w:tab/>
      </w:r>
      <w:r>
        <w:rPr/>
        <w:object>
          <v:shape id="ole_rId62" style="width:138.75pt;height:36pt" o:ole="">
            <v:imagedata r:id="rId63" o:title=""/>
          </v:shape>
          <o:OLEObject Type="Embed" ProgID="Equation.DSMT4" ShapeID="ole_rId62" DrawAspect="Content" ObjectID="_1336089428" r:id="rId62"/>
        </w:object>
      </w:r>
      <w:r>
        <w:rPr/>
        <w:tab/>
      </w:r>
      <w:r>
        <w:rPr/>
        <w:fldChar w:fldCharType="begin"/>
      </w:r>
      <w:r>
        <w:rPr/>
        <w:instrText> SEQ MTEqn \* ARABIC </w:instrText>
      </w:r>
      <w:r>
        <w:rPr/>
        <w:fldChar w:fldCharType="separate"/>
      </w:r>
      <w:r>
        <w:rPr/>
        <w:t>10</w:t>
      </w:r>
      <w:r>
        <w:rPr/>
        <w:fldChar w:fldCharType="end"/>
      </w:r>
      <w:r>
        <w:rPr/>
        <w:fldChar w:fldCharType="begin"/>
      </w:r>
      <w:r>
        <w:rPr/>
        <w:instrText> SEQ MTEqn \* ARABIC </w:instrText>
      </w:r>
      <w:r>
        <w:rPr/>
        <w:fldChar w:fldCharType="separate"/>
      </w:r>
      <w:r>
        <w:rPr/>
        <w:t>11</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highlight w:val="white"/>
        </w:rPr>
      </w:pPr>
      <w:r>
        <w:rPr>
          <w:shd w:fill="FFFFFF" w:val="clear"/>
        </w:rPr>
        <w:t xml:space="preserve">We calculate the Dice loss </w:t>
      </w:r>
      <w:r>
        <w:rPr/>
        <w:object>
          <v:shape id="ole_rId64" style="width:30pt;height:15.75pt" o:ole="">
            <v:imagedata r:id="rId65" o:title=""/>
          </v:shape>
          <o:OLEObject Type="Embed" ProgID="Equation.DSMT4" ShapeID="ole_rId64" DrawAspect="Content" ObjectID="_381304984" r:id="rId64"/>
        </w:object>
      </w:r>
      <w:r>
        <w:rPr>
          <w:shd w:fill="FFFFFF" w:val="clear"/>
        </w:rPr>
        <w:t xml:space="preserve">overall structure </w:t>
      </w:r>
      <w:r>
        <w:rPr/>
        <w:object>
          <v:shape id="ole_rId66" style="width:44.25pt;height:17.25pt" o:ole="">
            <v:imagedata r:id="rId67" o:title=""/>
          </v:shape>
          <o:OLEObject Type="Embed" ProgID="Equation.DSMT4" ShapeID="ole_rId66" DrawAspect="Content" ObjectID="_1153763" r:id="rId66"/>
        </w:object>
      </w:r>
      <w:r>
        <w:rPr>
          <w:shd w:fill="FFFFFF" w:val="clear"/>
        </w:rPr>
        <w:t xml:space="preserve"> as shown in </w:t>
      </w:r>
      <w:bookmarkStart w:id="13" w:name="_Hlk154721397"/>
      <w:r>
        <w:rPr>
          <w:shd w:fill="FFFFFF" w:val="clear"/>
        </w:rPr>
        <w:t>Eqs. (6)</w:t>
      </w:r>
      <w:bookmarkEnd w:id="13"/>
      <w:r>
        <w:rPr>
          <w:shd w:fill="FFFFFF" w:val="clear"/>
        </w:rPr>
        <w:t xml:space="preserve"> and (7):</w:t>
      </w:r>
    </w:p>
    <w:p>
      <w:pPr>
        <w:pStyle w:val="MTDisplayEquation1"/>
        <w:rPr>
          <w:highlight w:val="white"/>
        </w:rPr>
      </w:pPr>
      <w:r>
        <w:rPr>
          <w:shd w:fill="FFFFFF" w:val="clear"/>
        </w:rPr>
        <w:tab/>
      </w:r>
      <w:r>
        <w:rPr/>
        <w:object>
          <v:shape id="ole_rId68" style="width:207pt;height:36.75pt" o:ole="">
            <v:imagedata r:id="rId69" o:title=""/>
          </v:shape>
          <o:OLEObject Type="Embed" ProgID="Equation.DSMT4" ShapeID="ole_rId68" DrawAspect="Content" ObjectID="_2118250657" r:id="rId68"/>
        </w:object>
      </w:r>
      <w:r>
        <w:rPr>
          <w:shd w:fill="FFFFFF" w:val="clear"/>
        </w:rPr>
        <w:tab/>
      </w:r>
      <w:r>
        <w:rPr>
          <w:shd w:fill="FFFFFF" w:val="clear"/>
        </w:rPr>
        <w:fldChar w:fldCharType="begin"/>
      </w:r>
      <w:r>
        <w:rPr>
          <w:shd w:fill="FFFFFF" w:val="clear"/>
        </w:rPr>
        <w:instrText> SEQ MTEqn \* ARABIC </w:instrText>
      </w:r>
      <w:r>
        <w:rPr>
          <w:shd w:fill="FFFFFF" w:val="clear"/>
        </w:rPr>
        <w:fldChar w:fldCharType="separate"/>
      </w:r>
      <w:r>
        <w:rPr>
          <w:shd w:fill="FFFFFF" w:val="clear"/>
        </w:rPr>
        <w:t>12</w:t>
      </w:r>
      <w:r>
        <w:rPr>
          <w:shd w:fill="FFFFFF" w:val="clear"/>
        </w:rPr>
        <w:fldChar w:fldCharType="end"/>
      </w:r>
      <w:r>
        <w:rPr>
          <w:shd w:fill="FFFFFF" w:val="clear"/>
        </w:rPr>
        <w:fldChar w:fldCharType="begin"/>
      </w:r>
      <w:r>
        <w:rPr>
          <w:shd w:fill="FFFFFF" w:val="clear"/>
        </w:rPr>
        <w:instrText> SEQ MTEqn \* ARABIC </w:instrText>
      </w:r>
      <w:r>
        <w:rPr>
          <w:shd w:fill="FFFFFF" w:val="clear"/>
        </w:rPr>
        <w:fldChar w:fldCharType="separate"/>
      </w:r>
      <w:r>
        <w:rPr>
          <w:shd w:fill="FFFFFF" w:val="clear"/>
        </w:rPr>
        <w:t>13</w:t>
      </w:r>
      <w:r>
        <w:rPr>
          <w:shd w:fill="FFFFFF" w:val="clear"/>
        </w:rPr>
        <w:fldChar w:fldCharType="end"/>
      </w:r>
      <w:r>
        <w:fldChar w:fldCharType="begin"/>
      </w:r>
      <w:r>
        <w:rPr>
          <w:shd w:fill="FFFFFF" w:val="clear"/>
        </w:rPr>
        <w:instrText>MACROBUTTONTPlaceRef \* MERGEFORMAT ()</w:instrText>
      </w:r>
      <w:r>
        <w:rPr>
          <w:shd w:fill="FFFFFF" w:val="clear"/>
        </w:rPr>
      </w:r>
      <w:r>
        <w:rPr>
          <w:shd w:fill="FFFFFF" w:val="clear"/>
        </w:rPr>
        <w:fldChar w:fldCharType="separate"/>
      </w:r>
      <w:r>
        <w:rPr>
          <w:shd w:fill="FFFFFF" w:val="clear"/>
        </w:rPr>
        <w:t>\* MERGEFORMAT ()</w:t>
      </w:r>
      <w:r>
        <w:rPr>
          <w:shd w:fill="FFFFFF" w:val="clear"/>
        </w:rPr>
      </w:r>
      <w:r>
        <w:rPr>
          <w:shd w:fill="FFFFFF" w:val="clear"/>
        </w:rPr>
        <w:fldChar w:fldCharType="end"/>
      </w:r>
    </w:p>
    <w:p>
      <w:pPr>
        <w:pStyle w:val="Normal"/>
        <w:rPr>
          <w:highlight w:val="white"/>
        </w:rPr>
      </w:pPr>
      <w:r>
        <w:rPr/>
        <w:object>
          <v:shape id="ole_rId70" style="width:60pt;height:21pt" o:ole="">
            <v:imagedata r:id="rId71" o:title=""/>
          </v:shape>
          <o:OLEObject Type="Embed" ProgID="Equation.DSMT4" ShapeID="ole_rId70" DrawAspect="Content" ObjectID="_365172668" r:id="rId70"/>
        </w:object>
      </w:r>
      <w:r>
        <w:rPr>
          <w:shd w:fill="FFFFFF" w:val="clear"/>
        </w:rPr>
        <w:t xml:space="preserve">represents the moved </w:t>
      </w:r>
      <w:r>
        <w:rPr/>
        <w:t>segmentation</w:t>
      </w:r>
      <w:r>
        <w:rPr>
          <w:shd w:fill="FFFFFF" w:val="clear"/>
        </w:rPr>
        <w:t xml:space="preserve"> image after deformation under the action of deformation field</w:t>
      </w:r>
      <w:r>
        <w:rPr/>
        <w:object>
          <v:shape id="ole_rId72" style="width:26.25pt;height:17.25pt" o:ole="">
            <v:imagedata r:id="rId73" o:title=""/>
          </v:shape>
          <o:OLEObject Type="Embed" ProgID="Equation.DSMT4" ShapeID="ole_rId72" DrawAspect="Content" ObjectID="_747074355" r:id="rId72"/>
        </w:object>
      </w:r>
      <w:r>
        <w:rPr/>
        <w:t>,</w:t>
      </w:r>
      <w:r>
        <w:rPr>
          <w:shd w:fill="FFFFFF" w:val="clear"/>
        </w:rPr>
        <w:t xml:space="preserve"> </w:t>
      </w:r>
      <w:r>
        <w:rPr/>
        <w:object>
          <v:shape id="ole_rId74" style="width:56.25pt;height:21pt" o:ole="">
            <v:imagedata r:id="rId75" o:title=""/>
          </v:shape>
          <o:OLEObject Type="Embed" ProgID="Equation.DSMT4" ShapeID="ole_rId74" DrawAspect="Content" ObjectID="_1441380063" r:id="rId74"/>
        </w:object>
      </w:r>
      <w:r>
        <w:rPr/>
        <w:t xml:space="preserve"> </w:t>
      </w:r>
      <w:r>
        <w:rPr>
          <w:shd w:fill="FFFFFF" w:val="clear"/>
        </w:rPr>
        <w:t xml:space="preserve">represents the moved </w:t>
      </w:r>
      <w:r>
        <w:rPr/>
        <w:t>segmentation</w:t>
      </w:r>
      <w:r>
        <w:rPr>
          <w:shd w:fill="FFFFFF" w:val="clear"/>
        </w:rPr>
        <w:t xml:space="preserve"> image after deformation under the action of deformation field </w:t>
      </w:r>
      <w:r>
        <w:rPr/>
        <w:object>
          <v:shape id="ole_rId76" style="width:23.25pt;height:17.25pt" o:ole="">
            <v:imagedata r:id="rId77" o:title=""/>
          </v:shape>
          <o:OLEObject Type="Embed" ProgID="Equation.DSMT4" ShapeID="ole_rId76" DrawAspect="Content" ObjectID="_64098782" r:id="rId76"/>
        </w:object>
      </w:r>
      <w:r>
        <w:rPr>
          <w:shd w:fill="FFFFFF" w:val="clear"/>
        </w:rPr>
        <w:t xml:space="preserve">, </w:t>
      </w:r>
      <w:r>
        <w:rPr/>
        <w:t xml:space="preserve">and  </w:t>
      </w:r>
      <w:r>
        <w:rPr/>
        <w:object>
          <v:shape id="ole_rId78" style="width:23.25pt;height:21pt" o:ole="">
            <v:imagedata r:id="rId79" o:title=""/>
          </v:shape>
          <o:OLEObject Type="Embed" ProgID="Equation.DSMT4" ShapeID="ole_rId78" DrawAspect="Content" ObjectID="_645094180" r:id="rId78"/>
        </w:object>
      </w:r>
      <w:r>
        <w:rPr/>
        <w:t>represents the fixed segmentation image</w:t>
      </w:r>
      <w:r>
        <w:rPr>
          <w:shd w:fill="FFFFFF" w:val="clear"/>
        </w:rPr>
        <w:t xml:space="preserve">, so the Dice loss after cross constraints is calculated as </w:t>
      </w:r>
      <w:bookmarkStart w:id="14" w:name="_Hlk154721504"/>
      <w:r>
        <w:rPr>
          <w:shd w:fill="FFFFFF" w:val="clear"/>
        </w:rPr>
        <w:t>shown in</w:t>
      </w:r>
      <w:bookmarkEnd w:id="14"/>
      <w:r>
        <w:rPr>
          <w:shd w:fill="FFFFFF" w:val="clear"/>
        </w:rPr>
        <w:t xml:space="preserve"> Eq. (8):</w:t>
      </w:r>
    </w:p>
    <w:p>
      <w:pPr>
        <w:pStyle w:val="MTDisplayEquation1"/>
        <w:rPr/>
      </w:pPr>
      <w:r>
        <w:rPr/>
        <w:tab/>
      </w:r>
      <w:r>
        <w:rPr/>
        <w:object>
          <v:shape id="ole_rId80" style="width:216.75pt;height:36.75pt" o:ole="">
            <v:imagedata r:id="rId81" o:title=""/>
          </v:shape>
          <o:OLEObject Type="Embed" ProgID="Equation.DSMT4" ShapeID="ole_rId80" DrawAspect="Content" ObjectID="_485577232" r:id="rId80"/>
        </w:object>
      </w:r>
      <w:r>
        <w:rPr/>
        <w:tab/>
      </w:r>
      <w:r>
        <w:rPr/>
        <w:fldChar w:fldCharType="begin"/>
      </w:r>
      <w:r>
        <w:rPr/>
        <w:instrText> SEQ MTEqn \* ARABIC </w:instrText>
      </w:r>
      <w:r>
        <w:rPr/>
        <w:fldChar w:fldCharType="separate"/>
      </w:r>
      <w:r>
        <w:rPr/>
        <w:t>14</w:t>
      </w:r>
      <w:r>
        <w:rPr/>
        <w:fldChar w:fldCharType="end"/>
      </w:r>
      <w:r>
        <w:rPr/>
        <w:fldChar w:fldCharType="begin"/>
      </w:r>
      <w:r>
        <w:rPr/>
        <w:instrText> SEQ MTEqn \* ARABIC </w:instrText>
      </w:r>
      <w:r>
        <w:rPr/>
        <w:fldChar w:fldCharType="separate"/>
      </w:r>
      <w:r>
        <w:rPr/>
        <w:t>15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82" style="width:135.75pt;height:17.25pt" o:ole="">
            <v:imagedata r:id="rId83" o:title=""/>
          </v:shape>
          <o:OLEObject Type="Embed" ProgID="Equation.DSMT4" ShapeID="ole_rId82" DrawAspect="Content" ObjectID="_1416483578" r:id="rId82"/>
        </w:object>
      </w:r>
      <w:r>
        <w:rPr/>
        <w:tab/>
      </w:r>
      <w:r>
        <w:rPr/>
        <w:fldChar w:fldCharType="begin"/>
      </w:r>
      <w:r>
        <w:rPr/>
        <w:instrText> SEQ MTEqn \* ARABIC </w:instrText>
      </w:r>
      <w:r>
        <w:rPr/>
        <w:fldChar w:fldCharType="separate"/>
      </w:r>
      <w:r>
        <w:rPr/>
        <w:t>16</w:t>
      </w:r>
      <w:r>
        <w:rPr/>
        <w:fldChar w:fldCharType="end"/>
      </w:r>
      <w:r>
        <w:rPr/>
        <w:fldChar w:fldCharType="begin"/>
      </w:r>
      <w:r>
        <w:rPr/>
        <w:instrText> SEQ MTEqn \* ARABIC </w:instrText>
      </w:r>
      <w:r>
        <w:rPr/>
        <w:fldChar w:fldCharType="separate"/>
      </w:r>
      <w:r>
        <w:rPr/>
        <w:t>17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Web"/>
        <w:widowControl w:val="false"/>
        <w:tabs>
          <w:tab w:val="clear" w:pos="720"/>
          <w:tab w:val="left" w:pos="187" w:leader="none"/>
        </w:tabs>
        <w:snapToGrid w:val="false"/>
        <w:spacing w:beforeAutospacing="0" w:before="240" w:afterAutospacing="0" w:after="60"/>
        <w:jc w:val="both"/>
        <w:rPr>
          <w:b/>
          <w:b/>
          <w:i/>
          <w:i/>
          <w:sz w:val="22"/>
          <w:szCs w:val="22"/>
        </w:rPr>
      </w:pPr>
      <w:r>
        <w:rPr>
          <w:b/>
          <w:i/>
          <w:sz w:val="22"/>
          <w:szCs w:val="22"/>
        </w:rPr>
        <w:t>2.2 Direction consistent networks</w:t>
      </w:r>
    </w:p>
    <w:p>
      <w:pPr>
        <w:pStyle w:val="Normal"/>
        <w:widowControl w:val="false"/>
        <w:tabs>
          <w:tab w:val="clear" w:pos="720"/>
          <w:tab w:val="left" w:pos="187" w:leader="none"/>
        </w:tabs>
        <w:snapToGrid w:val="false"/>
        <w:spacing w:before="240" w:after="60"/>
        <w:rPr>
          <w:sz w:val="24"/>
          <w:szCs w:val="22"/>
        </w:rPr>
      </w:pPr>
      <w:r>
        <w:rPr>
          <w:sz w:val="24"/>
          <w:szCs w:val="22"/>
        </w:rPr>
        <w:t>In our proposed channel cross constraint network, we generate two deformation fields from two pairs input images. We choose the cosine similarity function to calculate the similarity of two deformation fields in the x, y and z directions.</w:t>
      </w:r>
    </w:p>
    <w:p>
      <w:pPr>
        <w:pStyle w:val="ListParagraph"/>
        <w:numPr>
          <w:ilvl w:val="0"/>
          <w:numId w:val="2"/>
        </w:numPr>
        <w:tabs>
          <w:tab w:val="clear" w:pos="720"/>
          <w:tab w:val="left" w:pos="187" w:leader="none"/>
        </w:tabs>
        <w:snapToGrid w:val="false"/>
        <w:spacing w:before="240" w:after="0"/>
        <w:rPr>
          <w:rFonts w:ascii="Times New Roman" w:hAnsi="Times New Roman"/>
          <w:kern w:val="0"/>
          <w:szCs w:val="22"/>
        </w:rPr>
      </w:pPr>
      <w:r>
        <w:rPr>
          <w:rFonts w:ascii="Times New Roman" w:hAnsi="Times New Roman"/>
          <w:kern w:val="0"/>
          <w:szCs w:val="22"/>
        </w:rPr>
        <w:t>Cosine similarity function</w:t>
      </w:r>
    </w:p>
    <w:p>
      <w:pPr>
        <w:pStyle w:val="ListParagraph"/>
        <w:tabs>
          <w:tab w:val="clear" w:pos="720"/>
          <w:tab w:val="left" w:pos="187" w:leader="none"/>
        </w:tabs>
        <w:snapToGrid w:val="false"/>
        <w:spacing w:before="240" w:after="0"/>
        <w:ind w:hanging="0"/>
        <w:rPr>
          <w:rFonts w:ascii="Times New Roman" w:hAnsi="Times New Roman"/>
          <w:kern w:val="0"/>
          <w:szCs w:val="22"/>
        </w:rPr>
      </w:pPr>
      <w:r>
        <w:rPr>
          <w:rFonts w:ascii="Times New Roman" w:hAnsi="Times New Roman"/>
          <w:kern w:val="0"/>
          <w:szCs w:val="22"/>
        </w:rPr>
        <w:t xml:space="preserve">To achieve a better constraint, we calculate the cosine similarity of the three-channel from deformation field obtained by the decoder according to the direction. The calculation formula for the similarity loss function in a single direction is as </w:t>
      </w:r>
      <w:bookmarkStart w:id="15" w:name="_Hlk154721590"/>
      <w:r>
        <w:rPr>
          <w:rFonts w:ascii="Times New Roman" w:hAnsi="Times New Roman"/>
          <w:shd w:fill="FFFFFF" w:val="clear"/>
        </w:rPr>
        <w:t>shown in Eq. (9)</w:t>
      </w:r>
      <w:bookmarkEnd w:id="15"/>
      <w:r>
        <w:rPr>
          <w:rFonts w:ascii="Times New Roman" w:hAnsi="Times New Roman"/>
          <w:kern w:val="0"/>
          <w:szCs w:val="22"/>
        </w:rPr>
        <w:t>:</w:t>
      </w:r>
    </w:p>
    <w:p>
      <w:pPr>
        <w:pStyle w:val="MTDisplayEquation1"/>
        <w:rPr/>
      </w:pPr>
      <w:r>
        <w:rPr/>
        <w:tab/>
      </w:r>
      <w:r>
        <w:rPr/>
        <w:object>
          <v:shape id="ole_rId84" style="width:213.75pt;height:63.75pt" o:ole="">
            <v:imagedata r:id="rId85" o:title=""/>
          </v:shape>
          <o:OLEObject Type="Embed" ProgID="Equation.DSMT4" ShapeID="ole_rId84" DrawAspect="Content" ObjectID="_1949844416" r:id="rId84"/>
        </w:object>
      </w:r>
      <w:r>
        <w:rPr/>
        <w:tab/>
      </w:r>
      <w:r>
        <w:rPr/>
        <w:fldChar w:fldCharType="begin"/>
      </w:r>
      <w:r>
        <w:rPr/>
        <w:instrText> SEQ MTEqn \* ARABIC </w:instrText>
      </w:r>
      <w:r>
        <w:rPr/>
        <w:fldChar w:fldCharType="separate"/>
      </w:r>
      <w:r>
        <w:rPr/>
        <w:t>18</w:t>
      </w:r>
      <w:r>
        <w:rPr/>
        <w:fldChar w:fldCharType="end"/>
      </w:r>
      <w:r>
        <w:rPr/>
        <w:fldChar w:fldCharType="begin"/>
      </w:r>
      <w:r>
        <w:rPr/>
        <w:instrText> SEQ MTEqn \* ARABIC </w:instrText>
      </w:r>
      <w:r>
        <w:rPr/>
        <w:fldChar w:fldCharType="separate"/>
      </w:r>
      <w:r>
        <w:rPr/>
        <w:t>19</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color w:val="4D4D4D"/>
          <w:highlight w:val="white"/>
        </w:rPr>
      </w:pPr>
      <w:r>
        <w:rPr/>
        <w:object>
          <v:shape id="ole_rId86" style="width:12pt;height:12pt" o:ole="">
            <v:imagedata r:id="rId87" o:title=""/>
          </v:shape>
          <o:OLEObject Type="Embed" ProgID="Equation.DSMT4" ShapeID="ole_rId86" DrawAspect="Content" ObjectID="_2124707645" r:id="rId86"/>
        </w:object>
      </w:r>
      <w:r>
        <w:rPr>
          <w:rFonts w:cs="Arial" w:ascii="Arial" w:hAnsi="Arial"/>
        </w:rPr>
        <w:t xml:space="preserve"> </w:t>
      </w:r>
      <w:r>
        <w:rPr>
          <w:rFonts w:cs="Arial" w:ascii="Arial" w:hAnsi="Arial"/>
        </w:rPr>
        <w:t>,</w:t>
      </w:r>
      <w:r>
        <w:rPr/>
        <w:object>
          <v:shape id="ole_rId88" style="width:12pt;height:12pt" o:ole="">
            <v:imagedata r:id="rId89" o:title=""/>
          </v:shape>
          <o:OLEObject Type="Embed" ProgID="Equation.DSMT4" ShapeID="ole_rId88" DrawAspect="Content" ObjectID="_2132684685" r:id="rId88"/>
        </w:object>
      </w:r>
      <w:r>
        <w:rPr/>
        <w:t xml:space="preserve"> represent the vectors corresponding to the two deformation fields in the same directions, and </w:t>
      </w:r>
      <w:r>
        <w:rPr/>
        <w:object>
          <v:shape id="ole_rId90" style="width:9.75pt;height:11.25pt" o:ole="">
            <v:imagedata r:id="rId91" o:title=""/>
          </v:shape>
          <o:OLEObject Type="Embed" ProgID="Equation.DSMT4" ShapeID="ole_rId90" DrawAspect="Content" ObjectID="_1932825257" r:id="rId90"/>
        </w:object>
      </w:r>
      <w:r>
        <w:rPr/>
        <w:t xml:space="preserve"> represents the number of voxels in the deformation field in this direction, then add up the calculation results in the three directions. When the cosine value is negative, implying an angle greater than 90 degrees, which is </w:t>
      </w:r>
      <w:r>
        <w:rPr>
          <w:color w:val="4D4D4D"/>
          <w:shd w:fill="FFFFFF" w:val="clear"/>
        </w:rPr>
        <w:t xml:space="preserve">not in line with the actual situation. Therefore, we improve based on the original formula, increase the penalty for negative results, and better realize the direction consistency and topology preservation of the deformation field. The improved formula is as </w:t>
      </w:r>
      <w:r>
        <w:rPr>
          <w:shd w:fill="FFFFFF" w:val="clear"/>
        </w:rPr>
        <w:t>shown in Eqs. (10) and (11):</w:t>
      </w:r>
    </w:p>
    <w:p>
      <w:pPr>
        <w:pStyle w:val="MTDisplayEquation1"/>
        <w:rPr/>
      </w:pPr>
      <w:r>
        <w:rPr/>
        <w:tab/>
      </w:r>
      <w:r>
        <w:rPr/>
        <w:object>
          <v:shape id="ole_rId92" style="width:280.5pt;height:21.75pt" o:ole="">
            <v:imagedata r:id="rId93" o:title=""/>
          </v:shape>
          <o:OLEObject Type="Embed" ProgID="Equation.DSMT4" ShapeID="ole_rId92" DrawAspect="Content" ObjectID="_735917839" r:id="rId92"/>
        </w:object>
      </w:r>
      <w:r>
        <w:rPr/>
        <w:tab/>
      </w:r>
      <w:r>
        <w:rPr/>
        <w:fldChar w:fldCharType="begin"/>
      </w:r>
      <w:r>
        <w:rPr/>
        <w:instrText> SEQ MTEqn \* ARABIC </w:instrText>
      </w:r>
      <w:r>
        <w:rPr/>
        <w:fldChar w:fldCharType="separate"/>
      </w:r>
      <w:r>
        <w:rPr/>
        <w:t>20</w:t>
      </w:r>
      <w:r>
        <w:rPr/>
        <w:fldChar w:fldCharType="end"/>
      </w:r>
      <w:r>
        <w:rPr/>
        <w:fldChar w:fldCharType="begin"/>
      </w:r>
      <w:r>
        <w:rPr/>
        <w:instrText> SEQ MTEqn \* ARABIC </w:instrText>
      </w:r>
      <w:r>
        <w:rPr/>
        <w:fldChar w:fldCharType="separate"/>
      </w:r>
      <w:r>
        <w:rPr/>
        <w:t>21</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94" style="width:156pt;height:17.25pt" o:ole="">
            <v:imagedata r:id="rId95" o:title=""/>
          </v:shape>
          <o:OLEObject Type="Embed" ProgID="Equation.DSMT4" ShapeID="ole_rId94" DrawAspect="Content" ObjectID="_436885663" r:id="rId94"/>
        </w:object>
      </w:r>
      <w:r>
        <w:rPr/>
        <w:tab/>
      </w:r>
      <w:r>
        <w:rPr/>
        <w:fldChar w:fldCharType="begin"/>
      </w:r>
      <w:r>
        <w:rPr/>
        <w:instrText> SEQ MTEqn \* ARABIC </w:instrText>
      </w:r>
      <w:r>
        <w:rPr/>
        <w:fldChar w:fldCharType="separate"/>
      </w:r>
      <w:r>
        <w:rPr/>
        <w:t>22</w:t>
      </w:r>
      <w:r>
        <w:rPr/>
        <w:fldChar w:fldCharType="end"/>
      </w:r>
      <w:r>
        <w:rPr/>
        <w:fldChar w:fldCharType="begin"/>
      </w:r>
      <w:r>
        <w:rPr/>
        <w:instrText> SEQ MTEqn \* ARABIC </w:instrText>
      </w:r>
      <w:r>
        <w:rPr/>
        <w:fldChar w:fldCharType="separate"/>
      </w:r>
      <w:r>
        <w:rPr/>
        <w:t>23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pPr>
      <w:r>
        <w:rPr/>
        <w:t>2.3 Smooth loss</w:t>
      </w:r>
    </w:p>
    <w:p>
      <w:pPr>
        <w:pStyle w:val="Normal"/>
        <w:rPr/>
      </w:pPr>
      <w:r>
        <w:rPr/>
        <w:t xml:space="preserve">We apply diffusion regularization to the deformation field gradient for constraining the global smoothness, as </w:t>
      </w:r>
      <w:r>
        <w:rPr>
          <w:shd w:fill="FFFFFF" w:val="clear"/>
        </w:rPr>
        <w:t xml:space="preserve">shown in Eq. (12), </w:t>
      </w:r>
      <w:r>
        <w:rPr/>
        <w:t>Ω presents whole deformation space.</w:t>
      </w:r>
    </w:p>
    <w:p>
      <w:pPr>
        <w:pStyle w:val="MTDisplayEquation1"/>
        <w:rPr/>
      </w:pPr>
      <w:r>
        <w:rPr/>
        <w:tab/>
      </w:r>
      <w:r>
        <w:rPr/>
        <w:object>
          <v:shape id="ole_rId96" style="width:143.25pt;height:30.75pt" o:ole="">
            <v:imagedata r:id="rId97" o:title=""/>
          </v:shape>
          <o:OLEObject Type="Embed" ProgID="Equation.DSMT4" ShapeID="ole_rId96" DrawAspect="Content" ObjectID="_1837046056" r:id="rId96"/>
        </w:object>
      </w:r>
      <w:r>
        <w:rPr/>
        <w:tab/>
      </w:r>
      <w:r>
        <w:rPr/>
        <w:fldChar w:fldCharType="begin"/>
      </w:r>
      <w:r>
        <w:rPr/>
        <w:instrText> SEQ MTEqn \* ARABIC </w:instrText>
      </w:r>
      <w:r>
        <w:rPr/>
        <w:fldChar w:fldCharType="separate"/>
      </w:r>
      <w:r>
        <w:rPr/>
        <w:t>24</w:t>
      </w:r>
      <w:r>
        <w:rPr/>
        <w:fldChar w:fldCharType="end"/>
      </w:r>
      <w:r>
        <w:rPr/>
        <w:fldChar w:fldCharType="begin"/>
      </w:r>
      <w:r>
        <w:rPr/>
        <w:instrText> SEQ MTEqn \* ARABIC </w:instrText>
      </w:r>
      <w:r>
        <w:rPr/>
        <w:fldChar w:fldCharType="separate"/>
      </w:r>
      <w:r>
        <w:rPr/>
        <w:t>25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lang w:eastAsia="en-US"/>
        </w:rPr>
      </w:pPr>
      <w:r>
        <w:rPr>
          <w:lang w:eastAsia="en-US"/>
        </w:rPr>
        <w:t>In summary, our loss function is as</w:t>
      </w:r>
      <w:r>
        <w:rPr>
          <w:color w:val="FF0000"/>
          <w:shd w:fill="FFFFFF" w:val="clear"/>
        </w:rPr>
        <w:t xml:space="preserve"> </w:t>
      </w:r>
      <w:r>
        <w:rPr>
          <w:shd w:fill="FFFFFF" w:val="clear"/>
        </w:rPr>
        <w:t>shown in Eq. (13)</w:t>
      </w:r>
      <w:r>
        <w:rPr>
          <w:lang w:eastAsia="en-US"/>
        </w:rPr>
        <w:t>:</w:t>
      </w:r>
    </w:p>
    <w:p>
      <w:pPr>
        <w:pStyle w:val="MTDisplayEquation1"/>
        <w:rPr/>
      </w:pPr>
      <w:r>
        <w:rPr/>
        <w:tab/>
      </w:r>
      <w:r>
        <w:rPr/>
        <w:object>
          <v:shape id="ole_rId98" style="width:164.25pt;height:15.75pt" o:ole="">
            <v:imagedata r:id="rId99" o:title=""/>
          </v:shape>
          <o:OLEObject Type="Embed" ProgID="Equation.DSMT4" ShapeID="ole_rId98" DrawAspect="Content" ObjectID="_2070420206" r:id="rId98"/>
        </w:object>
      </w:r>
      <w:r>
        <w:rPr/>
        <w:tab/>
      </w:r>
      <w:r>
        <w:rPr/>
        <w:fldChar w:fldCharType="begin"/>
      </w:r>
      <w:r>
        <w:rPr/>
        <w:instrText> SEQ MTEqn \* ARABIC </w:instrText>
      </w:r>
      <w:r>
        <w:rPr/>
        <w:fldChar w:fldCharType="separate"/>
      </w:r>
      <w:r>
        <w:rPr/>
        <w:t>26</w:t>
      </w:r>
      <w:r>
        <w:rPr/>
        <w:fldChar w:fldCharType="end"/>
      </w:r>
      <w:r>
        <w:rPr/>
        <w:fldChar w:fldCharType="begin"/>
      </w:r>
      <w:r>
        <w:rPr/>
        <w:instrText> SEQ MTEqn \* ARABIC </w:instrText>
      </w:r>
      <w:r>
        <w:rPr/>
        <w:fldChar w:fldCharType="separate"/>
      </w:r>
      <w:r>
        <w:rPr/>
        <w:t>27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rPr>
          <w:lang w:eastAsia="en-US"/>
        </w:rPr>
      </w:pPr>
      <w:r>
        <w:rPr>
          <w:lang w:eastAsia="en-US"/>
        </w:rPr>
        <w:t>Where λ is a regularization parameter,</w:t>
      </w:r>
      <w:r>
        <w:rPr/>
        <w:t xml:space="preserve"> </w:t>
      </w:r>
      <w:r>
        <w:rPr>
          <w:lang w:eastAsia="en-US"/>
        </w:rPr>
        <w:t>we set it to 4 during the experimental process.</w:t>
      </w:r>
      <w:bookmarkStart w:id="16" w:name="_Hlk154723575"/>
      <w:bookmarkEnd w:id="16"/>
    </w:p>
    <w:p>
      <w:pPr>
        <w:pStyle w:val="Normal"/>
        <w:widowControl w:val="false"/>
        <w:tabs>
          <w:tab w:val="clear" w:pos="720"/>
          <w:tab w:val="left" w:pos="187" w:leader="none"/>
        </w:tabs>
        <w:snapToGrid w:val="false"/>
        <w:spacing w:before="240" w:after="60"/>
        <w:rPr>
          <w:b/>
          <w:b/>
          <w:szCs w:val="22"/>
        </w:rPr>
      </w:pPr>
      <w:r>
        <w:rPr>
          <w:b/>
          <w:szCs w:val="22"/>
        </w:rPr>
        <w:t>3 Experiment</w:t>
      </w:r>
    </w:p>
    <w:p>
      <w:pPr>
        <w:pStyle w:val="Normal"/>
        <w:widowControl w:val="false"/>
        <w:tabs>
          <w:tab w:val="clear" w:pos="720"/>
          <w:tab w:val="left" w:pos="187" w:leader="none"/>
        </w:tabs>
        <w:snapToGrid w:val="false"/>
        <w:spacing w:before="240" w:after="60"/>
        <w:rPr>
          <w:b/>
          <w:b/>
          <w:i/>
          <w:i/>
          <w:szCs w:val="22"/>
        </w:rPr>
      </w:pPr>
      <w:r>
        <w:rPr>
          <w:b/>
          <w:i/>
          <w:szCs w:val="22"/>
        </w:rPr>
        <w:t>3.1 Experimental Data and Preprocessing</w:t>
      </w:r>
    </w:p>
    <w:p>
      <w:pPr>
        <w:pStyle w:val="Normal"/>
        <w:widowControl w:val="false"/>
        <w:tabs>
          <w:tab w:val="clear" w:pos="720"/>
          <w:tab w:val="left" w:pos="187" w:leader="none"/>
        </w:tabs>
        <w:snapToGrid w:val="false"/>
        <w:spacing w:before="240" w:after="60"/>
        <w:rPr>
          <w:b/>
          <w:b/>
          <w:i/>
          <w:i/>
          <w:vanish/>
          <w:szCs w:val="22"/>
        </w:rPr>
      </w:pPr>
      <w:r>
        <w:rPr>
          <w:b/>
          <w:i/>
          <w:vanish/>
          <w:szCs w:val="22"/>
        </w:rPr>
      </w:r>
    </w:p>
    <w:p>
      <w:pPr>
        <w:pStyle w:val="Normal"/>
        <w:spacing w:before="0" w:after="0"/>
        <w:rPr/>
      </w:pPr>
      <w:r>
        <w:rPr/>
        <w:t xml:space="preserve">We have evaluated our experimental method for the brain atlas registration task on four public datasets LPBA40 </w:t>
      </w:r>
      <w:r>
        <w:fldChar w:fldCharType="begin"/>
      </w:r>
      <w:r>
        <w:rPr/>
        <w:instrText>ADDIN ZOTERO_ITEM CSL_CITATION {"citationID":"NCSnAOXA","properties":{"formattedCitation":"[30]","plainCitation":"[30]","noteIndex":0},"citationItems":[{"id":148,"uris":["http://zotero.org/users/local/BKRnzujf/items/R3E64BZC"],"itemData":{"id":148,"type":"article-journal","abstract":"We describe the construction of a digital brain atlas composed of data from manually delineated MRI data. A total of 56 structures were labeled in MRI of 40 healthy, normal volunteers. This labeling was performed according to a set of protocols developed for this project. Pairs of raters were assigned to each structure and trained on the protocol for that structure. Each rater pair was tested for concordance on 6 of the 40 brains; once they had achieved reliability standards, they divided the task of delineating the remaining 34 brains. The data were then spatially normalized to well-known templates using 3 popular algorithms: AIR5.2.5’s nonlinear warp (Woods et al., 1998) paired with the ICBM452 Warp 5 atlas (Rex et al., 2003), FSL’s FLIRT (Smith et al., 2004) was paired with its own template, a skull-stripped version of the ICBM152 T1 average; and SPM5’s unified segmentation method (Ashburner and Friston, 2005) was paired with its canonical brain, the whole head ICBM152 T1 average. We thus produced 3 variants of our atlas, where each was constructed from 40 representative samples of a data processing stream that one might use for analysis. For each normalization algorithm, the individual structure delineations were then resampled according to the computed transformations. We next computed averages at each voxel location to estimate the probability of that voxel belonging to each of the 56 structures. Each version of the atlas contains, for every voxel, probability densities for each region, thus providing a resource for automated probabilistic labeling of external data types registered into standard spaces; we also computed average intensity images and tissue density maps based on the three methods and target spaces. These atlases will serve as a resource for diverse applications including meta-analysis of functional and structural imaging data and other bioinformatics applications where display of arbitrary labels in probabilistically defined anatomic space will facilitate both knowledge-based development and visualization of findings from multiple disciplines.","container-title":"NeuroImage","DOI":"10.1016/j.neuroimage.2007.09.031","ISSN":"1053-8119","issue":"3","journalAbbreviation":"NeuroImage","language":"en","page":"1064-1080","source":"ScienceDirect","title":"Construction of a 3D probabilistic atlas of human cortical structures","volume":"39","author":[{"family":"Shattuck","given":"David W."},{"family":"Mirza","given":"Mubeena"},{"family":"Adisetiyo","given":"Vitria"},{"family":"Hojatkashani","given":"Cornelius"},{"family":"Salamon","given":"Georges"},{"family":"Narr","given":"Katherine L."},{"family":"Poldrack","given":"Russell A."},{"family":"Bilder","given":"Robert M."},{"family":"Toga","given":"Arthur W."}],"issued":{"date-parts":[["2008",2,1]]},"citation-key":"shattuckConstruction3DProbabilistic2008a"}}],"schema":"https://github.com/citation-style-language/schema/raw/master/csl-citation.json"}</w:instrText>
      </w:r>
      <w:r>
        <w:rPr/>
      </w:r>
      <w:r>
        <w:rPr/>
        <w:fldChar w:fldCharType="separate"/>
      </w:r>
      <w:r>
        <w:rPr/>
        <w:t>[30]</w:t>
      </w:r>
      <w:r>
        <w:rPr/>
      </w:r>
      <w:r>
        <w:rPr/>
        <w:fldChar w:fldCharType="end"/>
      </w:r>
      <w:r>
        <w:rPr/>
        <w:t xml:space="preserve">, OASIS-1 </w:t>
      </w:r>
      <w:r>
        <w:fldChar w:fldCharType="begin"/>
      </w:r>
      <w:r>
        <w:rPr/>
        <w:instrText>ADDIN ZOTERO_ITEM CSL_CITATION {"citationID":"tAfUmbYp","properties":{"formattedCitation":"[31], [32]","plainCitation":"[31], [32]","noteIndex":0},"citationItems":[{"id":139,"uris":["http://zotero.org/users/local/BKRnzujf/items/335YL8ZB"],"itemData":{"id":139,"type":"article","abstract":"We introduce HyperMorph, a framework that facilitates efficient hyperparameter tuning in learning-based deformable image registration. Classical registration algorithms perform an iterative pair-wise optimization to compute a deformation field that aligns two images. Recent learning-based approaches leverage large image datasets to learn a function that rapidly estimates a deformation for a given image pair. In both strategies, the accuracy of the resulting spatial correspondences is strongly influenced by the choice of certain hyperparameter values. However, an effective hyperparameter search consumes substantial time and human effort as it often involves training multiple models for different fixed hyperparameter values and may lead to suboptimal registration. We propose an amortized hyperparameter learning strategy to alleviate this burden by learning the impact of hyperparameters on deformation fields. We design a meta network, or hypernetwork, that predicts the parameters of a registration network for input hyperparameters, thereby comprising a single model that generates the optimal deformation field corresponding to given hyperparameter values. This strategy enables fast, high-resolution hyperparameter search at test-time, reducing the inefficiency of traditional approaches while increasing flexibility. We also demonstrate additional benefits of HyperMorph, including enhanced robustness to model initialization and the ability to rapidly identify optimal hyperparameter values specific to a dataset, image contrast, task, or even anatomical region, all without the need to retrain models. We make our code publicly available at http://hypermorph.voxelmorph.net.","DOI":"10.48550/arXiv.2203.16680","note":"arXiv:2203.16680 [cs, eess]","number":"arXiv:2203.16680","publisher":"arXiv","source":"arXiv.org","title":"Learning the Effect of Registration Hyperparameters with HyperMorph","URL":"http://arxiv.org/abs/2203.16680","author":[{"family":"Hoopes","given":"Andrew"},{"family":"Hoffmann","given":"Malte"},{"family":"Greve","given":"Douglas N."},{"family":"Fischl","given":"Bruce"},{"family":"Guttag","given":"John"},{"family":"Dalca","given":"Adrian V."}],"accessed":{"date-parts":[["2023",7,4]]},"issued":{"date-parts":[["2022",3,30]]},"citation-key":"hoopesLearningEffectRegistration2022"},"label":"page"},{"id":131,"uris":["http://zotero.org/users/local/BKRnzujf/items/Y3X9YXRC"],"itemData":{"id":131,"type":"article-journal","container-title":"Journal of cognitive neuroscience","issue":"9","note":"publisher: MIT Press One Rogers Street, Cambridge, MA 02142-1209, USA journals-info …","page":"1498–1507","source":"Google Scholar","title":"Open Access Series of Imaging Studies (OASIS): cross-sectional MRI data in young, middle aged, nondemented, and demented older adults","title-short":"Open Access Series of Imaging Studies (OASIS)","volume":"19","author":[{"family":"Marcus","given":"Daniel S."},{"family":"Wang","given":"Tracy H."},{"family":"Parker","given":"Jamie"},{"family":"Csernansky","given":"John G."},{"family":"Morris","given":"John C."},{"family":"Buckner","given":"Randy L."}],"issued":{"date-parts":[["2007"]]},"citation-key":"marcusOpenAccessSeries2007"},"label":"page"}],"schema":"https://github.com/citation-style-language/schema/raw/master/csl-citation.json"}</w:instrText>
      </w:r>
      <w:r>
        <w:rPr/>
      </w:r>
      <w:r>
        <w:rPr/>
        <w:fldChar w:fldCharType="separate"/>
      </w:r>
      <w:r>
        <w:rPr/>
        <w:t>[31-32]</w:t>
      </w:r>
      <w:r>
        <w:rPr/>
      </w:r>
      <w:r>
        <w:rPr/>
        <w:fldChar w:fldCharType="end"/>
      </w:r>
      <w:r>
        <w:rPr/>
        <w:t xml:space="preserve">, OASIS-3 </w:t>
      </w:r>
      <w:r>
        <w:fldChar w:fldCharType="begin"/>
      </w:r>
      <w:r>
        <w:rPr/>
        <w:instrText>ADDIN ZOTERO_ITEM CSL_CITATION {"citationID":"8WVz4tmF","properties":{"formattedCitation":"[33]","plainCitation":"[33]","noteIndex":0},"citationItems":[{"id":143,"uris":["http://zotero.org/users/local/BKRnzujf/items/HEU9J6ML"],"itemData":{"id":143,"type":"article","abstract":"OASIS-3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dementia.","DOI":"10.1101/2019.12.13.19014902","language":"en","license":"© 2019, Posted by Cold Spring Harbor Laboratory. This pre-print is available under a Creative Commons License (Attribution-NoDerivs 4.0 International), CC BY-ND 4.0, as described at http://creativecommons.org/licenses/by-nd/4.0/","note":"ISSN: 1901-4902\npage: 2019.12.13.19014902","publisher":"medRxiv","source":"medRxiv","title":"OASIS-3: Longitudinal Neuroimaging, Clinical, and Cognitive Dataset for Normal Aging and Alzheimer Disease","title-short":"OASIS-3","URL":"https://www.medrxiv.org/content/10.1101/2019.12.13.19014902v1","author":[{"family":"LaMontagne","given":"Pamela J."},{"family":"Benzinger","given":"Tammie LS"},{"family":"Morris","given":"John C."},{"family":"Keefe","given":"Sarah"},{"family":"Hornbeck","given":"Russ"},{"family":"Xiong","given":"Chengjie"},{"family":"Grant","given":"Elizabeth"},{"family":"Hassenstab","given":"Jason"},{"family":"Moulder","given":"Krista"},{"family":"Vlassenko","given":"Andrei G."},{"family":"Raichle","given":"Marcus E."},{"family":"Cruchaga","given":"Carlos"},{"family":"Marcus","given":"Daniel"}],"accessed":{"date-parts":[["2023",7,4]]},"issued":{"date-parts":[["2019",12,15]]},"citation-key":"lamontagneOASIS3LongitudinalNeuroimaging2019"}}],"schema":"https://github.com/citation-style-language/schema/raw/master/csl-citation.json"}</w:instrText>
      </w:r>
      <w:r>
        <w:rPr/>
      </w:r>
      <w:r>
        <w:rPr/>
        <w:fldChar w:fldCharType="separate"/>
      </w:r>
      <w:r>
        <w:rPr/>
        <w:t>[33]</w:t>
      </w:r>
      <w:r>
        <w:rPr/>
      </w:r>
      <w:r>
        <w:rPr/>
        <w:fldChar w:fldCharType="end"/>
      </w:r>
      <w:r>
        <w:rPr/>
        <w:t xml:space="preserve">, and ADNI </w:t>
      </w:r>
      <w:r>
        <w:fldChar w:fldCharType="begin"/>
      </w:r>
      <w:r>
        <w:rPr/>
        <w:instrText>ADDIN ZOTERO_ITEM CSL_CITATION {"citationID":"fyVcCcOG","properties":{"formattedCitation":"[34]","plainCitation":"[34]","noteIndex":0},"citationItems":[{"id":145,"uris":["http://zotero.org/users/local/BKRnzujf/items/PDBBT47C"],"itemData":{"id":145,"type":"article-journal","abstract":"INTRODUCTION: The overall goal of the Alzheimer's Disease Neuroimaging Initiative (ADNI) is to validate biomarkers for Alzheimer's disease (AD) clinical trials. ADNI-3, which began on August 1, 2016, is a 5-year renewal of the current ADNI-2 study.\nMETHODS: ADNI-3 will follow current and additional subjects with normal cognition, mild cognitive impairment, and AD using innovative technologies such as tau imaging, magnetic resonance imaging sequences for connectivity analyses, and a highly automated immunoassay platform and mass spectroscopy approach for cerebrospinal fluid biomarker analysis. A Systems Biology/pathway approach will be used to identify genetic factors for subject selection/enrichment. Amyloid positron emission tomography scanning will be standardized using the Centiloid method. The Brain Health Registry will help recruit subjects and monitor subject cognition.\nRESULTS: Multimodal analyses will provide insight into AD pathophysiology and disease progression.\nDISCUSSION: ADNI-3 will aim to inform AD treatment trials and facilitate development of AD disease-modifying treatments.","container-title":"Alzheimer's &amp; Dementia: The Journal of the Alzheimer's Association","DOI":"10.1016/j.jalz.2016.10.006","ISSN":"1552-5279","issue":"5","journalAbbreviation":"Alzheimers Dement","language":"eng","note":"PMID: 27931796\nPMCID: PMC5536850","page":"561-571","source":"PubMed","title":"The Alzheimer's Disease Neuroimaging Initiative 3: Continued innovation for clinical trial improvement","title-short":"The Alzheimer's Disease Neuroimaging Initiative 3","volume":"13","author":[{"family":"Weiner","given":"Michael W."},{"family":"Veitch","given":"Dallas P."},{"family":"Aisen","given":"Paul S."},{"family":"Beckett","given":"Laurel A."},{"family":"Cairns","given":"Nigel J."},{"family":"Green","given":"Robert C."},{"family":"Harvey","given":"Danielle"},{"family":"Jack","given":"Clifford R."},{"family":"Jagust","given":"William"},{"family":"Morris","given":"John C."},{"family":"Petersen","given":"Ronald C."},{"family":"Salazar","given":"Jennifer"},{"family":"Saykin","given":"Andrew J."},{"family":"Shaw","given":"Leslie M."},{"family":"Toga","given":"Arthur W."},{"family":"Trojanowski","given":"John Q."},{"literal":"Alzheimer's Disease Neuroimaging Initiative"}],"issued":{"date-parts":[["2017",5]]},"citation-key":"weinerAlzheimerDiseaseNeuroimaging2017"}}],"schema":"https://github.com/citation-style-language/schema/raw/master/csl-citation.json"}</w:instrText>
      </w:r>
      <w:r>
        <w:rPr/>
      </w:r>
      <w:r>
        <w:rPr/>
        <w:fldChar w:fldCharType="separate"/>
      </w:r>
      <w:r>
        <w:rPr/>
        <w:t>[34]</w:t>
      </w:r>
      <w:r>
        <w:rPr/>
      </w:r>
      <w:r>
        <w:rPr/>
        <w:fldChar w:fldCharType="end"/>
      </w:r>
      <w:r>
        <w:rPr/>
        <w:t>. And the dataset was divided into training and testing sets as follows: 30 in the LPBA40 dataset are used as training and 9 as testing, 331 in the OASIS-1 dataset are used for training and 82 for testing, and both OASIS-3 and ADNI datasets select 405 as training data and 103 as testing data.</w:t>
      </w:r>
    </w:p>
    <w:p>
      <w:pPr>
        <w:pStyle w:val="Normal"/>
        <w:spacing w:before="0" w:after="0"/>
        <w:rPr/>
      </w:pPr>
      <w:r>
        <w:rPr/>
        <w:t>For the LPBA40 and OASIS-1 datasets, we directly use the preprocessed public version. In the LPBA40 dataset, all MRI scans were annotated with 56 regions of interest (ROIs) and center-cropped to 160 × 192 × 160. In the OASIS-1 dataset, all MRI scans were accompanied by annotations for 35 ROIs and center-cropped to 160 × 192 × 224. For the OASIS-3 and ADNI datasets, we perform standard preprocessing procedures for each MR scan by IBEAT V2.0 Cloud</w:t>
      </w:r>
      <w:r>
        <w:fldChar w:fldCharType="begin"/>
      </w:r>
      <w:r>
        <w:rPr/>
        <w:instrText>ADDIN ZOTERO_ITEM CSL_CITATION {"citationID":"JPK1tOaq","properties":{"unsorted":true,"formattedCitation":"[35], [36], [37], [38]","plainCitation":"[35], [36], [37], [38]","noteIndex":0},"citationItems":[{"id":162,"uris":["http://zotero.org/users/local/BKRnzujf/items/NMJTN8NS"],"itemData":{"id":162,"type":"paper-conference","container-title":"Medical Image Computing and Computer Assisted Intervention–MICCAI 2018: 21st International Conference, Granada, Spain, September 16-20, 2018, Proceedings, Part III 11","page":"411–419","publisher":"Springer","source":"Google Scholar","title":"Volume-based analysis of 6-month-old infant brain MRI for autism biomarker identification and early diagnosis","author":[{"family":"Wang","given":"Li"},{"family":"Li","given":"Gang"},{"family":"Shi","given":"Feng"},{"family":"Cao","given":"Xiaohuan"},{"family":"Lian","given":"Chunfeng"},{"family":"Nie","given":"Dong"},{"family":"Liu","given":"Mingxia"},{"family":"Zhang","given":"Han"},{"family":"Li","given":"Guannan"},{"family":"Wu","given":"Zhengwang"}],"issued":{"date-parts":[["2018"]]},"citation-key":"wangVolumebasedAnalysis6monthold2018"},"label":"page"},{"id":153,"uris":["http://zotero.org/users/local/BKRnzujf/items/4KE57ABR"],"itemData":{"id":153,"type":"article-journal","abstract":"Quantitative measurement of the dynamic longitudinal cortex development during early postnatal stages is of great importance to understand the early cortical structural and functional development. Conventional methods usually reconstruct the cortical surfaces of longitudinal images from the same subject independently, which often generate longitudinally-inconsistent cortical surfaces and thus lead to inaccurate measurement of cortical changes, especially for vertex-wise mapping of cortical development. This paper aims to address this problem by presenting a method to reconstruct temporally-consistent cortical surfaces from longitudinal infant brain MR images, for accurate and consistent measurement of the dynamic cortex development in infants. Specifically, the longitudinal development of the inner cortical surface is first modeled by a deformable growth sheet with elasto-plasticity property to establish longitudinally smooth correspondences of the inner cortical surfaces. Then, the modeled longitudinal inner cortical surfaces are jointly deformed to locate both inner and outer cortical surfaces with a spatial–temporal deformable surface method. The method has been applied to 13 healthy infants, each with 6 serial MR scans acquired at 2weeks, 3months, 6months, 9months, 12months and 18months of age. Experimental results showed that our method with the incorporated longitudinal constraints can reconstruct the longitudinally-dynamic cortical surfaces from serial infant MR images more consistently and accurately than the previously published methods. By using our method, for the first time, we can characterize the vertex-wise longitudinal cortical thickness development trajectory at multiple time points in the first 18months of life. Specifically, we found the highly age-related and regionally-heterogeneous developmental trajectories of the cortical thickness during this period, with the cortical thickness increased most from 3 to 6months (16.2%) and least from 9 to 12months (less than 0.1%). Specifically, the central sulcus only underwent significant increase of cortical thickness from 6 to 9months and the occipital cortex underwent significant increase from 0 to 9months, while the frontal, temporal and parietal cortices grew continuously in this first 18months of life. The adult-like spatial patterns of cortical thickness were generally present at 18months of age. These results provided detailed insights into the dynamic trajectory of the cortical thickness development in infants.","container-title":"NeuroImage","DOI":"10.1016/j.neuroimage.2013.12.038","ISSN":"1053-8119","journalAbbreviation":"NeuroImage","language":"en","page":"266-279","source":"ScienceDirect","title":"Measuring the dynamic longitudinal cortex development in infants by reconstruction of temporally consistent cortical surfaces","volume":"90","author":[{"family":"Li","given":"Gang"},{"family":"Nie","given":"Jingxin"},{"family":"Wang","given":"Li"},{"family":"Shi","given":"Feng"},{"family":"Gilmore","given":"John H."},{"family":"Lin","given":"Weili"},{"family":"Shen","given":"Dinggang"}],"issued":{"date-parts":[["2014",4,15]]},"citation-key":"liMeasuringDynamicLongitudinal2014"},"label":"page"},{"id":156,"uris":["http://zotero.org/users/local/BKRnzujf/items/NQAI5TZG"],"itemData":{"id":156,"type":"article-journal","abstract":"The first postnatal years are an exceptionally dynamic and critical period of structural, functional and connectivity development of the human brain. The increasing availability of non-invasive infant brain MR images provides unprecedented opportunities for accurate and reliable charting of dynamic early brain developmental trajectories in understanding normative and aberrant growth. However, infant brain MR images typically exhibit reduced tissue contrast (especially around 6 months of age), large within-tissue intensity variations, and regionally-heterogeneous, dynamic changes, in comparison with adult brain MR images. Consequently, the existing computational tools developed typically for adult brains are not suitable for infant brain MR image processing. To address these challenges, many infant-tailored computational methods have been proposed for computational neuroanatomy of infant brains. In this review paper, we provide a comprehensive review of the state-of-the-art computational methods for infant brain MRI processing and analysis, which have advanced our understanding of early postnatal brain development. We also summarize publically available infant-dedicated resources, including MRI datasets, computational tools, grand challenges, and brain atlases. Finally, we discuss the limitations in current research and suggest potential future research directions.","container-title":"NeuroImage","DOI":"10.1016/j.neuroimage.2018.03.042","ISSN":"1053-8119","journalAbbreviation":"NeuroImage","language":"en","page":"906-925","source":"ScienceDirect","title":"Computational neuroanatomy of baby brains: A review","title-short":"Computational neuroanatomy of baby brains","volume":"185","author":[{"family":"Li","given":"Gang"},{"family":"Wang","given":"Li"},{"family":"Yap","given":"Pew-Thian"},{"family":"Wang","given":"Fan"},{"family":"Wu","given":"Zhengwang"},{"family":"Meng","given":"Yu"},{"family":"Dong","given":"Pei"},{"family":"Kim","given":"Jaeil"},{"family":"Shi","given":"Feng"},{"family":"Rekik","given":"Islem"},{"family":"Lin","given":"Weili"},{"family":"Shen","given":"Dinggang"}],"issued":{"date-parts":[["2019",1,15]]},"citation-key":"liComputationalNeuroanatomyBaby2019"},"label":"page"},{"id":158,"uris":["http://zotero.org/users/local/BKRnzujf/items/52C82HNI"],"itemData":{"id":158,"type":"article-journal","abstract":"In neuroimaging, cortical surface atlases play a fundamental role for spatial normalization, analysis, visualization, and comparison of results across individuals and different studies. However, existing cortical surface atlases created for adults are not suitable for infant brains during the first two postnatal years, which is the most dynamic period of postnatal structural and functional development of the highly-folded cerebral cortex. Therefore, spatiotemporal cortical surface atlases for infant brains are highly desired yet still lacking for accurate mapping of early dynamic brain development. To bridge this significant gap, leveraging our infant-dedicated computational pipeline for cortical surface-based analysis and the unique longitudinal infant MRI dataset acquired in our research center, in this paper, we construct the first spatiotemporal (4D) high-definition cortical surface atlases for the dynamic developing infant cortical structures at seven time points, including 1, 3, 6, 9, 12, 18, and 24 months of age, based on 202 serial MRI scans from 35 healthy infants. For this purpose, we develop a novel method to ensure the longitudinal consistency and unbiasedness to any specific subject and age in our 4D infant cortical surface atlases. Specifically, we first compute the within-subject mean cortical folding by unbiased groupwise registration of longitudinal cortical surfaces of each infant. Then we establish longitudinally-consistent and unbiased inter-subject cortical correspondences by groupwise registration of the geometric features of within-subject mean cortical folding across all infants. Our 4D surface atlases capture both longitudinally-consistent dynamic mean shape changes and the individual variability of cortical folding during early brain development. Experimental results on two independent infant MRI datasets show that using our 4D infant cortical surface atlases as templates leads to significantly improved accuracy for spatial normalization of cortical surfaces across infant individuals, in comparison to the infant surface atlases constructed without longitudinal consistency and also the FreeSurfer adult surface atlas. Moreover, based on our 4D infant surface atlases, for the first time, we reveal the spatially-detailed, region-specific correlation patterns of the dynamic cortical developmental trajectories between different cortical regions during early brain development.","container-title":"Medical Image Analysis","DOI":"10.1016/j.media.2015.04.005","ISSN":"1361-8415","issue":"1","journalAbbreviation":"Medical Image Analysis","language":"en","page":"22-36","source":"ScienceDirect","title":"Construction of 4D high-definition cortical surface atlases of infants: Methods and applications","title-short":"Construction of 4D high-definition cortical surface atlases of infants","volume":"25","author":[{"family":"Li","given":"Gang"},{"family":"Wang","given":"Li"},{"family":"Shi","given":"Feng"},{"family":"Gilmore","given":"John H."},{"family":"Lin","given":"Weili"},{"family":"Shen","given":"Dinggang"}],"issued":{"date-parts":[["2015",10,1]]},"citation-key":"liConstruction4DHighdefinition2015"},"label":"page"}],"schema":"https://github.com/citation-style-language/schema/raw/master/csl-citation.json"}</w:instrText>
      </w:r>
      <w:r>
        <w:rPr/>
      </w:r>
      <w:r>
        <w:rPr/>
        <w:fldChar w:fldCharType="separate"/>
      </w:r>
      <w:r>
        <w:rPr/>
        <w:t>[35-38]</w:t>
      </w:r>
      <w:r>
        <w:rPr/>
      </w:r>
      <w:r>
        <w:rPr/>
        <w:fldChar w:fldCharType="end"/>
      </w:r>
      <w:r>
        <w:rPr/>
        <w:t>. Each MRI scan encompassed 133 ROIs. We then perform isotropic voxel resampling on all MR scans, setting the voxel sizes to 1</w:t>
      </w:r>
      <w:r>
        <w:rPr>
          <w:vertAlign w:val="superscript"/>
        </w:rPr>
        <w:t>3</w:t>
      </w:r>
      <w:r>
        <w:rPr/>
        <w:t xml:space="preserve">mm, and then interpolate the preprocessed MRI scans to achieve dimensions of 255×255×255. Subsequently, we conducted center-cropping on the images, resulting in final dimensions of 160 × 192 × 224. </w:t>
      </w:r>
    </w:p>
    <w:p>
      <w:pPr>
        <w:pStyle w:val="Normal"/>
        <w:widowControl w:val="false"/>
        <w:tabs>
          <w:tab w:val="clear" w:pos="720"/>
          <w:tab w:val="left" w:pos="187" w:leader="none"/>
        </w:tabs>
        <w:snapToGrid w:val="false"/>
        <w:spacing w:before="240" w:after="60"/>
        <w:rPr>
          <w:b/>
          <w:b/>
          <w:i/>
          <w:i/>
          <w:szCs w:val="22"/>
        </w:rPr>
      </w:pPr>
      <w:r>
        <w:rPr>
          <w:b/>
          <w:i/>
          <w:szCs w:val="22"/>
        </w:rPr>
        <w:t>3.2 Experiment settings</w:t>
      </w:r>
    </w:p>
    <w:p>
      <w:pPr>
        <w:pStyle w:val="Normal"/>
        <w:rPr>
          <w:strike/>
          <w:szCs w:val="22"/>
        </w:rPr>
      </w:pPr>
      <w:r>
        <w:rPr>
          <w:szCs w:val="22"/>
        </w:rPr>
        <w:t>Our proposed method was conducted using PyCharm as the software, running on hardware equipped with an NVIDIA GeForce RTX 3090 graphics card and a 12th Gen Intel(R) Core(TM) i9-12900KF CPU clocked at 3.20 GHz. The experiment utilized PyTorch version 1.9, with CUDA version 11.1, as the underlying framework. For optimization, we employed the Adam solver, and set the learning rate to 1e-4. The training process was conducted for 15000 iterations, and we utilized a batch size of 1.</w:t>
      </w:r>
    </w:p>
    <w:p>
      <w:pPr>
        <w:pStyle w:val="Normal"/>
        <w:widowControl w:val="false"/>
        <w:tabs>
          <w:tab w:val="clear" w:pos="720"/>
          <w:tab w:val="left" w:pos="187" w:leader="none"/>
        </w:tabs>
        <w:snapToGrid w:val="false"/>
        <w:spacing w:before="240" w:after="60"/>
        <w:rPr>
          <w:b/>
          <w:b/>
          <w:i/>
          <w:i/>
          <w:szCs w:val="22"/>
        </w:rPr>
      </w:pPr>
      <w:r>
        <w:rPr>
          <w:b/>
          <w:i/>
          <w:szCs w:val="22"/>
        </w:rPr>
        <w:t>3.3 Experimental Results and Analysis</w:t>
      </w:r>
    </w:p>
    <w:p>
      <w:pPr>
        <w:pStyle w:val="Normal"/>
        <w:rPr/>
      </w:pPr>
      <w:r>
        <w:rPr/>
        <w:t>We adopted the mean and variance of the Dice score and Jacobian determinant value from a pair of registered images (test phase) as our evaluation metrics.</w:t>
      </w:r>
      <w:bookmarkStart w:id="17" w:name="_Ref150782701"/>
    </w:p>
    <w:p>
      <w:pPr>
        <w:pStyle w:val="Caption1"/>
        <w:rPr/>
      </w:pPr>
      <w:r>
        <w:rPr/>
        <w:t xml:space="preserve">Table </w:t>
      </w:r>
      <w:r>
        <w:rPr/>
        <w:fldChar w:fldCharType="begin"/>
      </w:r>
      <w:r>
        <w:rPr/>
        <w:instrText> SEQ Table \* ARABIC </w:instrText>
      </w:r>
      <w:r>
        <w:rPr/>
        <w:fldChar w:fldCharType="separate"/>
      </w:r>
      <w:r>
        <w:rPr/>
        <w:t>1</w:t>
      </w:r>
      <w:r>
        <w:rPr/>
        <w:fldChar w:fldCharType="end"/>
      </w:r>
      <w:bookmarkEnd w:id="17"/>
      <w:r>
        <w:rPr/>
        <w:t>:</w:t>
      </w:r>
      <w:r>
        <w:rPr>
          <w:b w:val="false"/>
          <w:bCs/>
        </w:rPr>
        <w:t>Quantitative results on LPBA40, OASIS-1, OASIS-3, and ADNI datasets</w:t>
      </w:r>
    </w:p>
    <w:tbl>
      <w:tblPr>
        <w:tblpPr w:bottomFromText="0" w:horzAnchor="text" w:leftFromText="180" w:rightFromText="180" w:tblpX="0" w:tblpY="1" w:topFromText="0" w:vertAnchor="text"/>
        <w:tblW w:w="9490" w:type="dxa"/>
        <w:jc w:val="left"/>
        <w:tblInd w:w="108" w:type="dxa"/>
        <w:tblCellMar>
          <w:top w:w="0" w:type="dxa"/>
          <w:left w:w="108" w:type="dxa"/>
          <w:bottom w:w="0" w:type="dxa"/>
          <w:right w:w="108" w:type="dxa"/>
        </w:tblCellMar>
        <w:tblLook w:val="04a0" w:noHBand="0" w:noVBand="1" w:firstColumn="1" w:lastRow="0" w:lastColumn="0" w:firstRow="1"/>
      </w:tblPr>
      <w:tblGrid>
        <w:gridCol w:w="1093"/>
        <w:gridCol w:w="873"/>
        <w:gridCol w:w="1169"/>
        <w:gridCol w:w="873"/>
        <w:gridCol w:w="1104"/>
        <w:gridCol w:w="873"/>
        <w:gridCol w:w="1204"/>
        <w:gridCol w:w="873"/>
        <w:gridCol w:w="1205"/>
        <w:gridCol w:w="222"/>
      </w:tblGrid>
      <w:tr>
        <w:trPr>
          <w:trHeight w:val="267" w:hRule="atLeast"/>
        </w:trPr>
        <w:tc>
          <w:tcPr>
            <w:tcW w:w="1093" w:type="dxa"/>
            <w:vMerge w:val="restart"/>
            <w:tcBorders>
              <w:top w:val="single" w:sz="8" w:space="0" w:color="000000"/>
              <w:bottom w:val="single" w:sz="8" w:space="0" w:color="000000"/>
            </w:tcBorders>
            <w:shd w:color="auto" w:fill="auto" w:val="clear"/>
            <w:vAlign w:val="center"/>
          </w:tcPr>
          <w:p>
            <w:pPr>
              <w:pStyle w:val="Style15"/>
              <w:rPr>
                <w:rFonts w:eastAsia="Adobe 宋体 Std L"/>
                <w:sz w:val="16"/>
                <w:szCs w:val="16"/>
              </w:rPr>
            </w:pPr>
            <w:bookmarkStart w:id="18" w:name="_Hlk140173095"/>
            <w:bookmarkEnd w:id="18"/>
            <w:r>
              <w:rPr>
                <w:rFonts w:eastAsia="Adobe 宋体 Std L"/>
                <w:sz w:val="16"/>
                <w:szCs w:val="16"/>
              </w:rPr>
              <w:t>Method</w:t>
            </w:r>
          </w:p>
        </w:tc>
        <w:tc>
          <w:tcPr>
            <w:tcW w:w="2042" w:type="dxa"/>
            <w:gridSpan w:val="2"/>
            <w:tcBorders>
              <w:top w:val="single" w:sz="8" w:space="0" w:color="000000"/>
              <w:bottom w:val="single" w:sz="4" w:space="0" w:color="000000"/>
            </w:tcBorders>
            <w:shd w:color="auto" w:fill="auto" w:val="clear"/>
            <w:vAlign w:val="center"/>
          </w:tcPr>
          <w:p>
            <w:pPr>
              <w:pStyle w:val="Style15"/>
              <w:rPr>
                <w:rFonts w:eastAsia="Adobe 宋体 Std L"/>
                <w:sz w:val="16"/>
                <w:szCs w:val="16"/>
              </w:rPr>
            </w:pPr>
            <w:r>
              <w:rPr>
                <w:rFonts w:eastAsia="Adobe 宋体 Std L"/>
                <w:sz w:val="16"/>
                <w:szCs w:val="16"/>
              </w:rPr>
              <w:t>LPBA40</w:t>
            </w:r>
          </w:p>
        </w:tc>
        <w:tc>
          <w:tcPr>
            <w:tcW w:w="1977" w:type="dxa"/>
            <w:gridSpan w:val="2"/>
            <w:tcBorders>
              <w:top w:val="single" w:sz="8" w:space="0" w:color="000000"/>
              <w:bottom w:val="single" w:sz="4" w:space="0" w:color="000000"/>
            </w:tcBorders>
            <w:shd w:color="auto" w:fill="auto" w:val="clear"/>
            <w:vAlign w:val="center"/>
          </w:tcPr>
          <w:p>
            <w:pPr>
              <w:pStyle w:val="Style15"/>
              <w:rPr>
                <w:rFonts w:eastAsia="Adobe 宋体 Std L"/>
                <w:sz w:val="16"/>
                <w:szCs w:val="16"/>
              </w:rPr>
            </w:pPr>
            <w:r>
              <w:rPr>
                <w:rFonts w:eastAsia="Adobe 宋体 Std L"/>
                <w:sz w:val="16"/>
                <w:szCs w:val="16"/>
              </w:rPr>
              <w:t>OASIS-1</w:t>
            </w:r>
          </w:p>
        </w:tc>
        <w:tc>
          <w:tcPr>
            <w:tcW w:w="2077" w:type="dxa"/>
            <w:gridSpan w:val="2"/>
            <w:tcBorders>
              <w:top w:val="single" w:sz="8" w:space="0" w:color="000000"/>
              <w:bottom w:val="single" w:sz="4" w:space="0" w:color="000000"/>
            </w:tcBorders>
            <w:shd w:color="auto" w:fill="auto" w:val="clear"/>
            <w:vAlign w:val="center"/>
          </w:tcPr>
          <w:p>
            <w:pPr>
              <w:pStyle w:val="Style15"/>
              <w:rPr>
                <w:rFonts w:eastAsia="Adobe 宋体 Std L"/>
                <w:sz w:val="16"/>
                <w:szCs w:val="16"/>
              </w:rPr>
            </w:pPr>
            <w:r>
              <w:rPr>
                <w:rFonts w:eastAsia="Adobe 宋体 Std L"/>
                <w:sz w:val="16"/>
                <w:szCs w:val="16"/>
              </w:rPr>
              <w:t>OASIS-3</w:t>
            </w:r>
          </w:p>
        </w:tc>
        <w:tc>
          <w:tcPr>
            <w:tcW w:w="2078" w:type="dxa"/>
            <w:gridSpan w:val="2"/>
            <w:tcBorders>
              <w:top w:val="single" w:sz="8" w:space="0" w:color="000000"/>
              <w:bottom w:val="single" w:sz="4" w:space="0" w:color="000000"/>
            </w:tcBorders>
            <w:shd w:color="auto" w:fill="auto" w:val="clear"/>
            <w:vAlign w:val="center"/>
          </w:tcPr>
          <w:p>
            <w:pPr>
              <w:pStyle w:val="Style15"/>
              <w:rPr>
                <w:rFonts w:eastAsia="Adobe 宋体 Std L"/>
                <w:sz w:val="16"/>
                <w:szCs w:val="16"/>
              </w:rPr>
            </w:pPr>
            <w:r>
              <w:rPr>
                <w:rFonts w:eastAsia="Adobe 宋体 Std L"/>
                <w:sz w:val="16"/>
                <w:szCs w:val="16"/>
              </w:rPr>
              <w:t>ADNI</w:t>
            </w:r>
          </w:p>
        </w:tc>
        <w:tc>
          <w:tcPr>
            <w:tcW w:w="222" w:type="dxa"/>
            <w:tcBorders>
              <w:top w:val="single" w:sz="4" w:space="0" w:color="000000"/>
              <w:bottom w:val="single" w:sz="4" w:space="0" w:color="000000"/>
            </w:tcBorders>
            <w:shd w:color="auto" w:fill="auto" w:val="clear"/>
            <w:vAlign w:val="center"/>
          </w:tcPr>
          <w:p>
            <w:pPr>
              <w:pStyle w:val="Style15"/>
              <w:rPr>
                <w:rFonts w:eastAsia="Adobe 宋体 Std L"/>
                <w:sz w:val="6"/>
                <w:szCs w:val="6"/>
              </w:rPr>
            </w:pPr>
            <w:r>
              <w:rPr>
                <w:rFonts w:eastAsia="Adobe 宋体 Std L"/>
                <w:sz w:val="6"/>
                <w:szCs w:val="6"/>
              </w:rPr>
            </w:r>
          </w:p>
        </w:tc>
      </w:tr>
      <w:tr>
        <w:trPr>
          <w:trHeight w:val="267" w:hRule="atLeast"/>
        </w:trPr>
        <w:tc>
          <w:tcPr>
            <w:tcW w:w="1093" w:type="dxa"/>
            <w:vMerge w:val="continue"/>
            <w:tcBorders>
              <w:top w:val="single" w:sz="4" w:space="0" w:color="000000"/>
              <w:bottom w:val="single" w:sz="8" w:space="0" w:color="000000"/>
            </w:tcBorders>
            <w:vAlign w:val="center"/>
          </w:tcPr>
          <w:p>
            <w:pPr>
              <w:pStyle w:val="Style15"/>
              <w:rPr>
                <w:rFonts w:eastAsia="Adobe 宋体 Std L"/>
                <w:sz w:val="16"/>
                <w:szCs w:val="16"/>
              </w:rPr>
            </w:pPr>
            <w:r>
              <w:rPr>
                <w:rFonts w:eastAsia="Adobe 宋体 Std L"/>
                <w:sz w:val="16"/>
                <w:szCs w:val="16"/>
              </w:rPr>
            </w:r>
          </w:p>
        </w:tc>
        <w:tc>
          <w:tcPr>
            <w:tcW w:w="873"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Fonts w:eastAsia="Adobe 宋体 Std L"/>
                <w:sz w:val="16"/>
                <w:szCs w:val="16"/>
              </w:rPr>
              <w:t>Dice</w:t>
            </w:r>
          </w:p>
        </w:tc>
        <w:tc>
          <w:tcPr>
            <w:tcW w:w="1169"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Adobe 宋体 Std L"/>
                <w:sz w:val="16"/>
                <w:szCs w:val="16"/>
              </w:rPr>
              <w:t>(%)</w:t>
            </w:r>
          </w:p>
        </w:tc>
        <w:tc>
          <w:tcPr>
            <w:tcW w:w="873"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Fonts w:eastAsia="Adobe 宋体 Std L"/>
                <w:sz w:val="16"/>
                <w:szCs w:val="16"/>
              </w:rPr>
              <w:t>Dice</w:t>
            </w:r>
          </w:p>
        </w:tc>
        <w:tc>
          <w:tcPr>
            <w:tcW w:w="1104"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Adobe 宋体 Std L"/>
                <w:sz w:val="16"/>
                <w:szCs w:val="16"/>
              </w:rPr>
              <w:t>(%)</w:t>
            </w:r>
          </w:p>
        </w:tc>
        <w:tc>
          <w:tcPr>
            <w:tcW w:w="873"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Fonts w:eastAsia="Adobe 宋体 Std L"/>
                <w:sz w:val="16"/>
                <w:szCs w:val="16"/>
              </w:rPr>
              <w:t>Dice</w:t>
            </w:r>
          </w:p>
        </w:tc>
        <w:tc>
          <w:tcPr>
            <w:tcW w:w="1204"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Adobe 宋体 Std L"/>
                <w:sz w:val="16"/>
                <w:szCs w:val="16"/>
              </w:rPr>
              <w:t>(%)</w:t>
            </w:r>
          </w:p>
        </w:tc>
        <w:tc>
          <w:tcPr>
            <w:tcW w:w="873"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Fonts w:eastAsia="Adobe 宋体 Std L"/>
                <w:sz w:val="16"/>
                <w:szCs w:val="16"/>
              </w:rPr>
              <w:t>Dice</w:t>
            </w:r>
          </w:p>
        </w:tc>
        <w:tc>
          <w:tcPr>
            <w:tcW w:w="1205" w:type="dxa"/>
            <w:tcBorders>
              <w:top w:val="single" w:sz="4" w:space="0" w:color="000000"/>
              <w:bottom w:val="single" w:sz="8" w:space="0" w:color="000000"/>
            </w:tcBorders>
            <w:shd w:color="auto" w:fill="auto" w:val="clear"/>
            <w:vAlign w:val="center"/>
          </w:tcPr>
          <w:p>
            <w:pPr>
              <w:pStyle w:val="Style15"/>
              <w:rPr>
                <w:rFonts w:eastAsia="Adobe 宋体 Std L"/>
                <w:sz w:val="16"/>
                <w:szCs w:val="16"/>
              </w:rPr>
            </w:pPr>
            <w:r>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Adobe 宋体 Std L"/>
                <w:sz w:val="16"/>
                <w:szCs w:val="16"/>
              </w:rPr>
              <w:t>(%)</w:t>
            </w:r>
          </w:p>
        </w:tc>
        <w:tc>
          <w:tcPr>
            <w:tcW w:w="222" w:type="dxa"/>
            <w:tcBorders>
              <w:top w:val="single" w:sz="4" w:space="0" w:color="000000"/>
              <w:bottom w:val="single" w:sz="4" w:space="0" w:color="000000"/>
            </w:tcBorders>
            <w:shd w:color="auto" w:fill="auto" w:val="clear"/>
            <w:vAlign w:val="center"/>
          </w:tcPr>
          <w:p>
            <w:pPr>
              <w:pStyle w:val="Style15"/>
              <w:rPr>
                <w:rFonts w:eastAsia="Adobe 宋体 Std L"/>
                <w:sz w:val="6"/>
                <w:szCs w:val="6"/>
              </w:rPr>
            </w:pPr>
            <w:r>
              <w:rPr>
                <w:rFonts w:eastAsia="Adobe 宋体 Std L"/>
                <w:sz w:val="6"/>
                <w:szCs w:val="6"/>
              </w:rPr>
            </w:r>
          </w:p>
        </w:tc>
      </w:tr>
      <w:tr>
        <w:trPr>
          <w:trHeight w:val="267" w:hRule="atLeast"/>
        </w:trPr>
        <w:tc>
          <w:tcPr>
            <w:tcW w:w="1093" w:type="dxa"/>
            <w:tcBorders>
              <w:top w:val="single" w:sz="8" w:space="0" w:color="000000"/>
            </w:tcBorders>
            <w:shd w:color="auto" w:fill="auto" w:val="clear"/>
            <w:vAlign w:val="center"/>
          </w:tcPr>
          <w:p>
            <w:pPr>
              <w:pStyle w:val="Style15"/>
              <w:rPr>
                <w:rFonts w:eastAsia="Adobe 宋体 Std L"/>
                <w:sz w:val="16"/>
                <w:szCs w:val="16"/>
              </w:rPr>
            </w:pPr>
            <w:r>
              <w:rPr>
                <w:rFonts w:eastAsia="Adobe 宋体 Std L"/>
                <w:sz w:val="16"/>
                <w:szCs w:val="16"/>
              </w:rPr>
              <w:t>Affine</w:t>
            </w:r>
          </w:p>
        </w:tc>
        <w:tc>
          <w:tcPr>
            <w:tcW w:w="873"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0.539±0.042</w:t>
            </w:r>
          </w:p>
        </w:tc>
        <w:tc>
          <w:tcPr>
            <w:tcW w:w="1169"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w:t>
            </w:r>
          </w:p>
        </w:tc>
        <w:tc>
          <w:tcPr>
            <w:tcW w:w="873"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0.494±0.071</w:t>
            </w:r>
          </w:p>
        </w:tc>
        <w:tc>
          <w:tcPr>
            <w:tcW w:w="1104"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w:t>
            </w:r>
          </w:p>
        </w:tc>
        <w:tc>
          <w:tcPr>
            <w:tcW w:w="873"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0.407±0.023</w:t>
            </w:r>
          </w:p>
        </w:tc>
        <w:tc>
          <w:tcPr>
            <w:tcW w:w="1204"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w:t>
            </w:r>
          </w:p>
        </w:tc>
        <w:tc>
          <w:tcPr>
            <w:tcW w:w="873"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0.416±0.077</w:t>
            </w:r>
          </w:p>
        </w:tc>
        <w:tc>
          <w:tcPr>
            <w:tcW w:w="1205" w:type="dxa"/>
            <w:tcBorders>
              <w:top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w:t>
            </w:r>
          </w:p>
        </w:tc>
        <w:tc>
          <w:tcPr>
            <w:tcW w:w="222" w:type="dxa"/>
            <w:tcBorders>
              <w:top w:val="single" w:sz="4" w:space="0" w:color="000000"/>
            </w:tcBorders>
            <w:shd w:color="auto" w:fill="auto" w:val="clear"/>
            <w:vAlign w:val="center"/>
          </w:tcPr>
          <w:p>
            <w:pPr>
              <w:pStyle w:val="Style15"/>
              <w:rPr>
                <w:rFonts w:eastAsia="Adobe 宋体 Std L"/>
                <w:sz w:val="6"/>
                <w:szCs w:val="6"/>
              </w:rPr>
            </w:pPr>
            <w:r>
              <w:rPr>
                <w:rFonts w:eastAsia="Adobe 宋体 Std L"/>
                <w:sz w:val="6"/>
                <w:szCs w:val="6"/>
              </w:rPr>
            </w:r>
          </w:p>
        </w:tc>
      </w:tr>
      <w:tr>
        <w:trPr>
          <w:trHeight w:val="267" w:hRule="atLeast"/>
        </w:trPr>
        <w:tc>
          <w:tcPr>
            <w:tcW w:w="1093" w:type="dxa"/>
            <w:tcBorders/>
            <w:shd w:color="auto" w:fill="auto" w:val="clear"/>
            <w:vAlign w:val="center"/>
          </w:tcPr>
          <w:p>
            <w:pPr>
              <w:pStyle w:val="Style15"/>
              <w:rPr>
                <w:rFonts w:eastAsia="Adobe 宋体 Std L"/>
                <w:sz w:val="16"/>
                <w:szCs w:val="16"/>
              </w:rPr>
            </w:pPr>
            <w:r>
              <w:rPr>
                <w:rFonts w:eastAsia="Adobe 宋体 Std L"/>
                <w:sz w:val="16"/>
                <w:szCs w:val="16"/>
              </w:rPr>
              <w:t>SyN</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0.695±0.009</w:t>
            </w:r>
          </w:p>
        </w:tc>
        <w:tc>
          <w:tcPr>
            <w:tcW w:w="1169"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5.70e-4±1.037e-3</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0.745±0.034</w:t>
            </w:r>
          </w:p>
        </w:tc>
        <w:tc>
          <w:tcPr>
            <w:tcW w:w="1104"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0.022±0.016</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0.546±0.032</w:t>
            </w:r>
          </w:p>
        </w:tc>
        <w:tc>
          <w:tcPr>
            <w:tcW w:w="1204"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1.378e-3±4.332e-3</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0.548±0.055</w:t>
            </w:r>
          </w:p>
        </w:tc>
        <w:tc>
          <w:tcPr>
            <w:tcW w:w="1205"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3.184e-3±5.696e-3</w:t>
            </w:r>
          </w:p>
        </w:tc>
        <w:tc>
          <w:tcPr>
            <w:tcW w:w="222" w:type="dxa"/>
            <w:tcBorders/>
            <w:shd w:color="auto" w:fill="auto" w:val="clear"/>
            <w:vAlign w:val="center"/>
          </w:tcPr>
          <w:p>
            <w:pPr>
              <w:pStyle w:val="Style15"/>
              <w:rPr>
                <w:rFonts w:eastAsia="Adobe 宋体 Std L"/>
                <w:sz w:val="6"/>
                <w:szCs w:val="6"/>
              </w:rPr>
            </w:pPr>
            <w:r>
              <w:rPr>
                <w:rFonts w:eastAsia="Adobe 宋体 Std L"/>
                <w:sz w:val="6"/>
                <w:szCs w:val="6"/>
              </w:rPr>
            </w:r>
          </w:p>
        </w:tc>
      </w:tr>
      <w:tr>
        <w:trPr>
          <w:trHeight w:val="267" w:hRule="atLeast"/>
        </w:trPr>
        <w:tc>
          <w:tcPr>
            <w:tcW w:w="1093" w:type="dxa"/>
            <w:tcBorders/>
            <w:shd w:color="auto" w:fill="auto" w:val="clear"/>
            <w:vAlign w:val="center"/>
          </w:tcPr>
          <w:p>
            <w:pPr>
              <w:pStyle w:val="Style15"/>
              <w:rPr>
                <w:rFonts w:eastAsia="Adobe 宋体 Std L"/>
                <w:sz w:val="16"/>
                <w:szCs w:val="16"/>
              </w:rPr>
            </w:pPr>
            <w:r>
              <w:rPr>
                <w:rFonts w:eastAsia="Adobe 宋体 Std L"/>
                <w:sz w:val="16"/>
                <w:szCs w:val="16"/>
              </w:rPr>
              <w:t>VoxcelMorph</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0.685±0.021</w:t>
            </w:r>
          </w:p>
        </w:tc>
        <w:tc>
          <w:tcPr>
            <w:tcW w:w="1169"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0.0324±3.0908e-3</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0.784±0.025</w:t>
            </w:r>
          </w:p>
        </w:tc>
        <w:tc>
          <w:tcPr>
            <w:tcW w:w="1104"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0.034±6.0143e-3</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0.581±0.022</w:t>
            </w:r>
          </w:p>
        </w:tc>
        <w:tc>
          <w:tcPr>
            <w:tcW w:w="1204"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0.048±9.806e-3</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0.601±0.045</w:t>
            </w:r>
          </w:p>
        </w:tc>
        <w:tc>
          <w:tcPr>
            <w:tcW w:w="1205"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0.045±0.012</w:t>
            </w:r>
          </w:p>
        </w:tc>
        <w:tc>
          <w:tcPr>
            <w:tcW w:w="222" w:type="dxa"/>
            <w:tcBorders/>
            <w:shd w:color="auto" w:fill="auto" w:val="clear"/>
            <w:vAlign w:val="center"/>
          </w:tcPr>
          <w:p>
            <w:pPr>
              <w:pStyle w:val="Style15"/>
              <w:rPr>
                <w:rFonts w:eastAsia="Adobe 宋体 Std L"/>
                <w:sz w:val="6"/>
                <w:szCs w:val="6"/>
              </w:rPr>
            </w:pPr>
            <w:r>
              <w:rPr>
                <w:rFonts w:eastAsia="Adobe 宋体 Std L"/>
                <w:sz w:val="6"/>
                <w:szCs w:val="6"/>
              </w:rPr>
            </w:r>
          </w:p>
        </w:tc>
      </w:tr>
      <w:tr>
        <w:trPr>
          <w:trHeight w:val="267" w:hRule="atLeast"/>
        </w:trPr>
        <w:tc>
          <w:tcPr>
            <w:tcW w:w="1093" w:type="dxa"/>
            <w:tcBorders/>
            <w:shd w:color="auto" w:fill="auto" w:val="clear"/>
            <w:vAlign w:val="center"/>
          </w:tcPr>
          <w:p>
            <w:pPr>
              <w:pStyle w:val="Style15"/>
              <w:rPr>
                <w:rFonts w:eastAsia="Adobe 宋体 Std L"/>
                <w:sz w:val="16"/>
                <w:szCs w:val="16"/>
              </w:rPr>
            </w:pPr>
            <w:r>
              <w:rPr>
                <w:rFonts w:eastAsia="Adobe 宋体 Std L"/>
                <w:sz w:val="16"/>
                <w:szCs w:val="16"/>
              </w:rPr>
              <w:t>SYMNet</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0.656±0.028</w:t>
            </w:r>
          </w:p>
        </w:tc>
        <w:tc>
          <w:tcPr>
            <w:tcW w:w="1169" w:type="dxa"/>
            <w:tcBorders/>
            <w:shd w:color="auto" w:fill="auto" w:val="clear"/>
            <w:vAlign w:val="center"/>
          </w:tcPr>
          <w:p>
            <w:pPr>
              <w:pStyle w:val="Style15"/>
              <w:rPr>
                <w:rFonts w:eastAsia="Adobe 宋体 Std L" w:cs="Times New Roman"/>
                <w:b/>
                <w:b/>
                <w:sz w:val="13"/>
                <w:szCs w:val="13"/>
              </w:rPr>
            </w:pPr>
            <w:r>
              <w:rPr>
                <w:rFonts w:cs="Times New Roman" w:eastAsia="Adobe 宋体 Std L"/>
                <w:b/>
                <w:sz w:val="13"/>
                <w:szCs w:val="13"/>
              </w:rPr>
              <w:t>＜</w:t>
            </w:r>
            <w:r>
              <w:rPr>
                <w:rFonts w:eastAsia="Adobe 宋体 Std L" w:cs="Times New Roman"/>
                <w:b/>
                <w:sz w:val="13"/>
                <w:szCs w:val="13"/>
              </w:rPr>
              <w:t>0.0001</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0.762±0.038</w:t>
            </w:r>
          </w:p>
        </w:tc>
        <w:tc>
          <w:tcPr>
            <w:tcW w:w="1104" w:type="dxa"/>
            <w:tcBorders/>
            <w:shd w:color="auto" w:fill="auto" w:val="clear"/>
            <w:vAlign w:val="center"/>
          </w:tcPr>
          <w:p>
            <w:pPr>
              <w:pStyle w:val="Style15"/>
              <w:rPr>
                <w:rFonts w:eastAsia="Adobe 宋体 Std L" w:cs="Times New Roman"/>
                <w:b/>
                <w:b/>
                <w:sz w:val="13"/>
                <w:szCs w:val="13"/>
              </w:rPr>
            </w:pPr>
            <w:r>
              <w:rPr>
                <w:rFonts w:cs="Times New Roman" w:eastAsia="Adobe 宋体 Std L"/>
                <w:b/>
                <w:sz w:val="13"/>
                <w:szCs w:val="13"/>
              </w:rPr>
              <w:t>＜</w:t>
            </w:r>
            <w:r>
              <w:rPr>
                <w:rFonts w:eastAsia="Adobe 宋体 Std L" w:cs="Times New Roman"/>
                <w:b/>
                <w:sz w:val="13"/>
                <w:szCs w:val="13"/>
              </w:rPr>
              <w:t>0.0001</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0.596±0.025</w:t>
            </w:r>
          </w:p>
        </w:tc>
        <w:tc>
          <w:tcPr>
            <w:tcW w:w="1204" w:type="dxa"/>
            <w:tcBorders/>
            <w:shd w:color="auto" w:fill="auto" w:val="clear"/>
            <w:vAlign w:val="center"/>
          </w:tcPr>
          <w:p>
            <w:pPr>
              <w:pStyle w:val="Style15"/>
              <w:rPr>
                <w:rFonts w:eastAsia="Adobe 宋体 Std L" w:cs="Times New Roman"/>
                <w:b/>
                <w:b/>
                <w:sz w:val="13"/>
                <w:szCs w:val="13"/>
              </w:rPr>
            </w:pPr>
            <w:r>
              <w:rPr>
                <w:rFonts w:cs="Times New Roman" w:eastAsia="Adobe 宋体 Std L"/>
                <w:b/>
                <w:sz w:val="13"/>
                <w:szCs w:val="13"/>
              </w:rPr>
              <w:t>＜</w:t>
            </w:r>
            <w:r>
              <w:rPr>
                <w:rFonts w:eastAsia="Adobe 宋体 Std L" w:cs="Times New Roman"/>
                <w:b/>
                <w:sz w:val="13"/>
                <w:szCs w:val="13"/>
              </w:rPr>
              <w:t>0.0001</w:t>
            </w:r>
          </w:p>
        </w:tc>
        <w:tc>
          <w:tcPr>
            <w:tcW w:w="873" w:type="dxa"/>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0.580±0.050</w:t>
            </w:r>
          </w:p>
        </w:tc>
        <w:tc>
          <w:tcPr>
            <w:tcW w:w="1205" w:type="dxa"/>
            <w:tcBorders/>
            <w:shd w:color="auto" w:fill="auto" w:val="clear"/>
            <w:vAlign w:val="center"/>
          </w:tcPr>
          <w:p>
            <w:pPr>
              <w:pStyle w:val="Style15"/>
              <w:rPr>
                <w:rFonts w:eastAsia="Adobe 宋体 Std L" w:cs="Times New Roman"/>
                <w:b/>
                <w:b/>
                <w:sz w:val="13"/>
                <w:szCs w:val="13"/>
              </w:rPr>
            </w:pPr>
            <w:r>
              <w:rPr>
                <w:rFonts w:cs="Times New Roman" w:eastAsia="Adobe 宋体 Std L"/>
                <w:b/>
                <w:sz w:val="13"/>
                <w:szCs w:val="13"/>
              </w:rPr>
              <w:t>＜</w:t>
            </w:r>
            <w:r>
              <w:rPr>
                <w:rFonts w:eastAsia="Adobe 宋体 Std L" w:cs="Times New Roman"/>
                <w:b/>
                <w:sz w:val="13"/>
                <w:szCs w:val="13"/>
              </w:rPr>
              <w:t>0.0001</w:t>
            </w:r>
          </w:p>
        </w:tc>
        <w:tc>
          <w:tcPr>
            <w:tcW w:w="222" w:type="dxa"/>
            <w:tcBorders/>
            <w:shd w:color="auto" w:fill="auto" w:val="clear"/>
            <w:vAlign w:val="center"/>
          </w:tcPr>
          <w:p>
            <w:pPr>
              <w:pStyle w:val="Style15"/>
              <w:rPr>
                <w:rFonts w:eastAsia="Adobe 宋体 Std L"/>
                <w:sz w:val="6"/>
                <w:szCs w:val="6"/>
              </w:rPr>
            </w:pPr>
            <w:r>
              <w:rPr>
                <w:rFonts w:eastAsia="Adobe 宋体 Std L"/>
                <w:sz w:val="6"/>
                <w:szCs w:val="6"/>
              </w:rPr>
            </w:r>
          </w:p>
        </w:tc>
      </w:tr>
      <w:tr>
        <w:trPr>
          <w:trHeight w:val="267" w:hRule="atLeast"/>
        </w:trPr>
        <w:tc>
          <w:tcPr>
            <w:tcW w:w="1093" w:type="dxa"/>
            <w:tcBorders>
              <w:bottom w:val="single" w:sz="8" w:space="0" w:color="000000"/>
            </w:tcBorders>
            <w:shd w:color="auto" w:fill="auto" w:val="clear"/>
            <w:vAlign w:val="center"/>
          </w:tcPr>
          <w:p>
            <w:pPr>
              <w:pStyle w:val="Style15"/>
              <w:rPr>
                <w:rFonts w:eastAsia="Adobe 宋体 Std L"/>
                <w:sz w:val="16"/>
                <w:szCs w:val="16"/>
              </w:rPr>
            </w:pPr>
            <w:r>
              <w:rPr>
                <w:rFonts w:eastAsia="Adobe 宋体 Std L"/>
                <w:sz w:val="16"/>
                <w:szCs w:val="16"/>
              </w:rPr>
              <w:t>ours</w:t>
            </w:r>
          </w:p>
        </w:tc>
        <w:tc>
          <w:tcPr>
            <w:tcW w:w="873" w:type="dxa"/>
            <w:tcBorders>
              <w:bottom w:val="single" w:sz="8" w:space="0" w:color="000000"/>
            </w:tcBorders>
            <w:shd w:color="auto" w:fill="auto" w:val="clear"/>
            <w:vAlign w:val="center"/>
          </w:tcPr>
          <w:p>
            <w:pPr>
              <w:pStyle w:val="Style15"/>
              <w:rPr>
                <w:rFonts w:eastAsia="Adobe 宋体 Std L" w:cs="Times New Roman"/>
                <w:b/>
                <w:b/>
                <w:sz w:val="13"/>
                <w:szCs w:val="13"/>
              </w:rPr>
            </w:pPr>
            <w:r>
              <w:rPr>
                <w:rFonts w:eastAsia="Adobe 宋体 Std L" w:cs="Times New Roman"/>
                <w:b/>
                <w:sz w:val="13"/>
                <w:szCs w:val="13"/>
              </w:rPr>
              <w:t>0.699±0.020</w:t>
            </w:r>
          </w:p>
        </w:tc>
        <w:tc>
          <w:tcPr>
            <w:tcW w:w="1169" w:type="dxa"/>
            <w:tcBorders>
              <w:bottom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0.0441±4.978e-3</w:t>
            </w:r>
          </w:p>
        </w:tc>
        <w:tc>
          <w:tcPr>
            <w:tcW w:w="873" w:type="dxa"/>
            <w:tcBorders>
              <w:bottom w:val="single" w:sz="8" w:space="0" w:color="000000"/>
            </w:tcBorders>
            <w:shd w:color="auto" w:fill="auto" w:val="clear"/>
            <w:vAlign w:val="center"/>
          </w:tcPr>
          <w:p>
            <w:pPr>
              <w:pStyle w:val="Style15"/>
              <w:jc w:val="left"/>
              <w:rPr>
                <w:rFonts w:eastAsia="Adobe 宋体 Std L" w:cs="Times New Roman"/>
                <w:b/>
                <w:b/>
                <w:sz w:val="13"/>
                <w:szCs w:val="13"/>
              </w:rPr>
            </w:pPr>
            <w:r>
              <w:rPr>
                <w:rFonts w:eastAsia="Adobe 宋体 Std L" w:cs="Times New Roman"/>
                <w:b/>
                <w:sz w:val="13"/>
                <w:szCs w:val="13"/>
              </w:rPr>
              <w:t>0.799±0.023</w:t>
            </w:r>
          </w:p>
        </w:tc>
        <w:tc>
          <w:tcPr>
            <w:tcW w:w="1104" w:type="dxa"/>
            <w:tcBorders>
              <w:bottom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0.168±0.015</w:t>
            </w:r>
          </w:p>
        </w:tc>
        <w:tc>
          <w:tcPr>
            <w:tcW w:w="873" w:type="dxa"/>
            <w:tcBorders>
              <w:bottom w:val="single" w:sz="8" w:space="0" w:color="000000"/>
            </w:tcBorders>
            <w:shd w:color="auto" w:fill="auto" w:val="clear"/>
            <w:vAlign w:val="center"/>
          </w:tcPr>
          <w:p>
            <w:pPr>
              <w:pStyle w:val="Style15"/>
              <w:rPr>
                <w:rFonts w:eastAsia="Adobe 宋体 Std L" w:cs="Times New Roman"/>
                <w:b/>
                <w:b/>
                <w:sz w:val="13"/>
                <w:szCs w:val="13"/>
              </w:rPr>
            </w:pPr>
            <w:r>
              <w:rPr>
                <w:rFonts w:eastAsia="Adobe 宋体 Std L" w:cs="Times New Roman"/>
                <w:b/>
                <w:sz w:val="13"/>
                <w:szCs w:val="13"/>
              </w:rPr>
              <w:t>0.645±0.017</w:t>
            </w:r>
          </w:p>
        </w:tc>
        <w:tc>
          <w:tcPr>
            <w:tcW w:w="1204" w:type="dxa"/>
            <w:tcBorders>
              <w:bottom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0.412±0.050</w:t>
            </w:r>
          </w:p>
        </w:tc>
        <w:tc>
          <w:tcPr>
            <w:tcW w:w="873" w:type="dxa"/>
            <w:tcBorders>
              <w:bottom w:val="single" w:sz="8" w:space="0" w:color="000000"/>
            </w:tcBorders>
            <w:shd w:color="auto" w:fill="auto" w:val="clear"/>
            <w:vAlign w:val="center"/>
          </w:tcPr>
          <w:p>
            <w:pPr>
              <w:pStyle w:val="Style15"/>
              <w:rPr>
                <w:rFonts w:eastAsia="Adobe 宋体 Std L" w:cs="Times New Roman"/>
                <w:b/>
                <w:b/>
                <w:sz w:val="13"/>
                <w:szCs w:val="13"/>
              </w:rPr>
            </w:pPr>
            <w:r>
              <w:rPr>
                <w:rFonts w:eastAsia="Adobe 宋体 Std L" w:cs="Times New Roman"/>
                <w:b/>
                <w:sz w:val="13"/>
                <w:szCs w:val="13"/>
              </w:rPr>
              <w:t>0.635±0.038</w:t>
            </w:r>
          </w:p>
        </w:tc>
        <w:tc>
          <w:tcPr>
            <w:tcW w:w="1205" w:type="dxa"/>
            <w:tcBorders>
              <w:bottom w:val="single" w:sz="8" w:space="0" w:color="000000"/>
            </w:tcBorders>
            <w:shd w:color="auto" w:fill="auto" w:val="clear"/>
            <w:vAlign w:val="center"/>
          </w:tcPr>
          <w:p>
            <w:pPr>
              <w:pStyle w:val="Style15"/>
              <w:rPr>
                <w:rFonts w:eastAsia="Adobe 宋体 Std L" w:cs="Times New Roman"/>
                <w:sz w:val="13"/>
                <w:szCs w:val="13"/>
              </w:rPr>
            </w:pPr>
            <w:r>
              <w:rPr>
                <w:rFonts w:eastAsia="Adobe 宋体 Std L" w:cs="Times New Roman"/>
                <w:sz w:val="13"/>
                <w:szCs w:val="13"/>
              </w:rPr>
              <w:t>0.344±0.089</w:t>
            </w:r>
          </w:p>
        </w:tc>
        <w:tc>
          <w:tcPr>
            <w:tcW w:w="222" w:type="dxa"/>
            <w:tcBorders/>
            <w:shd w:color="auto" w:fill="auto" w:val="clear"/>
            <w:vAlign w:val="center"/>
          </w:tcPr>
          <w:p>
            <w:pPr>
              <w:pStyle w:val="Style15"/>
              <w:rPr>
                <w:rFonts w:eastAsia="Adobe 宋体 Std L"/>
                <w:sz w:val="6"/>
                <w:szCs w:val="6"/>
              </w:rPr>
            </w:pPr>
            <w:r>
              <w:rPr>
                <w:rFonts w:eastAsia="Adobe 宋体 Std L"/>
                <w:sz w:val="6"/>
                <w:szCs w:val="6"/>
              </w:rPr>
            </w:r>
          </w:p>
        </w:tc>
      </w:tr>
    </w:tbl>
    <w:p>
      <w:pPr>
        <w:pStyle w:val="Normal"/>
        <w:rPr/>
      </w:pPr>
      <w:bookmarkStart w:id="19" w:name="_Hlk1401730951"/>
      <w:bookmarkEnd w:id="19"/>
      <w:r>
        <w:rPr/>
        <w:t xml:space="preserve">To compare our proposed dual-stream architecture with the single-stream network structure commonly used by networks like VoxelMorph, we only activate the encoder-decoder channel corresponding to intensity images during testing, without requiring label information. As shown in </w:t>
      </w:r>
      <w:r>
        <w:rPr/>
        <w:fldChar w:fldCharType="begin"/>
      </w:r>
      <w:r>
        <w:rPr/>
        <w:instrText> REF _Ref150782701 \h </w:instrText>
      </w:r>
      <w:r>
        <w:rPr/>
        <w:fldChar w:fldCharType="separate"/>
      </w:r>
      <w:r>
        <w:rPr/>
      </w:r>
      <w:r>
        <w:rPr/>
        <w:fldChar w:fldCharType="end"/>
      </w:r>
      <w:r>
        <w:rPr/>
        <w:t xml:space="preserve">, both the deep learning-based registration methods VoxelMorph and SYMNet show improvements in registration performance compared to the traditional registration method SYN, our method achieved a mean Dice score of 0.699 on LPBA40, 0.799 on OASIS-1, 0.645 on OASIS-3, and 0.635 on ADNI. The proposed dual-stream architecture exhibits enhancements over the single-stream counterpart, with performance improvements of +2.0%, +1.9%, +11.0%, and +5.7%, respectively. Our method demonstrates the best performance across four public datasets in terms of the average Dice score, particularly in the OASIS-3 and ADNI datasets. </w:t>
      </w:r>
    </w:p>
    <w:p>
      <w:pPr>
        <w:pStyle w:val="Normal"/>
        <w:rPr/>
      </w:pPr>
      <w:r>
        <w:rPr/>
        <w:t>Results of the Jacobian determinant indicate that our method is inferior to SYMNet in terms of the smooth deformation field. This distinction arises from SYMNet's integration of the diffeomorphism concept. SYMNet incorporates velocity field at different times to perform positive and negative bidirectional registration to obtain the final deformation. During this process, the deformation remains entirely reversible, resulting in a smooth deformation field. Although we also employ the direction consistency module to constrain the topological invariance for the deformation field, its impact is more prominently for the improvement of Dice score.</w:t>
      </w:r>
    </w:p>
    <w:p>
      <w:pPr>
        <w:pStyle w:val="Normal"/>
        <w:rPr/>
      </w:pPr>
      <w:r>
        <w:rPr/>
        <w:t>As we did not uniformly preprocess all datasets, we present the results for thirteen different anatomical structures on each of the four datasets. Dice scores for each anatomical structure on the four datasets are depicted in Fig. 3-6. These results reveal that our method outperforms other methods on the majority of anatomical structures, especially in the TMP, SFG, SMG, and SMC regions of OASIS-3 and ADNI datasets.</w:t>
      </w:r>
    </w:p>
    <w:p>
      <w:pPr>
        <w:pStyle w:val="Normal"/>
        <w:rPr/>
      </w:pPr>
      <w:r>
        <w:rPr/>
      </w:r>
    </w:p>
    <w:p>
      <w:pPr>
        <w:pStyle w:val="Caption1"/>
        <w:rPr>
          <w:b w:val="false"/>
          <w:b w:val="false"/>
          <w:bCs/>
        </w:rPr>
      </w:pPr>
      <w:bookmarkStart w:id="20" w:name="_Ref150787785"/>
      <w:bookmarkEnd w:id="20"/>
      <w:r>
        <w:rPr/>
        <w:drawing>
          <wp:inline distT="0" distB="0" distL="0" distR="0">
            <wp:extent cx="4165600" cy="2346325"/>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100"/>
                    <a:stretch>
                      <a:fillRect/>
                    </a:stretch>
                  </pic:blipFill>
                  <pic:spPr bwMode="auto">
                    <a:xfrm>
                      <a:off x="0" y="0"/>
                      <a:ext cx="4165600" cy="2346325"/>
                    </a:xfrm>
                    <a:prstGeom prst="rect">
                      <a:avLst/>
                    </a:prstGeom>
                  </pic:spPr>
                </pic:pic>
              </a:graphicData>
            </a:graphic>
          </wp:inline>
        </w:drawing>
      </w:r>
    </w:p>
    <w:p>
      <w:pPr>
        <w:pStyle w:val="Caption1"/>
        <w:jc w:val="both"/>
        <w:rPr>
          <w:b w:val="false"/>
          <w:b w:val="false"/>
          <w:bCs/>
          <w:color w:val="000000" w:themeColor="text1"/>
        </w:rPr>
      </w:pPr>
      <w:bookmarkStart w:id="21" w:name="_Ref1507877851"/>
      <w:bookmarkStart w:id="22" w:name="_Ref150787942"/>
      <w:bookmarkEnd w:id="21"/>
      <w:r>
        <w:rPr/>
        <w:t xml:space="preserve">Figure </w:t>
      </w:r>
      <w:r>
        <w:rPr/>
        <w:fldChar w:fldCharType="begin"/>
      </w:r>
      <w:r>
        <w:rPr/>
        <w:instrText> SEQ Figure \* ARABIC </w:instrText>
      </w:r>
      <w:r>
        <w:rPr/>
        <w:fldChar w:fldCharType="separate"/>
      </w:r>
      <w:r>
        <w:rPr/>
        <w:t>3</w:t>
      </w:r>
      <w:r>
        <w:rPr/>
        <w:fldChar w:fldCharType="end"/>
      </w:r>
      <w:bookmarkEnd w:id="22"/>
      <w:r>
        <w:rPr/>
        <w:t xml:space="preserve">: </w:t>
      </w:r>
      <w:r>
        <w:rPr>
          <w:b w:val="false"/>
          <w:bCs/>
          <w:color w:val="000000" w:themeColor="text1"/>
        </w:rPr>
        <w:t>The Dice scores for each anatomical structure achieved by Affine, SyN, SYMNet, VoxelMorph, and our method (Dual-VoxelMorph) on the LPBA40 dataset. For visualization purposes, the left-right symmetrical structure of the brain takes its mean value.</w:t>
      </w:r>
    </w:p>
    <w:p>
      <w:pPr>
        <w:pStyle w:val="Normal"/>
        <w:rPr/>
      </w:pPr>
      <w:r>
        <w:rPr/>
      </w:r>
    </w:p>
    <w:p>
      <w:pPr>
        <w:pStyle w:val="Normal"/>
        <w:jc w:val="center"/>
        <w:rPr>
          <w:color w:val="000000" w:themeColor="text1"/>
        </w:rPr>
      </w:pPr>
      <w:r>
        <w:rPr/>
        <w:drawing>
          <wp:inline distT="0" distB="0" distL="0" distR="0">
            <wp:extent cx="4925060" cy="272224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01"/>
                    <a:stretch>
                      <a:fillRect/>
                    </a:stretch>
                  </pic:blipFill>
                  <pic:spPr bwMode="auto">
                    <a:xfrm>
                      <a:off x="0" y="0"/>
                      <a:ext cx="4925060" cy="2722245"/>
                    </a:xfrm>
                    <a:prstGeom prst="rect">
                      <a:avLst/>
                    </a:prstGeom>
                  </pic:spPr>
                </pic:pic>
              </a:graphicData>
            </a:graphic>
          </wp:inline>
        </w:drawing>
      </w:r>
    </w:p>
    <w:p>
      <w:pPr>
        <w:pStyle w:val="Caption1"/>
        <w:jc w:val="both"/>
        <w:rPr/>
      </w:pPr>
      <w:bookmarkStart w:id="23" w:name="_Ref150787673"/>
      <w:r>
        <w:rPr/>
        <w:t xml:space="preserve">Figure </w:t>
      </w:r>
      <w:r>
        <w:rPr/>
        <w:fldChar w:fldCharType="begin"/>
      </w:r>
      <w:r>
        <w:rPr/>
        <w:instrText> SEQ Figure \* ARABIC </w:instrText>
      </w:r>
      <w:r>
        <w:rPr/>
        <w:fldChar w:fldCharType="separate"/>
      </w:r>
      <w:r>
        <w:rPr/>
        <w:t>4</w:t>
      </w:r>
      <w:r>
        <w:rPr/>
        <w:fldChar w:fldCharType="end"/>
      </w:r>
      <w:bookmarkEnd w:id="23"/>
      <w:r>
        <w:rPr/>
        <w:t xml:space="preserve">: </w:t>
      </w:r>
      <w:r>
        <w:rPr>
          <w:b w:val="false"/>
          <w:bCs/>
        </w:rPr>
        <w:t>The Dice scores for each anatomical structure achieved by Affine, SyN, SYMNet, VoxelMorph, and our method (Dual-VoxelMorph) on the OASIS-1 dataset. For visualization purposes, the left-right symmetrical structure of the brain takes its mean value.</w:t>
      </w:r>
    </w:p>
    <w:p>
      <w:pPr>
        <w:pStyle w:val="Normal"/>
        <w:rPr/>
      </w:pPr>
      <w:r>
        <w:rPr/>
      </w:r>
    </w:p>
    <w:p>
      <w:pPr>
        <w:pStyle w:val="Normal"/>
        <w:keepNext w:val="true"/>
        <w:jc w:val="center"/>
        <w:rPr/>
      </w:pPr>
      <w:r>
        <w:rPr/>
        <w:drawing>
          <wp:inline distT="0" distB="0" distL="0" distR="0">
            <wp:extent cx="4940300" cy="239458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2"/>
                    <a:stretch>
                      <a:fillRect/>
                    </a:stretch>
                  </pic:blipFill>
                  <pic:spPr bwMode="auto">
                    <a:xfrm>
                      <a:off x="0" y="0"/>
                      <a:ext cx="4940300" cy="2394585"/>
                    </a:xfrm>
                    <a:prstGeom prst="rect">
                      <a:avLst/>
                    </a:prstGeom>
                  </pic:spPr>
                </pic:pic>
              </a:graphicData>
            </a:graphic>
          </wp:inline>
        </w:drawing>
      </w:r>
    </w:p>
    <w:p>
      <w:pPr>
        <w:pStyle w:val="Caption1"/>
        <w:jc w:val="both"/>
        <w:rPr>
          <w:b w:val="false"/>
          <w:b w:val="false"/>
          <w:bCs/>
        </w:rPr>
      </w:pPr>
      <w:bookmarkStart w:id="24" w:name="_Ref150782651"/>
      <w:r>
        <w:rPr/>
        <w:t xml:space="preserve">Figure </w:t>
      </w:r>
      <w:r>
        <w:rPr/>
        <w:fldChar w:fldCharType="begin"/>
      </w:r>
      <w:r>
        <w:rPr/>
        <w:instrText> SEQ Figure \* ARABIC </w:instrText>
      </w:r>
      <w:r>
        <w:rPr/>
        <w:fldChar w:fldCharType="separate"/>
      </w:r>
      <w:r>
        <w:rPr/>
        <w:t>5</w:t>
      </w:r>
      <w:r>
        <w:rPr/>
        <w:fldChar w:fldCharType="end"/>
      </w:r>
      <w:bookmarkEnd w:id="24"/>
      <w:r>
        <w:rPr/>
        <w:t xml:space="preserve">: </w:t>
      </w:r>
      <w:r>
        <w:rPr>
          <w:b w:val="false"/>
          <w:bCs/>
        </w:rPr>
        <w:t>The Dice scores for each anatomical structure achieved by Affine, SyN, SYMNet, VoxelMorph, and our method (Dual-VoxelMorph) on the OASIS-3 dataset. For visualization purposes, the left-right symmetrical structure of the brain takes its mean value. SPL refers to the superior parietal lobule, SOG refers to superior occipital gyrus, TMP refers to the temporal pole, SFG refers to the superior frontal gyrus, SMG refers to the supramarginal gyrus and SMC refers to the supplementary motor cortex.</w:t>
      </w:r>
    </w:p>
    <w:p>
      <w:pPr>
        <w:pStyle w:val="Normal"/>
        <w:rPr/>
      </w:pPr>
      <w:r>
        <w:rPr/>
      </w:r>
    </w:p>
    <w:p>
      <w:pPr>
        <w:pStyle w:val="Normal"/>
        <w:keepNext w:val="true"/>
        <w:jc w:val="center"/>
        <w:rPr/>
      </w:pPr>
      <w:r>
        <w:rPr/>
        <w:drawing>
          <wp:inline distT="0" distB="0" distL="0" distR="0">
            <wp:extent cx="4954270" cy="2394585"/>
            <wp:effectExtent l="0" t="0" r="0" b="0"/>
            <wp:docPr id="6"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
                    <pic:cNvPicPr>
                      <a:picLocks noChangeAspect="1" noChangeArrowheads="1"/>
                    </pic:cNvPicPr>
                  </pic:nvPicPr>
                  <pic:blipFill>
                    <a:blip r:embed="rId103"/>
                    <a:stretch>
                      <a:fillRect/>
                    </a:stretch>
                  </pic:blipFill>
                  <pic:spPr bwMode="auto">
                    <a:xfrm>
                      <a:off x="0" y="0"/>
                      <a:ext cx="4954270" cy="2394585"/>
                    </a:xfrm>
                    <a:prstGeom prst="rect">
                      <a:avLst/>
                    </a:prstGeom>
                  </pic:spPr>
                </pic:pic>
              </a:graphicData>
            </a:graphic>
          </wp:inline>
        </w:drawing>
      </w:r>
    </w:p>
    <w:p>
      <w:pPr>
        <w:pStyle w:val="Caption1"/>
        <w:jc w:val="both"/>
        <w:rPr>
          <w:b w:val="false"/>
          <w:b w:val="false"/>
          <w:bCs/>
        </w:rPr>
      </w:pPr>
      <w:bookmarkStart w:id="25" w:name="_Ref150782673"/>
      <w:r>
        <w:rPr/>
        <w:t xml:space="preserve">Figure </w:t>
      </w:r>
      <w:r>
        <w:rPr/>
        <w:fldChar w:fldCharType="begin"/>
      </w:r>
      <w:r>
        <w:rPr/>
        <w:instrText> SEQ Figure \* ARABIC </w:instrText>
      </w:r>
      <w:r>
        <w:rPr/>
        <w:fldChar w:fldCharType="separate"/>
      </w:r>
      <w:r>
        <w:rPr/>
        <w:t>6</w:t>
      </w:r>
      <w:r>
        <w:rPr/>
        <w:fldChar w:fldCharType="end"/>
      </w:r>
      <w:bookmarkEnd w:id="25"/>
      <w:r>
        <w:rPr/>
        <w:t xml:space="preserve">: </w:t>
      </w:r>
      <w:r>
        <w:rPr>
          <w:b w:val="false"/>
          <w:bCs/>
        </w:rPr>
        <w:t>The Dice scores for each anatomical structure achieved by Affine, SyN, SYMNet, VoxelMorph, and our method (Dual-VoxelMorph) on the ADNI dataset. For visualization purposes, the left-right symmetrical structure of the brain takes its mean value. SPL refers to the superior parietal lobule, SOG refers to the superior occipital gyrus, TMP refers to the temporal pole, SFG refers to the superior frontal gyrus, SMG refers to the supramarginal gyrus and SMC refers to the supplementary motor cortex.</w:t>
      </w:r>
    </w:p>
    <w:p>
      <w:pPr>
        <w:pStyle w:val="Normal"/>
        <w:widowControl w:val="false"/>
        <w:tabs>
          <w:tab w:val="clear" w:pos="720"/>
          <w:tab w:val="left" w:pos="187" w:leader="none"/>
        </w:tabs>
        <w:snapToGrid w:val="false"/>
        <w:spacing w:before="240" w:after="60"/>
        <w:rPr>
          <w:b/>
          <w:b/>
          <w:i/>
          <w:i/>
          <w:szCs w:val="22"/>
        </w:rPr>
      </w:pPr>
      <w:r>
        <w:rPr>
          <w:b/>
          <w:i/>
          <w:szCs w:val="22"/>
        </w:rPr>
        <w:t>3.4</w:t>
        <w:tab/>
        <w:t>Visualized results and analysis</w:t>
      </w:r>
    </w:p>
    <w:p>
      <w:pPr>
        <w:pStyle w:val="Normal"/>
        <w:keepNext w:val="true"/>
        <w:widowControl w:val="false"/>
        <w:tabs>
          <w:tab w:val="clear" w:pos="720"/>
          <w:tab w:val="left" w:pos="187" w:leader="none"/>
        </w:tabs>
        <w:snapToGrid w:val="false"/>
        <w:spacing w:before="240" w:after="60"/>
        <w:jc w:val="center"/>
        <w:rPr/>
      </w:pPr>
      <w:r>
        <w:rPr/>
        <w:drawing>
          <wp:inline distT="0" distB="0" distL="0" distR="0">
            <wp:extent cx="5159375" cy="4079240"/>
            <wp:effectExtent l="0" t="0" r="0" b="0"/>
            <wp:docPr id="7"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
                    <pic:cNvPicPr>
                      <a:picLocks noChangeAspect="1" noChangeArrowheads="1"/>
                    </pic:cNvPicPr>
                  </pic:nvPicPr>
                  <pic:blipFill>
                    <a:blip r:embed="rId104"/>
                    <a:stretch>
                      <a:fillRect/>
                    </a:stretch>
                  </pic:blipFill>
                  <pic:spPr bwMode="auto">
                    <a:xfrm>
                      <a:off x="0" y="0"/>
                      <a:ext cx="5159375" cy="4079240"/>
                    </a:xfrm>
                    <a:prstGeom prst="rect">
                      <a:avLst/>
                    </a:prstGeom>
                  </pic:spPr>
                </pic:pic>
              </a:graphicData>
            </a:graphic>
          </wp:inline>
        </w:drawing>
      </w:r>
    </w:p>
    <w:p>
      <w:pPr>
        <w:pStyle w:val="Caption1"/>
        <w:jc w:val="both"/>
        <w:rPr>
          <w:b w:val="false"/>
          <w:b w:val="false"/>
          <w:i/>
          <w:i/>
          <w:szCs w:val="22"/>
        </w:rPr>
      </w:pPr>
      <w:bookmarkStart w:id="26" w:name="_Ref150782585"/>
      <w:r>
        <w:rPr/>
        <w:t xml:space="preserve">Figure </w:t>
      </w:r>
      <w:r>
        <w:rPr/>
        <w:fldChar w:fldCharType="begin"/>
      </w:r>
      <w:r>
        <w:rPr/>
        <w:instrText> SEQ Figure \* ARABIC </w:instrText>
      </w:r>
      <w:r>
        <w:rPr/>
        <w:fldChar w:fldCharType="separate"/>
      </w:r>
      <w:r>
        <w:rPr/>
        <w:t>7</w:t>
      </w:r>
      <w:r>
        <w:rPr/>
        <w:fldChar w:fldCharType="end"/>
      </w:r>
      <w:bookmarkStart w:id="27" w:name="_Hlk148277099"/>
      <w:bookmarkEnd w:id="26"/>
      <w:r>
        <w:rPr/>
        <w:t>:</w:t>
      </w:r>
      <w:r>
        <w:rPr>
          <w:b w:val="false"/>
          <w:bCs/>
        </w:rPr>
        <w:t>Results of registration for four subjects in the LPBA40 dataset</w:t>
      </w:r>
      <w:bookmarkEnd w:id="27"/>
      <w:r>
        <w:rPr>
          <w:b w:val="false"/>
          <w:bCs/>
        </w:rPr>
        <w:t>. Each column from left to right is arranged as follows: the moving image, results of SyN, SYMNet, VoxelMorph, our method, and the fixed image. The caudate, cingulate gyrus, cuneus, and insular cortex are colored in rose red (left), milky yellow (right), blue-green (left), dark green (right), turmeric (left), light green (right), milky white (left) and reddish brown(right) respectively.</w:t>
      </w:r>
    </w:p>
    <w:p>
      <w:pPr>
        <w:pStyle w:val="Normal"/>
        <w:rPr>
          <w:color w:val="000000" w:themeColor="text1"/>
        </w:rPr>
      </w:pPr>
      <w:r>
        <w:rPr>
          <w:color w:val="000000" w:themeColor="text1"/>
        </w:rPr>
        <w:t xml:space="preserve">We randomly select four subjects result in the test set for visual display, as shown in </w:t>
      </w:r>
      <w:r>
        <w:rPr>
          <w:b/>
          <w:bCs/>
          <w:color w:val="000000"/>
        </w:rPr>
        <w:fldChar w:fldCharType="begin"/>
      </w:r>
      <w:r>
        <w:rPr>
          <w:b/>
          <w:bCs/>
          <w:color w:val="000000"/>
        </w:rPr>
        <w:instrText> REF _Ref150782585 \h </w:instrText>
      </w:r>
      <w:r>
        <w:rPr>
          <w:b/>
          <w:bCs/>
          <w:color w:val="000000"/>
        </w:rPr>
        <w:fldChar w:fldCharType="separate"/>
      </w:r>
      <w:r>
        <w:rPr>
          <w:b/>
          <w:bCs/>
          <w:color w:val="000000"/>
        </w:rPr>
        <w:t>Figure 7</w:t>
      </w:r>
      <w:r>
        <w:rPr>
          <w:b/>
          <w:bCs/>
          <w:color w:val="000000"/>
        </w:rPr>
        <w:fldChar w:fldCharType="end"/>
      </w:r>
      <w:r>
        <w:rPr>
          <w:color w:val="000000" w:themeColor="text1"/>
        </w:rPr>
        <w:t xml:space="preserve">. Notably, we have outlined the cingulate gyrus with a distinctive red circle for emphasis. It is evident from the figures that, in comparison to other methods, our registration demonstrates superior alignment with the fixed image, particularly in the case of the left cingulate gyrus. In subject 3, the registration result is similar to the VoxclMorph method, but the boundary obtained by our method is smoother. In </w:t>
      </w:r>
      <w:r>
        <w:rPr>
          <w:color w:val="000000"/>
        </w:rPr>
        <w:fldChar w:fldCharType="begin"/>
      </w:r>
      <w:r>
        <w:rPr>
          <w:color w:val="000000"/>
        </w:rPr>
        <w:instrText> REF _Ref150787942 \h </w:instrText>
      </w:r>
      <w:r>
        <w:rPr>
          <w:color w:val="000000"/>
        </w:rPr>
        <w:fldChar w:fldCharType="separate"/>
      </w:r>
      <w:r>
        <w:rPr>
          <w:color w:val="000000"/>
        </w:rPr>
        <w:t>Figure 3</w:t>
      </w:r>
      <w:r>
        <w:rPr>
          <w:color w:val="000000"/>
        </w:rPr>
        <w:fldChar w:fldCharType="end"/>
      </w:r>
      <w:r>
        <w:rPr>
          <w:color w:val="000000" w:themeColor="text1"/>
        </w:rPr>
        <w:t>, the effect of cingulate gyrus (fifth column) is that the Dice score obtained by our method is better than other methods.</w:t>
      </w:r>
    </w:p>
    <w:p>
      <w:pPr>
        <w:pStyle w:val="Normal"/>
        <w:widowControl w:val="false"/>
        <w:tabs>
          <w:tab w:val="clear" w:pos="720"/>
          <w:tab w:val="left" w:pos="187" w:leader="none"/>
        </w:tabs>
        <w:snapToGrid w:val="false"/>
        <w:spacing w:before="240" w:after="60"/>
        <w:rPr>
          <w:b/>
          <w:b/>
          <w:i/>
          <w:i/>
          <w:szCs w:val="22"/>
        </w:rPr>
      </w:pPr>
      <w:r>
        <w:rPr>
          <w:b/>
          <w:i/>
          <w:szCs w:val="22"/>
        </w:rPr>
      </w:r>
    </w:p>
    <w:p>
      <w:pPr>
        <w:pStyle w:val="Normal"/>
        <w:keepNext w:val="true"/>
        <w:widowControl w:val="false"/>
        <w:tabs>
          <w:tab w:val="clear" w:pos="720"/>
          <w:tab w:val="left" w:pos="187" w:leader="none"/>
        </w:tabs>
        <w:snapToGrid w:val="false"/>
        <w:spacing w:before="240" w:after="60"/>
        <w:jc w:val="center"/>
        <w:rPr/>
      </w:pPr>
      <w:r>
        <w:rPr/>
        <w:drawing>
          <wp:inline distT="0" distB="0" distL="0" distR="0">
            <wp:extent cx="5394960" cy="4180205"/>
            <wp:effectExtent l="0" t="0" r="0" b="0"/>
            <wp:docPr id="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
                    <pic:cNvPicPr>
                      <a:picLocks noChangeAspect="1" noChangeArrowheads="1"/>
                    </pic:cNvPicPr>
                  </pic:nvPicPr>
                  <pic:blipFill>
                    <a:blip r:embed="rId105"/>
                    <a:stretch>
                      <a:fillRect/>
                    </a:stretch>
                  </pic:blipFill>
                  <pic:spPr bwMode="auto">
                    <a:xfrm>
                      <a:off x="0" y="0"/>
                      <a:ext cx="5394960" cy="4180205"/>
                    </a:xfrm>
                    <a:prstGeom prst="rect">
                      <a:avLst/>
                    </a:prstGeom>
                  </pic:spPr>
                </pic:pic>
              </a:graphicData>
            </a:graphic>
          </wp:inline>
        </w:drawing>
      </w:r>
    </w:p>
    <w:p>
      <w:pPr>
        <w:pStyle w:val="Caption1"/>
        <w:jc w:val="both"/>
        <w:rPr>
          <w:b w:val="false"/>
          <w:b w:val="false"/>
          <w:i/>
          <w:i/>
          <w:szCs w:val="22"/>
        </w:rPr>
      </w:pPr>
      <w:bookmarkStart w:id="28" w:name="_Ref150782554"/>
      <w:r>
        <w:rPr/>
        <w:t xml:space="preserve">Figure </w:t>
      </w:r>
      <w:r>
        <w:rPr/>
        <w:fldChar w:fldCharType="begin"/>
      </w:r>
      <w:r>
        <w:rPr/>
        <w:instrText> SEQ Figure \* ARABIC </w:instrText>
      </w:r>
      <w:r>
        <w:rPr/>
        <w:fldChar w:fldCharType="separate"/>
      </w:r>
      <w:r>
        <w:rPr/>
        <w:t>8</w:t>
      </w:r>
      <w:r>
        <w:rPr/>
        <w:fldChar w:fldCharType="end"/>
      </w:r>
      <w:bookmarkEnd w:id="28"/>
      <w:r>
        <w:rPr/>
        <w:t>:</w:t>
      </w:r>
      <w:r>
        <w:rPr>
          <w:b w:val="false"/>
          <w:bCs/>
          <w:color w:val="000000" w:themeColor="text1"/>
        </w:rPr>
        <w:t>Results of registration for four subjects in the OASIS-1 dataset. Each column from left to right is arranged as follows: the moving image, results of SyN, SYMNet, VoxelMorph, our method, and the fixed image. The Cerebellum-Cortex is colored green (left) and rose red (right).</w:t>
      </w:r>
    </w:p>
    <w:p>
      <w:pPr>
        <w:pStyle w:val="Normal"/>
        <w:rPr>
          <w:color w:val="000000" w:themeColor="text1"/>
        </w:rPr>
      </w:pPr>
      <w:r>
        <w:rPr>
          <w:color w:val="000000" w:themeColor="text1"/>
        </w:rPr>
        <w:t xml:space="preserve">In </w:t>
      </w:r>
      <w:r>
        <w:rPr>
          <w:color w:val="000000"/>
        </w:rPr>
        <w:fldChar w:fldCharType="begin"/>
      </w:r>
      <w:r>
        <w:rPr>
          <w:color w:val="000000"/>
        </w:rPr>
        <w:instrText> REF _Ref150782554 \h </w:instrText>
      </w:r>
      <w:r>
        <w:rPr>
          <w:color w:val="000000"/>
        </w:rPr>
        <w:fldChar w:fldCharType="separate"/>
      </w:r>
      <w:r>
        <w:rPr>
          <w:color w:val="000000"/>
        </w:rPr>
        <w:t>Figure 8</w:t>
      </w:r>
      <w:r>
        <w:rPr>
          <w:color w:val="000000"/>
        </w:rPr>
        <w:fldChar w:fldCharType="end"/>
      </w:r>
      <w:r>
        <w:rPr>
          <w:color w:val="000000" w:themeColor="text1"/>
        </w:rPr>
        <w:t>, we have highlighted the left side of the cerebellum cortex with a distinctive red circle, serving as a visual representation.</w:t>
      </w:r>
      <w:r>
        <w:rPr/>
        <w:t xml:space="preserve"> </w:t>
      </w:r>
      <w:r>
        <w:rPr>
          <w:color w:val="000000" w:themeColor="text1"/>
        </w:rPr>
        <w:t xml:space="preserve">In the four individuals shown above, the highlighted area within the red circle demonstrates that our method can achieve a more complete edge line, closely resembling the shape of the fixed image. The visualized results correspond to the quantitative results in column 10 of the boxplot </w:t>
      </w:r>
      <w:r>
        <w:rPr>
          <w:color w:val="000000"/>
        </w:rPr>
        <w:fldChar w:fldCharType="begin"/>
      </w:r>
      <w:r>
        <w:rPr>
          <w:color w:val="000000"/>
        </w:rPr>
        <w:instrText> REF _Ref150787673 \h </w:instrText>
      </w:r>
      <w:r>
        <w:rPr>
          <w:color w:val="000000"/>
        </w:rPr>
        <w:fldChar w:fldCharType="separate"/>
      </w:r>
      <w:r>
        <w:rPr>
          <w:color w:val="000000"/>
        </w:rPr>
        <w:t>Figure 4</w:t>
      </w:r>
      <w:r>
        <w:rPr>
          <w:color w:val="000000"/>
        </w:rPr>
        <w:fldChar w:fldCharType="end"/>
      </w:r>
      <w:r>
        <w:rPr>
          <w:color w:val="000000" w:themeColor="text1"/>
        </w:rPr>
        <w:t>.</w:t>
      </w:r>
    </w:p>
    <w:p>
      <w:pPr>
        <w:pStyle w:val="Normal"/>
        <w:widowControl w:val="false"/>
        <w:tabs>
          <w:tab w:val="clear" w:pos="720"/>
          <w:tab w:val="left" w:pos="187" w:leader="none"/>
        </w:tabs>
        <w:snapToGrid w:val="false"/>
        <w:spacing w:before="240" w:after="60"/>
        <w:rPr>
          <w:b/>
          <w:b/>
          <w:i/>
          <w:i/>
          <w:szCs w:val="22"/>
        </w:rPr>
      </w:pPr>
      <w:r>
        <w:rPr>
          <w:b/>
          <w:i/>
          <w:szCs w:val="22"/>
        </w:rPr>
      </w:r>
    </w:p>
    <w:p>
      <w:pPr>
        <w:pStyle w:val="Normal"/>
        <w:keepNext w:val="true"/>
        <w:widowControl w:val="false"/>
        <w:tabs>
          <w:tab w:val="clear" w:pos="720"/>
          <w:tab w:val="left" w:pos="187" w:leader="none"/>
        </w:tabs>
        <w:snapToGrid w:val="false"/>
        <w:spacing w:before="240" w:after="60"/>
        <w:jc w:val="center"/>
        <w:rPr/>
      </w:pPr>
      <w:r>
        <w:rPr/>
        <w:drawing>
          <wp:inline distT="0" distB="0" distL="0" distR="0">
            <wp:extent cx="5361305" cy="4169410"/>
            <wp:effectExtent l="0" t="0" r="0" b="0"/>
            <wp:docPr id="9"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
                    <pic:cNvPicPr>
                      <a:picLocks noChangeAspect="1" noChangeArrowheads="1"/>
                    </pic:cNvPicPr>
                  </pic:nvPicPr>
                  <pic:blipFill>
                    <a:blip r:embed="rId106"/>
                    <a:stretch>
                      <a:fillRect/>
                    </a:stretch>
                  </pic:blipFill>
                  <pic:spPr bwMode="auto">
                    <a:xfrm>
                      <a:off x="0" y="0"/>
                      <a:ext cx="5361305" cy="4169410"/>
                    </a:xfrm>
                    <a:prstGeom prst="rect">
                      <a:avLst/>
                    </a:prstGeom>
                  </pic:spPr>
                </pic:pic>
              </a:graphicData>
            </a:graphic>
          </wp:inline>
        </w:drawing>
      </w:r>
    </w:p>
    <w:p>
      <w:pPr>
        <w:pStyle w:val="Caption1"/>
        <w:jc w:val="both"/>
        <w:rPr>
          <w:b w:val="false"/>
          <w:b w:val="false"/>
          <w:i/>
          <w:i/>
          <w:szCs w:val="22"/>
        </w:rPr>
      </w:pPr>
      <w:bookmarkStart w:id="29" w:name="_Ref150782522"/>
      <w:r>
        <w:rPr/>
        <w:t xml:space="preserve">Figure </w:t>
      </w:r>
      <w:r>
        <w:rPr/>
        <w:fldChar w:fldCharType="begin"/>
      </w:r>
      <w:r>
        <w:rPr/>
        <w:instrText> SEQ Figure \* ARABIC </w:instrText>
      </w:r>
      <w:r>
        <w:rPr/>
        <w:fldChar w:fldCharType="separate"/>
      </w:r>
      <w:r>
        <w:rPr/>
        <w:t>9</w:t>
      </w:r>
      <w:r>
        <w:rPr/>
        <w:fldChar w:fldCharType="end"/>
      </w:r>
      <w:bookmarkEnd w:id="29"/>
      <w:r>
        <w:rPr/>
        <w:t>:</w:t>
      </w:r>
      <w:r>
        <w:rPr>
          <w:b w:val="false"/>
          <w:bCs/>
          <w:color w:val="000000" w:themeColor="text1"/>
        </w:rPr>
        <w:t>Results of registration for four subjects in the OASIS-3 dataset. Each column of images from left to right is arranged as follows: the moving image, results of SyN, SYMNet, VoxelMorph, our method, and the fixed image. The SMG is colored in turquoise (left) and white (right).</w:t>
      </w:r>
    </w:p>
    <w:p>
      <w:pPr>
        <w:pStyle w:val="Normal"/>
        <w:rPr>
          <w:color w:val="000000" w:themeColor="text1"/>
        </w:rPr>
      </w:pPr>
      <w:r>
        <w:rPr>
          <w:color w:val="000000" w:themeColor="text1"/>
        </w:rPr>
        <w:t xml:space="preserve">As illustrated in </w:t>
      </w:r>
      <w:r>
        <w:rPr>
          <w:color w:val="000000"/>
        </w:rPr>
        <w:fldChar w:fldCharType="begin"/>
      </w:r>
      <w:r>
        <w:rPr>
          <w:color w:val="000000"/>
        </w:rPr>
        <w:instrText> REF _Ref150782522 \h </w:instrText>
      </w:r>
      <w:r>
        <w:rPr>
          <w:color w:val="000000"/>
        </w:rPr>
        <w:fldChar w:fldCharType="separate"/>
      </w:r>
      <w:r>
        <w:rPr>
          <w:color w:val="000000"/>
        </w:rPr>
        <w:t>Figure 9</w:t>
      </w:r>
      <w:r>
        <w:rPr>
          <w:color w:val="000000"/>
        </w:rPr>
        <w:fldChar w:fldCharType="end"/>
      </w:r>
      <w:r>
        <w:rPr>
          <w:color w:val="000000" w:themeColor="text1"/>
        </w:rPr>
        <w:t xml:space="preserve">, we have outlined in red the first row of results, focusing on subject 1. Notably, our method yields moved images with more favorable outcomes in terms of gullies, displaying smoother and more continuous curves. In subjects 2 and 3, our method can obtain the results of the deepest part of the ravine. For subject 4, the moved images obtained by SYMNet and VoxelMorph are scattered. In contrast, our method's results present tissue boundaries with greater continuity and coherence, aligning with the outcomes depicted in </w:t>
      </w:r>
      <w:r>
        <w:rPr>
          <w:color w:val="000000"/>
        </w:rPr>
        <w:fldChar w:fldCharType="begin"/>
      </w:r>
      <w:r>
        <w:rPr>
          <w:color w:val="000000"/>
        </w:rPr>
        <w:instrText> REF _Ref150782651 \h </w:instrText>
      </w:r>
      <w:r>
        <w:rPr>
          <w:color w:val="000000"/>
        </w:rPr>
        <w:fldChar w:fldCharType="separate"/>
      </w:r>
      <w:r>
        <w:rPr>
          <w:color w:val="000000"/>
        </w:rPr>
        <w:t>Figure 5</w:t>
      </w:r>
      <w:r>
        <w:rPr>
          <w:color w:val="000000"/>
        </w:rPr>
        <w:fldChar w:fldCharType="end"/>
      </w:r>
      <w:r>
        <w:rPr>
          <w:color w:val="000000" w:themeColor="text1"/>
        </w:rPr>
        <w:t>.</w:t>
      </w:r>
    </w:p>
    <w:p>
      <w:pPr>
        <w:pStyle w:val="Normal"/>
        <w:widowControl w:val="false"/>
        <w:tabs>
          <w:tab w:val="clear" w:pos="720"/>
          <w:tab w:val="left" w:pos="187" w:leader="none"/>
        </w:tabs>
        <w:snapToGrid w:val="false"/>
        <w:spacing w:before="240" w:after="60"/>
        <w:rPr>
          <w:b/>
          <w:b/>
          <w:i/>
          <w:i/>
          <w:szCs w:val="22"/>
        </w:rPr>
      </w:pPr>
      <w:r>
        <w:rPr>
          <w:b/>
          <w:i/>
          <w:szCs w:val="22"/>
        </w:rPr>
      </w:r>
    </w:p>
    <w:p>
      <w:pPr>
        <w:pStyle w:val="Normal"/>
        <w:keepNext w:val="true"/>
        <w:widowControl w:val="false"/>
        <w:tabs>
          <w:tab w:val="clear" w:pos="720"/>
          <w:tab w:val="left" w:pos="187" w:leader="none"/>
        </w:tabs>
        <w:snapToGrid w:val="false"/>
        <w:spacing w:before="240" w:after="60"/>
        <w:jc w:val="center"/>
        <w:rPr/>
      </w:pPr>
      <w:r>
        <w:rPr/>
        <w:drawing>
          <wp:inline distT="0" distB="0" distL="0" distR="0">
            <wp:extent cx="5336540" cy="4160520"/>
            <wp:effectExtent l="0" t="0" r="0" b="0"/>
            <wp:docPr id="1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
                    <pic:cNvPicPr>
                      <a:picLocks noChangeAspect="1" noChangeArrowheads="1"/>
                    </pic:cNvPicPr>
                  </pic:nvPicPr>
                  <pic:blipFill>
                    <a:blip r:embed="rId107"/>
                    <a:stretch>
                      <a:fillRect/>
                    </a:stretch>
                  </pic:blipFill>
                  <pic:spPr bwMode="auto">
                    <a:xfrm>
                      <a:off x="0" y="0"/>
                      <a:ext cx="5336540" cy="4160520"/>
                    </a:xfrm>
                    <a:prstGeom prst="rect">
                      <a:avLst/>
                    </a:prstGeom>
                  </pic:spPr>
                </pic:pic>
              </a:graphicData>
            </a:graphic>
          </wp:inline>
        </w:drawing>
      </w:r>
    </w:p>
    <w:p>
      <w:pPr>
        <w:pStyle w:val="Caption1"/>
        <w:jc w:val="both"/>
        <w:rPr>
          <w:b w:val="false"/>
          <w:b w:val="false"/>
          <w:i/>
          <w:i/>
          <w:szCs w:val="22"/>
        </w:rPr>
      </w:pPr>
      <w:bookmarkStart w:id="30" w:name="_Ref150782536"/>
      <w:r>
        <w:rPr/>
        <w:t xml:space="preserve">Figure </w:t>
      </w:r>
      <w:r>
        <w:rPr/>
        <w:fldChar w:fldCharType="begin"/>
      </w:r>
      <w:r>
        <w:rPr/>
        <w:instrText> SEQ Figure \* ARABIC </w:instrText>
      </w:r>
      <w:r>
        <w:rPr/>
        <w:fldChar w:fldCharType="separate"/>
      </w:r>
      <w:r>
        <w:rPr/>
        <w:t>10</w:t>
      </w:r>
      <w:r>
        <w:rPr/>
        <w:fldChar w:fldCharType="end"/>
      </w:r>
      <w:bookmarkEnd w:id="30"/>
      <w:r>
        <w:rPr/>
        <w:t>:</w:t>
      </w:r>
      <w:r>
        <w:rPr>
          <w:b w:val="false"/>
          <w:bCs/>
          <w:color w:val="000000" w:themeColor="text1"/>
        </w:rPr>
        <w:t xml:space="preserve">Results of registration for four subjects in the ADNI dataset. Each column of images from left to right is arranged as follows: the moving image, results of SyN, SYMNet, VoxelMorph, our method, and the fixed image. The SMG is colored in turquoise (left) and white (right). </w:t>
      </w:r>
    </w:p>
    <w:p>
      <w:pPr>
        <w:pStyle w:val="Normal"/>
        <w:rPr>
          <w:color w:val="000000" w:themeColor="text1"/>
        </w:rPr>
      </w:pPr>
      <w:r>
        <w:rPr>
          <w:color w:val="000000" w:themeColor="text1"/>
        </w:rPr>
        <w:t xml:space="preserve">In the display of results for subjects 1 and 2 in </w:t>
      </w:r>
      <w:r>
        <w:rPr>
          <w:color w:val="000000"/>
        </w:rPr>
        <w:fldChar w:fldCharType="begin"/>
      </w:r>
      <w:r>
        <w:rPr>
          <w:color w:val="000000"/>
        </w:rPr>
        <w:instrText> REF _Ref150782536 \h </w:instrText>
      </w:r>
      <w:r>
        <w:rPr>
          <w:color w:val="000000"/>
        </w:rPr>
        <w:fldChar w:fldCharType="separate"/>
      </w:r>
      <w:r>
        <w:rPr>
          <w:color w:val="000000"/>
        </w:rPr>
        <w:t>Figure 10</w:t>
      </w:r>
      <w:r>
        <w:rPr>
          <w:color w:val="000000"/>
        </w:rPr>
        <w:fldChar w:fldCharType="end"/>
      </w:r>
      <w:r>
        <w:rPr>
          <w:color w:val="000000" w:themeColor="text1"/>
        </w:rPr>
        <w:t xml:space="preserve">, we have outlined the right superior marginal gyrus (SMG) using a distinctive red circle. Comparing the results, it becomes evident that our registration method yields moved images with clear and well-defined edges. For subjects 3 and 4, we circled the left SMG with a red circle. The comparison results show that our registration method works better for deep ravines. From the visual results, we found that SYMNet's performance is not bad. In </w:t>
      </w:r>
      <w:r>
        <w:rPr>
          <w:color w:val="000000"/>
        </w:rPr>
        <w:fldChar w:fldCharType="begin"/>
      </w:r>
      <w:r>
        <w:rPr>
          <w:color w:val="000000"/>
        </w:rPr>
        <w:instrText> REF _Ref150782673 \h </w:instrText>
      </w:r>
      <w:r>
        <w:rPr>
          <w:color w:val="000000"/>
        </w:rPr>
        <w:fldChar w:fldCharType="separate"/>
      </w:r>
      <w:r>
        <w:rPr>
          <w:color w:val="000000"/>
        </w:rPr>
        <w:t>Figure 6</w:t>
      </w:r>
      <w:r>
        <w:rPr>
          <w:color w:val="000000"/>
        </w:rPr>
        <w:fldChar w:fldCharType="end"/>
      </w:r>
      <w:r>
        <w:rPr>
          <w:color w:val="000000" w:themeColor="text1"/>
        </w:rPr>
        <w:t>, although SYMNet's quantitative results are much lower than VoxelMorph and our method. That is due to the use of diffeomorphism, forward and reverse bidirectional registration strategy for SYMNet.</w:t>
      </w:r>
    </w:p>
    <w:p>
      <w:pPr>
        <w:pStyle w:val="Equation"/>
        <w:widowControl w:val="false"/>
        <w:tabs>
          <w:tab w:val="left" w:pos="187" w:leader="none"/>
          <w:tab w:val="left" w:pos="4680" w:leader="none"/>
        </w:tabs>
        <w:snapToGrid w:val="false"/>
        <w:spacing w:before="240" w:after="60"/>
        <w:rPr>
          <w:b/>
          <w:b/>
          <w:i/>
          <w:i/>
          <w:iCs/>
          <w:szCs w:val="22"/>
        </w:rPr>
      </w:pPr>
      <w:r>
        <w:rPr>
          <w:b/>
          <w:i/>
          <w:iCs/>
          <w:szCs w:val="22"/>
        </w:rPr>
        <w:t>4.Discussion</w:t>
      </w:r>
    </w:p>
    <w:p>
      <w:pPr>
        <w:pStyle w:val="Heading2"/>
        <w:keepNext w:val="false"/>
        <w:numPr>
          <w:ilvl w:val="0"/>
          <w:numId w:val="0"/>
        </w:numPr>
        <w:tabs>
          <w:tab w:val="clear" w:pos="450"/>
          <w:tab w:val="left" w:pos="567" w:leader="none"/>
        </w:tabs>
        <w:spacing w:before="240" w:after="200"/>
        <w:ind w:left="567" w:hanging="567"/>
        <w:jc w:val="left"/>
        <w:rPr>
          <w:color w:val="000000" w:themeColor="text1"/>
        </w:rPr>
      </w:pPr>
      <w:r>
        <w:rPr>
          <w:color w:val="000000" w:themeColor="text1"/>
        </w:rPr>
        <w:t>4.1 Ablation experiment</w:t>
      </w:r>
    </w:p>
    <w:p>
      <w:pPr>
        <w:pStyle w:val="Normal"/>
        <w:rPr>
          <w:color w:val="000000" w:themeColor="text1"/>
        </w:rPr>
      </w:pPr>
      <w:r>
        <w:rPr>
          <w:color w:val="000000" w:themeColor="text1"/>
        </w:rPr>
        <w:t xml:space="preserve">We provide ablation experiments for further validation of individual components developed in our model. We separately evaluate the cross constraints implemented by dual-stream structure, direction consistency constraint module, and Jacobi loss to the model. </w:t>
      </w:r>
      <w:r>
        <w:rPr>
          <w:rFonts w:eastAsia="Times New Roman"/>
          <w:b/>
          <w:color w:val="000000" w:themeColor="text1"/>
          <w:szCs w:val="24"/>
          <w:shd w:fill="FFFFFF" w:val="clear"/>
        </w:rPr>
        <w:t>Jdet</w:t>
      </w:r>
      <w:r>
        <w:rPr>
          <w:rFonts w:eastAsia="Times New Roman"/>
          <w:bCs/>
          <w:color w:val="000000" w:themeColor="text1"/>
          <w:szCs w:val="24"/>
          <w:shd w:fill="FFFFFF" w:val="clear"/>
        </w:rPr>
        <w:t xml:space="preserve"> represents the Jacobian constraint, </w:t>
      </w:r>
      <w:r>
        <w:rPr>
          <w:rFonts w:eastAsia="Times New Roman"/>
          <w:b/>
          <w:color w:val="000000" w:themeColor="text1"/>
          <w:szCs w:val="24"/>
          <w:shd w:fill="FFFFFF" w:val="clear"/>
        </w:rPr>
        <w:t>Cross</w:t>
      </w:r>
      <w:r>
        <w:rPr>
          <w:rFonts w:eastAsia="Times New Roman"/>
          <w:bCs/>
          <w:color w:val="000000" w:themeColor="text1"/>
          <w:szCs w:val="24"/>
          <w:shd w:fill="FFFFFF" w:val="clear"/>
        </w:rPr>
        <w:t xml:space="preserve"> represents the cross constraint, and </w:t>
      </w:r>
      <w:r>
        <w:rPr>
          <w:rFonts w:eastAsia="Times New Roman"/>
          <w:b/>
          <w:color w:val="000000" w:themeColor="text1"/>
          <w:szCs w:val="24"/>
          <w:shd w:fill="FFFFFF" w:val="clear"/>
        </w:rPr>
        <w:t>Cos</w:t>
      </w:r>
      <w:r>
        <w:rPr>
          <w:rFonts w:eastAsia="Times New Roman"/>
          <w:bCs/>
          <w:color w:val="000000" w:themeColor="text1"/>
          <w:szCs w:val="24"/>
          <w:shd w:fill="FFFFFF" w:val="clear"/>
        </w:rPr>
        <w:t xml:space="preserve"> and </w:t>
      </w:r>
      <w:r>
        <w:rPr>
          <w:rFonts w:eastAsia="Times New Roman"/>
          <w:b/>
          <w:color w:val="000000" w:themeColor="text1"/>
          <w:szCs w:val="24"/>
          <w:shd w:fill="FFFFFF" w:val="clear"/>
        </w:rPr>
        <w:t>MSE</w:t>
      </w:r>
      <w:r>
        <w:rPr>
          <w:rFonts w:eastAsia="Times New Roman"/>
          <w:bCs/>
          <w:color w:val="000000" w:themeColor="text1"/>
          <w:szCs w:val="24"/>
          <w:shd w:fill="FFFFFF" w:val="clear"/>
        </w:rPr>
        <w:t xml:space="preserve"> respectively represent whether to use the </w:t>
      </w:r>
      <w:r>
        <w:rPr>
          <w:bCs/>
          <w:color w:val="000000" w:themeColor="text1"/>
          <w:szCs w:val="24"/>
          <w:shd w:fill="FFFFFF" w:val="clear"/>
        </w:rPr>
        <w:t>cosine</w:t>
      </w:r>
      <w:r>
        <w:rPr>
          <w:rFonts w:eastAsia="Times New Roman"/>
          <w:bCs/>
          <w:color w:val="000000" w:themeColor="text1"/>
          <w:szCs w:val="24"/>
          <w:shd w:fill="FFFFFF" w:val="clear"/>
        </w:rPr>
        <w:t xml:space="preserve"> loss function or the MSE loss function in the direction consistency constraint. The results of the six groups of experiments conducted on the OASIS-3, ADNI, and OASIS-1 datasets are presented in</w:t>
      </w:r>
      <w:r>
        <w:rPr>
          <w:color w:val="000000" w:themeColor="text1"/>
        </w:rPr>
        <w:t xml:space="preserve">  </w:t>
      </w:r>
      <w:r>
        <w:rPr>
          <w:color w:val="000000"/>
        </w:rPr>
        <w:fldChar w:fldCharType="begin"/>
      </w:r>
      <w:r>
        <w:rPr>
          <w:color w:val="000000"/>
        </w:rPr>
        <w:instrText> REF _Ref150782475 \h </w:instrText>
      </w:r>
      <w:r>
        <w:rPr>
          <w:color w:val="000000"/>
        </w:rPr>
        <w:fldChar w:fldCharType="separate"/>
      </w:r>
      <w:r>
        <w:rPr>
          <w:color w:val="000000"/>
        </w:rPr>
        <w:t>Table 2</w:t>
      </w:r>
      <w:r>
        <w:rPr>
          <w:color w:val="000000"/>
        </w:rPr>
        <w:fldChar w:fldCharType="end"/>
      </w:r>
      <w:r>
        <w:rPr>
          <w:color w:val="000000" w:themeColor="text1"/>
        </w:rPr>
        <w:t xml:space="preserve">, </w:t>
      </w:r>
      <w:r>
        <w:rPr>
          <w:color w:val="000000"/>
        </w:rPr>
        <w:fldChar w:fldCharType="begin"/>
      </w:r>
      <w:r>
        <w:rPr>
          <w:color w:val="000000"/>
        </w:rPr>
        <w:instrText> REF _Ref150718573 \h </w:instrText>
      </w:r>
      <w:r>
        <w:rPr>
          <w:color w:val="000000"/>
        </w:rPr>
        <w:fldChar w:fldCharType="separate"/>
      </w:r>
      <w:r>
        <w:rPr>
          <w:color w:val="000000"/>
        </w:rPr>
        <w:t>Table 3</w:t>
      </w:r>
      <w:r>
        <w:rPr>
          <w:color w:val="000000"/>
        </w:rPr>
        <w:fldChar w:fldCharType="end"/>
      </w:r>
      <w:r>
        <w:rPr>
          <w:color w:val="000000" w:themeColor="text1"/>
        </w:rPr>
        <w:t xml:space="preserve">, and </w:t>
      </w:r>
      <w:r>
        <w:rPr>
          <w:b/>
          <w:bCs/>
          <w:color w:val="000000"/>
        </w:rPr>
        <w:fldChar w:fldCharType="begin"/>
      </w:r>
      <w:r>
        <w:rPr>
          <w:b/>
          <w:bCs/>
          <w:color w:val="000000"/>
        </w:rPr>
        <w:instrText> REF _Ref150718584 \h </w:instrText>
      </w:r>
      <w:r>
        <w:rPr>
          <w:b/>
          <w:bCs/>
          <w:color w:val="000000"/>
        </w:rPr>
        <w:fldChar w:fldCharType="separate"/>
      </w:r>
      <w:r>
        <w:rPr>
          <w:b/>
          <w:bCs/>
          <w:color w:val="000000"/>
        </w:rPr>
        <w:t>Table 4</w:t>
      </w:r>
      <w:r>
        <w:rPr>
          <w:b/>
          <w:bCs/>
          <w:color w:val="000000"/>
        </w:rPr>
        <w:fldChar w:fldCharType="end"/>
      </w:r>
      <w:r>
        <w:rPr>
          <w:b/>
          <w:bCs/>
          <w:color w:val="000000" w:themeColor="text1"/>
        </w:rPr>
        <w:t xml:space="preserve"> </w:t>
      </w:r>
      <w:r>
        <w:rPr>
          <w:color w:val="000000" w:themeColor="text1"/>
        </w:rPr>
        <w:t>respectively, the first group of experiments represents the VoxelMorph experiment, serving as the control group for our ablation experiments.</w:t>
      </w:r>
    </w:p>
    <w:p>
      <w:pPr>
        <w:pStyle w:val="Normal"/>
        <w:rPr>
          <w:color w:val="000000" w:themeColor="text1"/>
        </w:rPr>
      </w:pPr>
      <w:r>
        <w:rPr>
          <w:color w:val="000000" w:themeColor="text1"/>
        </w:rPr>
        <w:t>Additionally, due to the small amount of LPBA40 dataset, there are only 9 tests, the ablation experiment is no longer performed on it.</w:t>
      </w:r>
    </w:p>
    <w:p>
      <w:pPr>
        <w:pStyle w:val="Heading3"/>
        <w:keepLines/>
        <w:numPr>
          <w:ilvl w:val="0"/>
          <w:numId w:val="3"/>
        </w:numPr>
        <w:tabs>
          <w:tab w:val="clear" w:pos="720"/>
          <w:tab w:val="left" w:pos="567" w:leader="none"/>
        </w:tabs>
        <w:spacing w:before="40" w:after="120"/>
        <w:jc w:val="left"/>
        <w:rPr>
          <w:color w:val="000000" w:themeColor="text1"/>
        </w:rPr>
      </w:pPr>
      <w:bookmarkStart w:id="31" w:name="_Hlk139378260"/>
      <w:bookmarkEnd w:id="31"/>
      <w:r>
        <w:rPr>
          <w:color w:val="000000" w:themeColor="text1"/>
        </w:rPr>
        <w:t>Ablation experiments on the OASIS-3 dataset</w:t>
      </w:r>
    </w:p>
    <w:p>
      <w:pPr>
        <w:pStyle w:val="Caption1"/>
        <w:rPr>
          <w:b w:val="false"/>
          <w:b w:val="false"/>
          <w:bCs/>
        </w:rPr>
      </w:pPr>
      <w:bookmarkStart w:id="32" w:name="_Ref150782475"/>
      <w:r>
        <w:rPr/>
        <w:t xml:space="preserve">Table </w:t>
      </w:r>
      <w:r>
        <w:rPr/>
        <w:fldChar w:fldCharType="begin"/>
      </w:r>
      <w:r>
        <w:rPr/>
        <w:instrText> SEQ Table \* ARABIC </w:instrText>
      </w:r>
      <w:r>
        <w:rPr/>
        <w:fldChar w:fldCharType="separate"/>
      </w:r>
      <w:r>
        <w:rPr/>
        <w:t>2</w:t>
      </w:r>
      <w:r>
        <w:rPr/>
        <w:fldChar w:fldCharType="end"/>
      </w:r>
      <w:bookmarkStart w:id="33" w:name="_Hlk150718011"/>
      <w:bookmarkEnd w:id="32"/>
      <w:r>
        <w:rPr/>
        <w:t>：</w:t>
      </w:r>
      <w:r>
        <w:rPr>
          <w:b w:val="false"/>
          <w:bCs/>
        </w:rPr>
        <w:t>Results from ablation experiments on the OASIS-3 dataset</w:t>
      </w:r>
      <w:bookmarkEnd w:id="33"/>
    </w:p>
    <w:p>
      <w:pPr>
        <w:pStyle w:val="Normal"/>
        <w:rPr/>
      </w:pPr>
      <w:r>
        <w:rPr/>
        <w:t>(* represents p-value &lt; 0.05, ** represents p-value &lt; 0.01)</w:t>
      </w:r>
    </w:p>
    <w:tbl>
      <w:tblPr>
        <w:tblStyle w:val="6-32"/>
        <w:tblW w:w="5000" w:type="pct"/>
        <w:jc w:val="left"/>
        <w:tblInd w:w="0" w:type="dxa"/>
        <w:tblCellMar>
          <w:top w:w="0" w:type="dxa"/>
          <w:left w:w="108" w:type="dxa"/>
          <w:bottom w:w="0" w:type="dxa"/>
          <w:right w:w="108" w:type="dxa"/>
        </w:tblCellMar>
        <w:tblLook w:val="04a0" w:noHBand="0" w:noVBand="1" w:firstColumn="1" w:lastRow="0" w:lastColumn="0" w:firstRow="1"/>
      </w:tblPr>
      <w:tblGrid>
        <w:gridCol w:w="882"/>
        <w:gridCol w:w="884"/>
        <w:gridCol w:w="1026"/>
        <w:gridCol w:w="959"/>
        <w:gridCol w:w="983"/>
        <w:gridCol w:w="2328"/>
        <w:gridCol w:w="2297"/>
      </w:tblGrid>
      <w:tr>
        <w:trPr>
          <w:trHeight w:val="276" w:hRule="atLeast"/>
          <w:cnfStyle w:val="100000000000" w:firstRow="1" w:lastRow="0" w:firstColumn="0" w:lastColumn="0" w:oddVBand="0" w:evenVBand="0" w:oddHBand="0" w:evenHBand="0" w:firstRowFirstColumn="0" w:firstRowLastColumn="0" w:lastRowFirstColumn="0" w:lastRowLastColumn="0"/>
        </w:trPr>
        <w:tc>
          <w:tcPr>
            <w:tcW w:w="882" w:type="dxa"/>
            <w:cnfStyle w:val="001000000000" w:firstRow="0" w:lastRow="0" w:firstColumn="1" w:lastColumn="0" w:oddVBand="0" w:evenVBand="0" w:oddHBand="0" w:evenHBand="0" w:firstRowFirstColumn="0" w:firstRowLastColumn="0" w:lastRowFirstColumn="0" w:lastRowLastColumn="0"/>
            <w:tcBorders>
              <w:top w:val="single" w:sz="8" w:space="0" w:color="000000"/>
              <w:bottom w:val="single" w:sz="8" w:space="0" w:color="000000"/>
            </w:tcBorders>
            <w:shd w:color="auto" w:fill="auto" w:val="clear"/>
            <w:vAlign w:val="center"/>
          </w:tcPr>
          <w:p>
            <w:pPr>
              <w:pStyle w:val="Style15"/>
              <w:rPr>
                <w:rFonts w:eastAsia="Adobe 宋体 Std L" w:cs="Times New Roman"/>
                <w:highlight w:val="yellow"/>
              </w:rPr>
            </w:pPr>
            <w:bookmarkStart w:id="34" w:name="_Hlk1393782601"/>
            <w:bookmarkEnd w:id="34"/>
            <w:r>
              <w:rPr>
                <w:rFonts w:eastAsia="Adobe 宋体 Std L" w:cs="Times New Roman" w:ascii="等线" w:hAnsi="等线"/>
                <w:b/>
              </w:rPr>
              <w:t>Num</w:t>
            </w:r>
          </w:p>
        </w:tc>
        <w:tc>
          <w:tcPr>
            <w:tcW w:w="884"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Jdet</w:t>
            </w:r>
          </w:p>
        </w:tc>
        <w:tc>
          <w:tcPr>
            <w:tcW w:w="1026"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Cross</w:t>
            </w:r>
          </w:p>
        </w:tc>
        <w:tc>
          <w:tcPr>
            <w:tcW w:w="959"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Cos</w:t>
            </w:r>
          </w:p>
        </w:tc>
        <w:tc>
          <w:tcPr>
            <w:tcW w:w="983"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MSE</w:t>
            </w:r>
          </w:p>
        </w:tc>
        <w:tc>
          <w:tcPr>
            <w:tcW w:w="2328"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ascii="等线" w:hAnsi="等线"/>
                <w:b/>
              </w:rPr>
              <w:t>Dice</w:t>
            </w:r>
          </w:p>
        </w:tc>
        <w:tc>
          <w:tcPr>
            <w:tcW w:w="2297"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b w:val="false"/>
                <w:b w:val="false"/>
                <w:bCs/>
              </w:rPr>
            </w:pPr>
            <w:r>
              <w:rPr>
                <w:b/>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Adobe 宋体 Std L" w:cs="Times New Roman" w:ascii="等线" w:hAnsi="等线"/>
                <w:b/>
              </w:rPr>
              <w:t>(%</w:t>
            </w:r>
            <w:r>
              <w:rPr>
                <w:rFonts w:eastAsia="Adobe 宋体 Std L" w:cs="Times New Roman" w:ascii="等线" w:hAnsi="等线"/>
                <w:b/>
                <w:sz w:val="16"/>
                <w:szCs w:val="16"/>
              </w:rPr>
              <w:t>)</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single" w:sz="8" w:space="0" w:color="000000"/>
              <w:bottom w:val="nil"/>
            </w:tcBorders>
            <w:shd w:color="auto" w:fill="auto" w:val="clear"/>
            <w:vAlign w:val="center"/>
          </w:tcPr>
          <w:p>
            <w:pPr>
              <w:pStyle w:val="Style15"/>
              <w:rPr>
                <w:rFonts w:eastAsia="Adobe 宋体 Std L" w:cs="Times New Roman"/>
              </w:rPr>
            </w:pPr>
            <w:r>
              <w:rPr>
                <w:rFonts w:eastAsia="Adobe 宋体 Std L" w:cs="Times New Roman" w:ascii="等线" w:hAnsi="等线"/>
                <w:b w:val="false"/>
                <w:bCs/>
              </w:rPr>
              <w:t>1</w:t>
            </w:r>
          </w:p>
        </w:tc>
        <w:tc>
          <w:tcPr>
            <w:tcW w:w="884" w:type="dxa"/>
            <w:tcBorders>
              <w:top w:val="single" w:sz="8" w:space="0" w:color="000000"/>
              <w:bottom w:val="nil"/>
            </w:tcBorders>
            <w:shd w:color="auto" w:fill="auto" w:val="clear"/>
            <w:vAlign w:val="center"/>
          </w:tcPr>
          <w:p>
            <w:pPr>
              <w:pStyle w:val="Style15"/>
              <w:cnfStyle w:val="000000000000" w:firstRow="0"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rPr>
            </w:r>
          </w:p>
        </w:tc>
        <w:tc>
          <w:tcPr>
            <w:tcW w:w="1026" w:type="dxa"/>
            <w:tcBorders>
              <w:top w:val="single" w:sz="8" w:space="0" w:color="000000"/>
              <w:bottom w:val="nil"/>
            </w:tcBorders>
            <w:shd w:color="auto" w:fill="auto" w:val="clear"/>
            <w:vAlign w:val="center"/>
          </w:tcPr>
          <w:p>
            <w:pPr>
              <w:pStyle w:val="Style15"/>
              <w:cnfStyle w:val="000000000000" w:firstRow="0"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rPr>
            </w:r>
          </w:p>
        </w:tc>
        <w:tc>
          <w:tcPr>
            <w:tcW w:w="959" w:type="dxa"/>
            <w:tcBorders>
              <w:top w:val="single" w:sz="8" w:space="0" w:color="000000"/>
              <w:bottom w:val="nil"/>
            </w:tcBorders>
            <w:shd w:color="auto" w:fill="auto" w:val="clear"/>
            <w:vAlign w:val="center"/>
          </w:tcPr>
          <w:p>
            <w:pPr>
              <w:pStyle w:val="Style15"/>
              <w:cnfStyle w:val="000000000000" w:firstRow="0"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rPr>
            </w:r>
          </w:p>
        </w:tc>
        <w:tc>
          <w:tcPr>
            <w:tcW w:w="983" w:type="dxa"/>
            <w:tcBorders>
              <w:top w:val="single" w:sz="8" w:space="0" w:color="000000"/>
              <w:bottom w:val="nil"/>
            </w:tcBorders>
            <w:shd w:color="auto" w:fill="auto" w:val="clear"/>
            <w:vAlign w:val="center"/>
          </w:tcPr>
          <w:p>
            <w:pPr>
              <w:pStyle w:val="Style15"/>
              <w:cnfStyle w:val="000000000000" w:firstRow="0"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rPr>
            </w:r>
          </w:p>
        </w:tc>
        <w:tc>
          <w:tcPr>
            <w:tcW w:w="2328" w:type="dxa"/>
            <w:tcBorders>
              <w:top w:val="single" w:sz="8" w:space="0" w:color="000000"/>
              <w:bottom w:val="nil"/>
            </w:tcBorders>
            <w:shd w:color="auto" w:fill="auto" w:val="clear"/>
            <w:vAlign w:val="center"/>
          </w:tcPr>
          <w:p>
            <w:pPr>
              <w:pStyle w:val="Style15"/>
              <w:cnfStyle w:val="000000000000" w:firstRow="0"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ascii="等线" w:hAnsi="等线"/>
              </w:rPr>
              <w:t>0.581±0.022**</w:t>
            </w:r>
          </w:p>
        </w:tc>
        <w:tc>
          <w:tcPr>
            <w:tcW w:w="2297" w:type="dxa"/>
            <w:tcBorders>
              <w:top w:val="single" w:sz="8" w:space="0" w:color="000000"/>
              <w:bottom w:val="nil"/>
            </w:tcBorders>
            <w:shd w:color="auto" w:fill="auto" w:val="clear"/>
            <w:vAlign w:val="center"/>
          </w:tcPr>
          <w:p>
            <w:pPr>
              <w:pStyle w:val="Style15"/>
              <w:cnfStyle w:val="000000000000" w:firstRow="0"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ascii="等线" w:hAnsi="等线"/>
              </w:rPr>
              <w:t>0.048±9.806e-3**</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2</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0.604±0.020**</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b/>
                <w:b/>
                <w:bCs/>
                <w:color w:val="000000"/>
              </w:rPr>
            </w:pPr>
            <w:r>
              <w:rPr>
                <w:rFonts w:eastAsia="Adobe 宋体 Std L" w:cs="" w:ascii="等线" w:hAnsi="等线" w:cstheme="minorBidi"/>
                <w:b/>
                <w:bCs/>
                <w:color w:val="000000"/>
                <w:kern w:val="2"/>
                <w:szCs w:val="22"/>
              </w:rPr>
              <w:t>0.044±8.985e-3**</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3</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0.641±0.017</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0.349±0.046**</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4</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0.643±0.017</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0.373±0.051**</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5</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0.612±0.021**</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0.251±0.036**</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single" w:sz="12" w:space="0" w:color="000000"/>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6</w:t>
            </w:r>
          </w:p>
        </w:tc>
        <w:tc>
          <w:tcPr>
            <w:tcW w:w="884"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1026"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83"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b/>
                <w:b/>
                <w:bCs/>
                <w:color w:val="000000"/>
              </w:rPr>
            </w:pPr>
            <w:r>
              <w:rPr>
                <w:rFonts w:eastAsia="Adobe 宋体 Std L" w:cs="" w:ascii="等线" w:hAnsi="等线" w:cstheme="minorBidi"/>
                <w:b/>
                <w:bCs/>
                <w:color w:val="000000"/>
                <w:kern w:val="2"/>
                <w:szCs w:val="22"/>
              </w:rPr>
              <w:t>0.645±0.017</w:t>
            </w:r>
          </w:p>
        </w:tc>
        <w:tc>
          <w:tcPr>
            <w:tcW w:w="2297"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0.412±0.050**</w:t>
            </w:r>
            <w:bookmarkStart w:id="35" w:name="_Hlk137020441"/>
            <w:bookmarkEnd w:id="35"/>
          </w:p>
        </w:tc>
      </w:tr>
    </w:tbl>
    <w:p>
      <w:pPr>
        <w:pStyle w:val="Normal"/>
        <w:rPr>
          <w:color w:val="000000" w:themeColor="text1"/>
        </w:rPr>
      </w:pPr>
      <w:r>
        <w:rPr>
          <w:color w:val="FF0000"/>
        </w:rPr>
        <w:fldChar w:fldCharType="begin"/>
      </w:r>
      <w:r>
        <w:rPr>
          <w:color w:val="FF0000"/>
        </w:rPr>
        <w:instrText> REF _Ref150782475 \h </w:instrText>
      </w:r>
      <w:r>
        <w:rPr>
          <w:color w:val="FF0000"/>
        </w:rPr>
        <w:fldChar w:fldCharType="separate"/>
      </w:r>
      <w:r>
        <w:rPr>
          <w:color w:val="FF0000"/>
        </w:rPr>
        <w:t>Table 2</w:t>
      </w:r>
      <w:r>
        <w:rPr>
          <w:color w:val="FF0000"/>
        </w:rPr>
        <w:fldChar w:fldCharType="end"/>
      </w:r>
      <w:r>
        <w:rPr>
          <w:color w:val="000000" w:themeColor="text1"/>
        </w:rPr>
        <w:t xml:space="preserve"> </w:t>
      </w:r>
      <w:r>
        <w:rPr>
          <w:color w:val="000000" w:themeColor="text1"/>
        </w:rPr>
        <w:t>compares the results of six groups ablation experiments. Based on the Jacobian results obtained from the deformation field in the previous experiment, we implemented the Jacobian function to smooth the deformation field (comparative experiments 1, 4, and 6). The results indicate that the change of the deformation field is negligible but the dice value will decrease after introducing the constraint of the Jacobian function. Comparing the results of experiments 1, 2, and 4, the experimental results have been significantly improved by dual-channel cross constraints, from 0.604 to 0.641, it demonstrates that our dual-channel structure is effective. The results of experiments 3 and 4 confirmed the effectiveness of the direction consistency constraint module, and the results were slightly improved. Further comparing the results of experiments 4 and 5, if we replace the metric function between the two deformation fields from cosine similarity to MSE, the Dice value will drop significantly, which indicates that an inappropriate loss function will be important for the registration task.</w:t>
      </w:r>
    </w:p>
    <w:p>
      <w:pPr>
        <w:pStyle w:val="Heading3"/>
        <w:keepLines/>
        <w:numPr>
          <w:ilvl w:val="0"/>
          <w:numId w:val="3"/>
        </w:numPr>
        <w:tabs>
          <w:tab w:val="clear" w:pos="720"/>
          <w:tab w:val="left" w:pos="567" w:leader="none"/>
        </w:tabs>
        <w:spacing w:before="40" w:after="120"/>
        <w:jc w:val="left"/>
        <w:rPr>
          <w:color w:val="000000" w:themeColor="text1"/>
        </w:rPr>
      </w:pPr>
      <w:r>
        <w:rPr>
          <w:color w:val="000000" w:themeColor="text1"/>
        </w:rPr>
        <w:t>Ablation experiments on the ADNI dataset</w:t>
      </w:r>
    </w:p>
    <w:p>
      <w:pPr>
        <w:pStyle w:val="Caption1"/>
        <w:rPr>
          <w:b w:val="false"/>
          <w:b w:val="false"/>
          <w:bCs/>
        </w:rPr>
      </w:pPr>
      <w:bookmarkStart w:id="36" w:name="_Ref150718573"/>
      <w:r>
        <w:rPr/>
        <w:t xml:space="preserve">Table </w:t>
      </w:r>
      <w:r>
        <w:rPr/>
        <w:fldChar w:fldCharType="begin"/>
      </w:r>
      <w:r>
        <w:rPr/>
        <w:instrText> SEQ Table \* ARABIC </w:instrText>
      </w:r>
      <w:r>
        <w:rPr/>
        <w:fldChar w:fldCharType="separate"/>
      </w:r>
      <w:r>
        <w:rPr/>
        <w:t>3</w:t>
      </w:r>
      <w:r>
        <w:rPr/>
        <w:fldChar w:fldCharType="end"/>
      </w:r>
      <w:bookmarkEnd w:id="36"/>
      <w:r>
        <w:rPr/>
        <w:t>：</w:t>
      </w:r>
      <w:r>
        <w:rPr>
          <w:b w:val="false"/>
          <w:bCs/>
        </w:rPr>
        <w:t>Results from ablation experiments on the ADNI dataset</w:t>
      </w:r>
    </w:p>
    <w:p>
      <w:pPr>
        <w:pStyle w:val="Normal"/>
        <w:rPr/>
      </w:pPr>
      <w:r>
        <w:rPr/>
        <w:t>(* represents p-value &lt; 0.05, ** represents p-value &lt; 0.01)</w:t>
      </w:r>
    </w:p>
    <w:tbl>
      <w:tblPr>
        <w:tblStyle w:val="6-32"/>
        <w:tblW w:w="5000" w:type="pct"/>
        <w:jc w:val="left"/>
        <w:tblInd w:w="0" w:type="dxa"/>
        <w:tblCellMar>
          <w:top w:w="0" w:type="dxa"/>
          <w:left w:w="108" w:type="dxa"/>
          <w:bottom w:w="0" w:type="dxa"/>
          <w:right w:w="108" w:type="dxa"/>
        </w:tblCellMar>
        <w:tblLook w:val="04a0" w:noHBand="0" w:noVBand="1" w:firstColumn="1" w:lastRow="0" w:lastColumn="0" w:firstRow="1"/>
      </w:tblPr>
      <w:tblGrid>
        <w:gridCol w:w="882"/>
        <w:gridCol w:w="884"/>
        <w:gridCol w:w="1026"/>
        <w:gridCol w:w="959"/>
        <w:gridCol w:w="983"/>
        <w:gridCol w:w="2328"/>
        <w:gridCol w:w="2297"/>
      </w:tblGrid>
      <w:tr>
        <w:trPr>
          <w:trHeight w:val="276" w:hRule="atLeast"/>
          <w:cnfStyle w:val="100000000000" w:firstRow="1" w:lastRow="0" w:firstColumn="0" w:lastColumn="0" w:oddVBand="0" w:evenVBand="0" w:oddHBand="0" w:evenHBand="0" w:firstRowFirstColumn="0" w:firstRowLastColumn="0" w:lastRowFirstColumn="0" w:lastRowLastColumn="0"/>
        </w:trPr>
        <w:tc>
          <w:tcPr>
            <w:tcW w:w="882" w:type="dxa"/>
            <w:cnfStyle w:val="001000000000" w:firstRow="0" w:lastRow="0" w:firstColumn="1" w:lastColumn="0" w:oddVBand="0" w:evenVBand="0" w:oddHBand="0" w:evenHBand="0" w:firstRowFirstColumn="0" w:firstRowLastColumn="0" w:lastRowFirstColumn="0" w:lastRowLastColumn="0"/>
            <w:tcBorders>
              <w:top w:val="single" w:sz="8" w:space="0" w:color="000000"/>
              <w:bottom w:val="single" w:sz="8" w:space="0" w:color="000000"/>
            </w:tcBorders>
            <w:shd w:color="auto" w:fill="auto" w:val="clear"/>
            <w:vAlign w:val="center"/>
          </w:tcPr>
          <w:p>
            <w:pPr>
              <w:pStyle w:val="Style15"/>
              <w:rPr>
                <w:rFonts w:eastAsia="Adobe 宋体 Std L" w:cs="Times New Roman"/>
                <w:highlight w:val="yellow"/>
              </w:rPr>
            </w:pPr>
            <w:r>
              <w:rPr>
                <w:rFonts w:eastAsia="Adobe 宋体 Std L" w:cs="Times New Roman" w:ascii="等线" w:hAnsi="等线"/>
                <w:b/>
              </w:rPr>
              <w:t>Num</w:t>
            </w:r>
          </w:p>
        </w:tc>
        <w:tc>
          <w:tcPr>
            <w:tcW w:w="884"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Jdet</w:t>
            </w:r>
          </w:p>
        </w:tc>
        <w:tc>
          <w:tcPr>
            <w:tcW w:w="1026"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Cross</w:t>
            </w:r>
          </w:p>
        </w:tc>
        <w:tc>
          <w:tcPr>
            <w:tcW w:w="959"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Cos</w:t>
            </w:r>
          </w:p>
        </w:tc>
        <w:tc>
          <w:tcPr>
            <w:tcW w:w="983"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highlight w:val="yellow"/>
              </w:rPr>
            </w:pPr>
            <w:r>
              <w:rPr>
                <w:rFonts w:eastAsia="Adobe 宋体 Std L" w:cs="Times New Roman" w:ascii="等线" w:hAnsi="等线"/>
                <w:b/>
              </w:rPr>
              <w:t>MSE</w:t>
            </w:r>
          </w:p>
        </w:tc>
        <w:tc>
          <w:tcPr>
            <w:tcW w:w="2328"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rPr>
            </w:pPr>
            <w:r>
              <w:rPr>
                <w:rFonts w:eastAsia="Adobe 宋体 Std L" w:cs="Times New Roman" w:ascii="等线" w:hAnsi="等线"/>
                <w:b/>
              </w:rPr>
              <w:t>Dice</w:t>
            </w:r>
          </w:p>
        </w:tc>
        <w:tc>
          <w:tcPr>
            <w:tcW w:w="2297"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b w:val="false"/>
                <w:b w:val="false"/>
                <w:bCs/>
              </w:rPr>
            </w:pPr>
            <w:r>
              <w:rPr>
                <w:b/>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Adobe 宋体 Std L" w:cs="Times New Roman" w:ascii="等线" w:hAnsi="等线"/>
                <w:b/>
              </w:rPr>
              <w:t>(%</w:t>
            </w:r>
            <w:r>
              <w:rPr>
                <w:rFonts w:eastAsia="Adobe 宋体 Std L" w:cs="Times New Roman" w:ascii="等线" w:hAnsi="等线"/>
                <w:b/>
                <w:sz w:val="16"/>
                <w:szCs w:val="16"/>
              </w:rPr>
              <w:t>)</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single" w:sz="8" w:space="0" w:color="000000"/>
              <w:bottom w:val="nil"/>
            </w:tcBorders>
            <w:shd w:color="auto" w:fill="auto" w:val="clear"/>
            <w:vAlign w:val="center"/>
          </w:tcPr>
          <w:p>
            <w:pPr>
              <w:pStyle w:val="Style15"/>
              <w:rPr>
                <w:rFonts w:eastAsia="Adobe 宋体 Std L" w:cs="Times New Roman"/>
              </w:rPr>
            </w:pPr>
            <w:r>
              <w:rPr>
                <w:rFonts w:eastAsia="Adobe 宋体 Std L" w:cs="Times New Roman" w:ascii="等线" w:hAnsi="等线"/>
                <w:b w:val="false"/>
                <w:bCs/>
              </w:rPr>
              <w:t>1</w:t>
            </w:r>
          </w:p>
        </w:tc>
        <w:tc>
          <w:tcPr>
            <w:tcW w:w="884"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1026"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59"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83"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0.601±0.045**</w:t>
            </w:r>
          </w:p>
        </w:tc>
        <w:tc>
          <w:tcPr>
            <w:tcW w:w="2297"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b/>
                <w:b/>
                <w:bCs/>
                <w:color w:val="000000"/>
              </w:rPr>
            </w:pPr>
            <w:r>
              <w:rPr>
                <w:rFonts w:eastAsia="Adobe 宋体 Std L" w:cs="" w:ascii="等线" w:hAnsi="等线" w:cstheme="minorBidi"/>
                <w:b/>
                <w:bCs/>
                <w:color w:val="000000"/>
                <w:kern w:val="2"/>
                <w:szCs w:val="22"/>
              </w:rPr>
              <w:t>0.045±0.012**</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2</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0.599±0.045**</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0.047±0.014**</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3</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0.641±0.038</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0.362±0.092</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4</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b/>
                <w:b/>
                <w:bCs/>
                <w:color w:val="000000"/>
              </w:rPr>
            </w:pPr>
            <w:r>
              <w:rPr>
                <w:rFonts w:eastAsia="Adobe 宋体 Std L" w:cs="" w:ascii="等线" w:hAnsi="等线" w:cstheme="minorBidi"/>
                <w:b/>
                <w:bCs/>
                <w:color w:val="000000"/>
                <w:kern w:val="2"/>
                <w:szCs w:val="22"/>
              </w:rPr>
              <w:t>0.643±0.038</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0.406±0.099</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5</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0.613±0.440**</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0.289±0.069**</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single" w:sz="12" w:space="0" w:color="000000"/>
            </w:tcBorders>
            <w:shd w:color="auto" w:fill="auto" w:val="clear"/>
            <w:vAlign w:val="center"/>
          </w:tcPr>
          <w:p>
            <w:pPr>
              <w:pStyle w:val="Style15"/>
              <w:rPr>
                <w:rFonts w:eastAsia="Adobe 宋体 Std L" w:cs="Times New Roman"/>
                <w:b w:val="false"/>
                <w:b w:val="false"/>
                <w:bCs/>
              </w:rPr>
            </w:pPr>
            <w:r>
              <w:rPr>
                <w:rFonts w:eastAsia="Adobe 宋体 Std L" w:cs="Times New Roman" w:ascii="等线" w:hAnsi="等线"/>
                <w:b w:val="false"/>
                <w:bCs/>
              </w:rPr>
              <w:t>6</w:t>
            </w:r>
          </w:p>
        </w:tc>
        <w:tc>
          <w:tcPr>
            <w:tcW w:w="884"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1026"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59"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w:t>
            </w:r>
          </w:p>
        </w:tc>
        <w:tc>
          <w:tcPr>
            <w:tcW w:w="983"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color w:val="000000"/>
                <w:szCs w:val="22"/>
              </w:rPr>
            </w:r>
          </w:p>
        </w:tc>
        <w:tc>
          <w:tcPr>
            <w:tcW w:w="2328"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0.635±0.038</w:t>
            </w:r>
          </w:p>
        </w:tc>
        <w:tc>
          <w:tcPr>
            <w:tcW w:w="2297"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rPr>
            </w:pPr>
            <w:r>
              <w:rPr>
                <w:rFonts w:eastAsia="Adobe 宋体 Std L" w:cs="" w:ascii="等线" w:hAnsi="等线" w:cstheme="minorBidi"/>
                <w:color w:val="000000"/>
                <w:kern w:val="2"/>
                <w:szCs w:val="22"/>
              </w:rPr>
              <w:t>0.344±0.089**</w:t>
            </w:r>
          </w:p>
        </w:tc>
      </w:tr>
    </w:tbl>
    <w:p>
      <w:pPr>
        <w:pStyle w:val="Normal"/>
        <w:rPr>
          <w:color w:val="000000" w:themeColor="text1"/>
        </w:rPr>
      </w:pPr>
      <w:r>
        <w:rPr>
          <w:color w:val="000000"/>
        </w:rPr>
        <w:fldChar w:fldCharType="begin"/>
      </w:r>
      <w:r>
        <w:rPr>
          <w:color w:val="000000"/>
        </w:rPr>
        <w:instrText> REF _Ref150718573 \h </w:instrText>
      </w:r>
      <w:r>
        <w:rPr>
          <w:color w:val="000000"/>
        </w:rPr>
        <w:fldChar w:fldCharType="separate"/>
      </w:r>
      <w:r>
        <w:rPr>
          <w:color w:val="000000"/>
        </w:rPr>
        <w:t>Table 3</w:t>
      </w:r>
      <w:r>
        <w:rPr>
          <w:color w:val="000000"/>
        </w:rPr>
        <w:fldChar w:fldCharType="end"/>
      </w:r>
      <w:r>
        <w:rPr>
          <w:color w:val="000000" w:themeColor="text1"/>
        </w:rPr>
        <w:t xml:space="preserve"> </w:t>
      </w:r>
      <w:r>
        <w:rPr>
          <w:color w:val="000000" w:themeColor="text1"/>
        </w:rPr>
        <w:t>compares the results of six groups of ablation experiments. Comparing the results of experiments 1, 4, and 6, after introducing the Jacobian constraint, the best experimental results were achieved. Although the value of the Jacobian was not reduced, considering that the results of the Jacobian ratio were all less than 0.005, the impact was not significant. Comparing the results of experiments 1, 2, and 4, the dual-channel cross constraints boost Dice sore from 0.599 to 0.643, demonstrating the effectiveness of the module. Furthermore, in the comparison of results from experiments 3, 4, and 5, it's clear that the cosine similarity loss function performs much better than the MSE.</w:t>
      </w:r>
    </w:p>
    <w:p>
      <w:pPr>
        <w:pStyle w:val="Heading3"/>
        <w:keepLines/>
        <w:numPr>
          <w:ilvl w:val="0"/>
          <w:numId w:val="3"/>
        </w:numPr>
        <w:tabs>
          <w:tab w:val="clear" w:pos="720"/>
          <w:tab w:val="left" w:pos="567" w:leader="none"/>
        </w:tabs>
        <w:spacing w:before="40" w:after="120"/>
        <w:jc w:val="left"/>
        <w:rPr>
          <w:color w:val="000000" w:themeColor="text1"/>
        </w:rPr>
      </w:pPr>
      <w:r>
        <w:rPr>
          <w:color w:val="000000" w:themeColor="text1"/>
        </w:rPr>
        <w:t>Ablation experiments on the OASIS-1 dataset</w:t>
      </w:r>
    </w:p>
    <w:p>
      <w:pPr>
        <w:pStyle w:val="Caption1"/>
        <w:rPr>
          <w:b w:val="false"/>
          <w:b w:val="false"/>
          <w:bCs/>
        </w:rPr>
      </w:pPr>
      <w:bookmarkStart w:id="37" w:name="_Ref150718584"/>
      <w:r>
        <w:rPr/>
        <w:t xml:space="preserve">Table </w:t>
      </w:r>
      <w:r>
        <w:rPr/>
        <w:fldChar w:fldCharType="begin"/>
      </w:r>
      <w:r>
        <w:rPr/>
        <w:instrText> SEQ Table \* ARABIC </w:instrText>
      </w:r>
      <w:r>
        <w:rPr/>
        <w:fldChar w:fldCharType="separate"/>
      </w:r>
      <w:r>
        <w:rPr/>
        <w:t>4</w:t>
      </w:r>
      <w:r>
        <w:rPr/>
        <w:fldChar w:fldCharType="end"/>
      </w:r>
      <w:bookmarkEnd w:id="37"/>
      <w:r>
        <w:rPr/>
        <w:t>：</w:t>
      </w:r>
      <w:r>
        <w:rPr>
          <w:b w:val="false"/>
          <w:bCs/>
        </w:rPr>
        <w:t>Results from ablation experiments on the OASIS-1 dataset</w:t>
      </w:r>
    </w:p>
    <w:p>
      <w:pPr>
        <w:pStyle w:val="Normal"/>
        <w:rPr/>
      </w:pPr>
      <w:r>
        <w:rPr/>
        <w:t>(* represents p-value &lt; 0.05, ** represents p-value &lt; 0.01)</w:t>
      </w:r>
    </w:p>
    <w:tbl>
      <w:tblPr>
        <w:tblStyle w:val="6-32"/>
        <w:tblW w:w="5000" w:type="pct"/>
        <w:jc w:val="left"/>
        <w:tblInd w:w="0" w:type="dxa"/>
        <w:tblCellMar>
          <w:top w:w="0" w:type="dxa"/>
          <w:left w:w="108" w:type="dxa"/>
          <w:bottom w:w="0" w:type="dxa"/>
          <w:right w:w="108" w:type="dxa"/>
        </w:tblCellMar>
        <w:tblLook w:val="04a0" w:noHBand="0" w:noVBand="1" w:firstColumn="1" w:lastRow="0" w:lastColumn="0" w:firstRow="1"/>
      </w:tblPr>
      <w:tblGrid>
        <w:gridCol w:w="882"/>
        <w:gridCol w:w="884"/>
        <w:gridCol w:w="1026"/>
        <w:gridCol w:w="959"/>
        <w:gridCol w:w="983"/>
        <w:gridCol w:w="2328"/>
        <w:gridCol w:w="2297"/>
      </w:tblGrid>
      <w:tr>
        <w:trPr>
          <w:trHeight w:val="276" w:hRule="atLeast"/>
          <w:cnfStyle w:val="100000000000" w:firstRow="1" w:lastRow="0" w:firstColumn="0" w:lastColumn="0" w:oddVBand="0" w:evenVBand="0" w:oddHBand="0" w:evenHBand="0" w:firstRowFirstColumn="0" w:firstRowLastColumn="0" w:lastRowFirstColumn="0" w:lastRowLastColumn="0"/>
        </w:trPr>
        <w:tc>
          <w:tcPr>
            <w:tcW w:w="882" w:type="dxa"/>
            <w:cnfStyle w:val="001000000000" w:firstRow="0" w:lastRow="0" w:firstColumn="1" w:lastColumn="0" w:oddVBand="0" w:evenVBand="0" w:oddHBand="0" w:evenHBand="0" w:firstRowFirstColumn="0" w:firstRowLastColumn="0" w:lastRowFirstColumn="0" w:lastRowLastColumn="0"/>
            <w:tcBorders>
              <w:top w:val="single" w:sz="8" w:space="0" w:color="000000"/>
              <w:bottom w:val="single" w:sz="8" w:space="0" w:color="000000"/>
            </w:tcBorders>
            <w:shd w:color="auto" w:fill="auto" w:val="clear"/>
            <w:vAlign w:val="center"/>
          </w:tcPr>
          <w:p>
            <w:pPr>
              <w:pStyle w:val="Style15"/>
              <w:rPr>
                <w:rFonts w:eastAsia="Adobe 宋体 Std L" w:cs="Times New Roman"/>
                <w:color w:val="000000" w:themeColor="text1"/>
                <w:highlight w:val="yellow"/>
              </w:rPr>
            </w:pPr>
            <w:r>
              <w:rPr>
                <w:rFonts w:eastAsia="Adobe 宋体 Std L" w:cs="Times New Roman" w:ascii="等线" w:hAnsi="等线"/>
                <w:b/>
                <w:color w:val="000000" w:themeColor="text1"/>
              </w:rPr>
              <w:t>Num</w:t>
            </w:r>
          </w:p>
        </w:tc>
        <w:tc>
          <w:tcPr>
            <w:tcW w:w="884"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color w:val="000000" w:themeColor="text1"/>
                <w:highlight w:val="yellow"/>
              </w:rPr>
            </w:pPr>
            <w:r>
              <w:rPr>
                <w:rFonts w:eastAsia="Adobe 宋体 Std L" w:cs="Times New Roman" w:ascii="等线" w:hAnsi="等线"/>
                <w:b/>
                <w:color w:val="000000" w:themeColor="text1"/>
              </w:rPr>
              <w:t>Jdet</w:t>
            </w:r>
          </w:p>
        </w:tc>
        <w:tc>
          <w:tcPr>
            <w:tcW w:w="1026"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color w:val="000000" w:themeColor="text1"/>
                <w:highlight w:val="yellow"/>
              </w:rPr>
            </w:pPr>
            <w:r>
              <w:rPr>
                <w:rFonts w:eastAsia="Adobe 宋体 Std L" w:cs="Times New Roman" w:ascii="等线" w:hAnsi="等线"/>
                <w:b/>
                <w:color w:val="000000" w:themeColor="text1"/>
              </w:rPr>
              <w:t>Cross</w:t>
            </w:r>
          </w:p>
        </w:tc>
        <w:tc>
          <w:tcPr>
            <w:tcW w:w="959"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color w:val="000000" w:themeColor="text1"/>
                <w:highlight w:val="yellow"/>
              </w:rPr>
            </w:pPr>
            <w:r>
              <w:rPr>
                <w:rFonts w:eastAsia="Adobe 宋体 Std L" w:cs="Times New Roman" w:ascii="等线" w:hAnsi="等线"/>
                <w:b/>
                <w:color w:val="000000" w:themeColor="text1"/>
              </w:rPr>
              <w:t>Cos</w:t>
            </w:r>
          </w:p>
        </w:tc>
        <w:tc>
          <w:tcPr>
            <w:tcW w:w="983"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color w:val="000000" w:themeColor="text1"/>
                <w:highlight w:val="yellow"/>
              </w:rPr>
            </w:pPr>
            <w:r>
              <w:rPr>
                <w:rFonts w:eastAsia="Adobe 宋体 Std L" w:cs="Times New Roman" w:ascii="等线" w:hAnsi="等线"/>
                <w:b/>
                <w:color w:val="000000" w:themeColor="text1"/>
              </w:rPr>
              <w:t>MSE</w:t>
            </w:r>
          </w:p>
        </w:tc>
        <w:tc>
          <w:tcPr>
            <w:tcW w:w="2328"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color w:val="000000" w:themeColor="text1"/>
              </w:rPr>
            </w:pPr>
            <w:r>
              <w:rPr>
                <w:rFonts w:eastAsia="Adobe 宋体 Std L" w:cs="Times New Roman" w:ascii="等线" w:hAnsi="等线"/>
                <w:b/>
                <w:color w:val="000000" w:themeColor="text1"/>
              </w:rPr>
              <w:t>Dice</w:t>
            </w:r>
          </w:p>
        </w:tc>
        <w:tc>
          <w:tcPr>
            <w:tcW w:w="2297" w:type="dxa"/>
            <w:tcBorders>
              <w:top w:val="single" w:sz="8" w:space="0" w:color="000000"/>
              <w:bottom w:val="single" w:sz="8" w:space="0" w:color="000000"/>
            </w:tcBorders>
            <w:shd w:color="auto" w:fill="auto" w:val="clear"/>
            <w:vAlign w:val="center"/>
          </w:tcPr>
          <w:p>
            <w:pPr>
              <w:pStyle w:val="Style15"/>
              <w:cnfStyle w:val="100000000000" w:firstRow="1" w:lastRow="0" w:firstColumn="0" w:lastColumn="0" w:oddVBand="0" w:evenVBand="0" w:oddHBand="0" w:evenHBand="0" w:firstRowFirstColumn="0" w:firstRowLastColumn="0" w:lastRowFirstColumn="0" w:lastRowLastColumn="0"/>
              <w:rPr>
                <w:rFonts w:eastAsia="Adobe 宋体 Std L" w:cs="Times New Roman"/>
                <w:bCs/>
                <w:color w:val="000000" w:themeColor="text1"/>
              </w:rPr>
            </w:pPr>
            <w:r>
              <w:rPr>
                <w:b/>
              </w:rPr>
            </w:r>
            <m:oMath xmlns:m="http://schemas.openxmlformats.org/officeDocument/2006/math">
              <m:sSub>
                <m:e>
                  <m:r>
                    <w:rPr>
                      <w:rFonts w:ascii="Cambria Math" w:hAnsi="Cambria Math"/>
                    </w:rPr>
                    <m:t xml:space="preserve">J</m:t>
                  </m:r>
                </m:e>
                <m:sub>
                  <m:r>
                    <w:rPr>
                      <w:rFonts w:ascii="Cambria Math" w:hAnsi="Cambria Math"/>
                    </w:rPr>
                    <m:t xml:space="preserve">Ф</m:t>
                  </m:r>
                </m:sub>
              </m:sSub>
              <m:r>
                <w:rPr>
                  <w:rFonts w:ascii="Cambria Math" w:hAnsi="Cambria Math"/>
                </w:rPr>
                <m:t xml:space="preserve">≤</m:t>
              </m:r>
              <m:r>
                <w:rPr>
                  <w:rFonts w:ascii="Cambria Math" w:hAnsi="Cambria Math"/>
                </w:rPr>
                <m:t xml:space="preserve">0</m:t>
              </m:r>
            </m:oMath>
            <w:r>
              <w:rPr>
                <w:rFonts w:eastAsia="ＭＳ 明朝" w:ascii="等线" w:hAnsi="等线"/>
                <w:b/>
              </w:rPr>
              <w:t xml:space="preserve"> </w:t>
            </w:r>
            <w:r>
              <w:rPr>
                <w:rFonts w:eastAsia="Adobe 宋体 Std L" w:cs="Times New Roman" w:ascii="等线" w:hAnsi="等线"/>
                <w:b/>
                <w:color w:val="000000" w:themeColor="text1"/>
              </w:rPr>
              <w:t>(%</w:t>
            </w:r>
            <w:r>
              <w:rPr>
                <w:rFonts w:eastAsia="Adobe 宋体 Std L" w:cs="Times New Roman" w:ascii="等线" w:hAnsi="等线"/>
                <w:b/>
                <w:color w:val="000000" w:themeColor="text1"/>
                <w:sz w:val="16"/>
                <w:szCs w:val="16"/>
              </w:rPr>
              <w:t>)</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single" w:sz="8" w:space="0" w:color="000000"/>
              <w:bottom w:val="nil"/>
            </w:tcBorders>
            <w:shd w:color="auto" w:fill="auto" w:val="clear"/>
            <w:vAlign w:val="center"/>
          </w:tcPr>
          <w:p>
            <w:pPr>
              <w:pStyle w:val="Style15"/>
              <w:rPr>
                <w:rFonts w:eastAsia="Adobe 宋体 Std L" w:cs="Times New Roman"/>
                <w:color w:val="000000" w:themeColor="text1"/>
              </w:rPr>
            </w:pPr>
            <w:r>
              <w:rPr>
                <w:rFonts w:eastAsia="Adobe 宋体 Std L" w:cs="Times New Roman" w:ascii="等线" w:hAnsi="等线"/>
                <w:b w:val="false"/>
                <w:bCs/>
                <w:color w:val="000000" w:themeColor="text1"/>
              </w:rPr>
              <w:t>1</w:t>
            </w:r>
          </w:p>
        </w:tc>
        <w:tc>
          <w:tcPr>
            <w:tcW w:w="884"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1026"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959"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983"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2328"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0.784±0.025**</w:t>
            </w:r>
          </w:p>
        </w:tc>
        <w:tc>
          <w:tcPr>
            <w:tcW w:w="2297" w:type="dxa"/>
            <w:tcBorders>
              <w:top w:val="single" w:sz="8" w:space="0" w:color="000000"/>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b/>
                <w:b/>
                <w:bCs/>
                <w:color w:val="000000" w:themeColor="text1"/>
              </w:rPr>
            </w:pPr>
            <w:r>
              <w:rPr>
                <w:rFonts w:eastAsia="Adobe 宋体 Std L" w:cs="" w:ascii="等线" w:hAnsi="等线" w:cstheme="minorBidi"/>
                <w:b/>
                <w:bCs/>
                <w:color w:val="000000" w:themeColor="text1"/>
                <w:kern w:val="2"/>
                <w:szCs w:val="22"/>
              </w:rPr>
              <w:t>0.034±6.014e-3**</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Cs/>
                <w:color w:val="000000" w:themeColor="text1"/>
              </w:rPr>
            </w:pPr>
            <w:r>
              <w:rPr>
                <w:rFonts w:eastAsia="Adobe 宋体 Std L" w:cs="Times New Roman" w:ascii="等线" w:hAnsi="等线"/>
                <w:b w:val="false"/>
                <w:bCs/>
                <w:color w:val="000000" w:themeColor="text1"/>
              </w:rPr>
              <w:t>2</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0.785±0.026**</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0.039±5.974e-3**</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Cs/>
                <w:color w:val="000000" w:themeColor="text1"/>
              </w:rPr>
            </w:pPr>
            <w:r>
              <w:rPr>
                <w:rFonts w:eastAsia="Adobe 宋体 Std L" w:cs="Times New Roman" w:ascii="等线" w:hAnsi="等线"/>
                <w:b w:val="false"/>
                <w:bCs/>
                <w:color w:val="000000" w:themeColor="text1"/>
              </w:rPr>
              <w:t>3</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0.796±0.023</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0.130±0.015**</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Cs/>
                <w:color w:val="000000" w:themeColor="text1"/>
              </w:rPr>
            </w:pPr>
            <w:r>
              <w:rPr>
                <w:rFonts w:eastAsia="Adobe 宋体 Std L" w:cs="Times New Roman" w:ascii="等线" w:hAnsi="等线"/>
                <w:b w:val="false"/>
                <w:bCs/>
                <w:color w:val="000000" w:themeColor="text1"/>
              </w:rPr>
              <w:t>4</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b/>
                <w:b/>
                <w:bCs/>
                <w:color w:val="000000" w:themeColor="text1"/>
              </w:rPr>
            </w:pPr>
            <w:r>
              <w:rPr>
                <w:rFonts w:eastAsia="Adobe 宋体 Std L" w:cs="" w:ascii="等线" w:hAnsi="等线" w:cstheme="minorBidi"/>
                <w:b/>
                <w:bCs/>
                <w:color w:val="000000" w:themeColor="text1"/>
                <w:kern w:val="2"/>
                <w:szCs w:val="22"/>
              </w:rPr>
              <w:t>0.800±0.023</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0.146±0.150</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auto" w:val="clear"/>
            <w:vAlign w:val="center"/>
          </w:tcPr>
          <w:p>
            <w:pPr>
              <w:pStyle w:val="Style15"/>
              <w:rPr>
                <w:rFonts w:eastAsia="Adobe 宋体 Std L" w:cs="Times New Roman"/>
                <w:bCs/>
                <w:color w:val="000000" w:themeColor="text1"/>
              </w:rPr>
            </w:pPr>
            <w:r>
              <w:rPr>
                <w:rFonts w:eastAsia="Adobe 宋体 Std L" w:cs="Times New Roman" w:ascii="等线" w:hAnsi="等线"/>
                <w:b w:val="false"/>
                <w:bCs/>
                <w:color w:val="000000" w:themeColor="text1"/>
              </w:rPr>
              <w:t>5</w:t>
            </w:r>
          </w:p>
        </w:tc>
        <w:tc>
          <w:tcPr>
            <w:tcW w:w="884"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1026"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59"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983"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2328"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0.771±0.026**</w:t>
            </w:r>
          </w:p>
        </w:tc>
        <w:tc>
          <w:tcPr>
            <w:tcW w:w="2297" w:type="dxa"/>
            <w:tcBorders>
              <w:top w:val="nil"/>
              <w:bottom w:val="nil"/>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0.090±0.014**</w:t>
            </w:r>
          </w:p>
        </w:tc>
      </w:tr>
      <w:tr>
        <w:trPr>
          <w:trHeight w:val="276" w:hRule="atLeast"/>
        </w:trPr>
        <w:tc>
          <w:tcPr>
            <w:tcW w:w="882" w:type="dxa"/>
            <w:cnfStyle w:val="001000000000" w:firstRow="0" w:lastRow="0" w:firstColumn="1" w:lastColumn="0" w:oddVBand="0" w:evenVBand="0" w:oddHBand="0" w:evenHBand="0" w:firstRowFirstColumn="0" w:firstRowLastColumn="0" w:lastRowFirstColumn="0" w:lastRowLastColumn="0"/>
            <w:tcBorders>
              <w:top w:val="nil"/>
              <w:bottom w:val="single" w:sz="12" w:space="0" w:color="000000"/>
            </w:tcBorders>
            <w:shd w:color="auto" w:fill="auto" w:val="clear"/>
            <w:vAlign w:val="center"/>
          </w:tcPr>
          <w:p>
            <w:pPr>
              <w:pStyle w:val="Style15"/>
              <w:rPr>
                <w:rFonts w:eastAsia="Adobe 宋体 Std L" w:cs="Times New Roman"/>
                <w:bCs/>
                <w:color w:val="000000" w:themeColor="text1"/>
              </w:rPr>
            </w:pPr>
            <w:r>
              <w:rPr>
                <w:rFonts w:eastAsia="Adobe 宋体 Std L" w:cs="Times New Roman" w:ascii="等线" w:hAnsi="等线"/>
                <w:b w:val="false"/>
                <w:bCs/>
                <w:color w:val="000000" w:themeColor="text1"/>
              </w:rPr>
              <w:t>6</w:t>
            </w:r>
          </w:p>
        </w:tc>
        <w:tc>
          <w:tcPr>
            <w:tcW w:w="884"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1026"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59"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w:t>
            </w:r>
          </w:p>
        </w:tc>
        <w:tc>
          <w:tcPr>
            <w:tcW w:w="983"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color w:val="000000" w:themeColor="text1"/>
                <w:szCs w:val="22"/>
              </w:rPr>
            </w:r>
          </w:p>
        </w:tc>
        <w:tc>
          <w:tcPr>
            <w:tcW w:w="2328"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0.799±0.023</w:t>
            </w:r>
          </w:p>
        </w:tc>
        <w:tc>
          <w:tcPr>
            <w:tcW w:w="2297" w:type="dxa"/>
            <w:tcBorders>
              <w:top w:val="nil"/>
              <w:bottom w:val="single" w:sz="12" w:space="0" w:color="000000"/>
            </w:tcBorders>
            <w:shd w:color="auto" w:fill="auto" w:val="clear"/>
            <w:vAlign w:val="center"/>
          </w:tcPr>
          <w:p>
            <w:pPr>
              <w:pStyle w:val="Normal"/>
              <w:spacing w:before="0" w:after="0"/>
              <w:jc w:val="center"/>
              <w:cnfStyle w:val="000000000000" w:firstRow="0" w:lastRow="0" w:firstColumn="0" w:lastColumn="0" w:oddVBand="0" w:evenVBand="0" w:oddHBand="0" w:evenHBand="0" w:firstRowFirstColumn="0" w:firstRowLastColumn="0" w:lastRowFirstColumn="0" w:lastRowLastColumn="0"/>
              <w:rPr>
                <w:rFonts w:eastAsia="Adobe 宋体 Std L"/>
                <w:color w:val="000000" w:themeColor="text1"/>
              </w:rPr>
            </w:pPr>
            <w:r>
              <w:rPr>
                <w:rFonts w:eastAsia="Adobe 宋体 Std L" w:cs="" w:ascii="等线" w:hAnsi="等线" w:cstheme="minorBidi"/>
                <w:color w:val="000000" w:themeColor="text1"/>
                <w:kern w:val="2"/>
                <w:szCs w:val="22"/>
              </w:rPr>
              <w:t>0.168±0.015**</w:t>
            </w:r>
          </w:p>
        </w:tc>
      </w:tr>
    </w:tbl>
    <w:p>
      <w:pPr>
        <w:pStyle w:val="Normal"/>
        <w:rPr>
          <w:color w:val="000000" w:themeColor="text1"/>
        </w:rPr>
      </w:pPr>
      <w:r>
        <w:rPr>
          <w:color w:val="000000"/>
        </w:rPr>
        <w:fldChar w:fldCharType="begin"/>
      </w:r>
      <w:r>
        <w:rPr>
          <w:color w:val="000000"/>
        </w:rPr>
        <w:instrText> REF _Ref150718584 \h </w:instrText>
      </w:r>
      <w:r>
        <w:rPr>
          <w:color w:val="000000"/>
        </w:rPr>
        <w:fldChar w:fldCharType="separate"/>
      </w:r>
      <w:r>
        <w:rPr>
          <w:color w:val="000000"/>
        </w:rPr>
        <w:t>Table 4</w:t>
      </w:r>
      <w:r>
        <w:rPr>
          <w:color w:val="000000"/>
        </w:rPr>
        <w:fldChar w:fldCharType="end"/>
      </w:r>
      <w:r>
        <w:rPr>
          <w:color w:val="000000" w:themeColor="text1"/>
        </w:rPr>
        <w:t xml:space="preserve"> </w:t>
      </w:r>
      <w:r>
        <w:rPr>
          <w:color w:val="000000" w:themeColor="text1"/>
        </w:rPr>
        <w:t>compares the results of six groups of ablation experiments. Comparing the results of experiments 1, 4, and 6, it is consistent with the performance of the ADNI data set, and the OASIS-1 data set also achieved the best results under the constraint of Jacobian loss. Comparing the results of experiments 1, 2, and 4, the dual-channel cross constraint contributes the most to the improvement of the result, and the Dice value increases from 0.785 to 0.800. Additionally, comparing the results of experiments 3, 4, and 5, The direction consistency constraint also played an important role in promoting the model.</w:t>
      </w:r>
    </w:p>
    <w:p>
      <w:pPr>
        <w:pStyle w:val="Normal"/>
        <w:rPr/>
      </w:pPr>
      <w:r>
        <w:rPr>
          <w:color w:val="000000" w:themeColor="text1"/>
        </w:rPr>
        <w:t>In summary, while the ablation experiment results exhibit slightly different across the three datasets, they consistently highlight the significant contributions of two key innovations: the dual-channel cross constrained network structure and the directional consistency constraint. These components have played a crucial role in enhancing the accuracy of the registration in our method. In addition, our method can work on different data sets, which also verifies that our mode</w:t>
      </w:r>
      <w:r>
        <w:rPr/>
        <w:t>l has strong generalization.</w:t>
      </w:r>
    </w:p>
    <w:p>
      <w:pPr>
        <w:pStyle w:val="Normal"/>
        <w:rPr/>
      </w:pPr>
      <w:r>
        <w:rPr>
          <w:b/>
          <w:i/>
          <w:iCs/>
          <w:szCs w:val="22"/>
        </w:rPr>
        <w:t>5.Conclusion</w:t>
      </w:r>
    </w:p>
    <w:p>
      <w:pPr>
        <w:pStyle w:val="Normal"/>
        <w:rPr/>
      </w:pPr>
      <w:r>
        <w:rPr/>
        <w:t>This paper introduces an innovative registration network, leveraging a dual-channel cross-constrained approach. Our method effectively utilizes semantic-level consistency information between intensity and segmentation images to improve registration accuracy. Additionally, to ensure topological preservation of the deformation field, we introduce a consistency similarity function, strengthening penalties for included angles exceeding 90 degrees. A comprehensive set of experiments demonstrates the consistent outperformance of our method compared to the baseline across all four publicly available datasets.</w:t>
      </w:r>
    </w:p>
    <w:p>
      <w:pPr>
        <w:pStyle w:val="Keyword"/>
        <w:widowControl w:val="false"/>
        <w:snapToGrid w:val="false"/>
        <w:spacing w:before="240" w:after="60"/>
        <w:rPr>
          <w:b/>
          <w:b/>
          <w:bCs/>
          <w:sz w:val="24"/>
          <w:szCs w:val="24"/>
        </w:rPr>
      </w:pPr>
      <w:r>
        <w:rPr>
          <w:b/>
          <w:bCs/>
          <w:sz w:val="24"/>
          <w:szCs w:val="24"/>
        </w:rPr>
        <w:t xml:space="preserve">Acknowledgement: </w:t>
      </w:r>
      <w:r>
        <w:rPr>
          <w:sz w:val="24"/>
          <w:szCs w:val="24"/>
        </w:rPr>
        <w:t>Not applicable</w:t>
      </w:r>
    </w:p>
    <w:p>
      <w:pPr>
        <w:pStyle w:val="Keyword"/>
        <w:widowControl w:val="false"/>
        <w:snapToGrid w:val="false"/>
        <w:spacing w:before="240" w:after="60"/>
        <w:rPr>
          <w:b/>
          <w:b/>
          <w:bCs/>
          <w:sz w:val="24"/>
          <w:szCs w:val="24"/>
        </w:rPr>
      </w:pPr>
      <w:r>
        <w:rPr>
          <w:b/>
          <w:bCs/>
          <w:sz w:val="24"/>
          <w:szCs w:val="24"/>
        </w:rPr>
      </w:r>
    </w:p>
    <w:p>
      <w:pPr>
        <w:pStyle w:val="Normal"/>
        <w:rPr>
          <w:lang w:val="en-GB"/>
        </w:rPr>
      </w:pPr>
      <w:r>
        <w:rPr>
          <w:b/>
          <w:bCs/>
          <w:sz w:val="24"/>
          <w:szCs w:val="24"/>
        </w:rPr>
        <w:t>Author Contributions:</w:t>
      </w:r>
      <w:r>
        <w:rPr>
          <w:lang w:val="en-GB"/>
        </w:rPr>
        <w:t>The authors confirm contribution to the paper as follows: model framework design and code implementation: Han Zhou. Author, Hongtao Xu. Author; data preprocessing: Han Zhou. Author,Xinyue Chang; analysis and interpretation of results: Han Zhou. Author, WeiZhang. Author.; draft manuscript preparation: Han Zhou. Author. Heng Dong. Author. All authors reviewed the results and approved the final version of the manuscript.</w:t>
      </w:r>
    </w:p>
    <w:p>
      <w:pPr>
        <w:pStyle w:val="Normal"/>
        <w:rPr>
          <w:lang w:val="en-GB"/>
        </w:rPr>
      </w:pPr>
      <w:r>
        <w:rPr>
          <w:lang w:val="en-GB"/>
        </w:rPr>
      </w:r>
    </w:p>
    <w:p>
      <w:pPr>
        <w:pStyle w:val="Normal"/>
        <w:rPr/>
      </w:pPr>
      <w:r>
        <w:rPr>
          <w:b/>
          <w:color w:val="000000" w:themeColor="text1"/>
          <w:szCs w:val="22"/>
        </w:rPr>
        <w:t>Funding Statement :</w:t>
      </w:r>
      <w:r>
        <w:rPr>
          <w:color w:val="000000" w:themeColor="text1"/>
          <w:szCs w:val="22"/>
        </w:rPr>
        <w:t xml:space="preserve"> </w:t>
      </w:r>
      <w:r>
        <w:rPr>
          <w:shd w:fill="FFFFFF" w:val="clear"/>
        </w:rPr>
        <w:t xml:space="preserve">This work was supported in part by National Natural Science Foundation of China (Grant No. 62171130, </w:t>
      </w:r>
      <w:r>
        <w:rPr>
          <w:shd w:fill="FFFFFF" w:val="clear"/>
          <w:lang w:bidi="ar"/>
        </w:rPr>
        <w:t>62172197</w:t>
      </w:r>
      <w:r>
        <w:rPr>
          <w:shd w:fill="FFFFFF" w:val="clear"/>
        </w:rPr>
        <w:t xml:space="preserve">, 61972093), the Natural Science Foundation of Fujian Province (Grant No.2020J01573, </w:t>
      </w:r>
      <w:r>
        <w:rPr>
          <w:shd w:fill="FFFFFF" w:val="clear"/>
          <w:lang w:bidi="ar"/>
        </w:rPr>
        <w:t>2022J01131257, 2022J01607</w:t>
      </w:r>
      <w:r>
        <w:rPr>
          <w:shd w:fill="FFFFFF" w:val="clear"/>
        </w:rPr>
        <w:t>), Fujian University Industry University Research Joint Innovation Project (No. 2022H6006) and in part by the Fund of Cloud Computing and Big Data for Smart Agriculture (Grant No.117-612014063), National Natural Science Foundation of China (Grant No.62301160), Nature Science Foundation of Fujian Province (Grant No.2022J01607).</w:t>
      </w:r>
    </w:p>
    <w:p>
      <w:pPr>
        <w:pStyle w:val="Keyword"/>
        <w:widowControl w:val="false"/>
        <w:snapToGrid w:val="false"/>
        <w:spacing w:before="240" w:after="60"/>
        <w:rPr>
          <w:color w:val="000000" w:themeColor="text1"/>
          <w:szCs w:val="22"/>
        </w:rPr>
      </w:pPr>
      <w:r>
        <w:rPr>
          <w:b/>
          <w:bCs/>
          <w:color w:val="000000" w:themeColor="text1"/>
          <w:szCs w:val="22"/>
        </w:rPr>
        <w:t xml:space="preserve">Availability of Data and Materials: </w:t>
      </w:r>
      <w:r>
        <w:rPr>
          <w:color w:val="000000" w:themeColor="text1"/>
          <w:szCs w:val="22"/>
        </w:rPr>
        <w:t>In our paper, we utilized four datasets. You can access the preprocessed datasets for LPBA40 and OASIS-1, while the datasets for OASIS-3 and ADNI remain unprocessed. Please note that the preprocessing for OASIS-3 and ADNI was done using the iBeat software, and unfortunately, we are unable to share the processed data at the moment. You can use FreeSurfer to perform preprocessing on these datasets on your own.</w:t>
      </w:r>
    </w:p>
    <w:p>
      <w:pPr>
        <w:pStyle w:val="Keyword"/>
        <w:widowControl w:val="false"/>
        <w:snapToGrid w:val="false"/>
        <w:spacing w:before="0" w:after="0"/>
        <w:rPr>
          <w:color w:val="000000" w:themeColor="text1"/>
          <w:szCs w:val="22"/>
        </w:rPr>
      </w:pPr>
      <w:r>
        <w:rPr>
          <w:color w:val="000000" w:themeColor="text1"/>
          <w:szCs w:val="22"/>
        </w:rPr>
        <w:t>LPBA40:</w:t>
      </w:r>
      <w:r>
        <w:rPr/>
        <w:t xml:space="preserve"> </w:t>
      </w:r>
      <w:hyperlink r:id="rId108">
        <w:r>
          <w:rPr>
            <w:rStyle w:val="InternetLink"/>
            <w:color w:val="000000" w:themeColor="text1"/>
            <w:szCs w:val="22"/>
            <w:u w:val="none"/>
          </w:rPr>
          <w:t>https://www.loni.usc.edu/research/atlas_downloads</w:t>
        </w:r>
      </w:hyperlink>
      <w:r>
        <w:rPr>
          <w:color w:val="000000" w:themeColor="text1"/>
          <w:szCs w:val="22"/>
        </w:rPr>
        <w:t>;</w:t>
      </w:r>
    </w:p>
    <w:p>
      <w:pPr>
        <w:pStyle w:val="Keyword"/>
        <w:widowControl w:val="false"/>
        <w:snapToGrid w:val="false"/>
        <w:spacing w:before="0" w:after="0"/>
        <w:rPr>
          <w:color w:val="000000" w:themeColor="text1"/>
          <w:szCs w:val="22"/>
        </w:rPr>
      </w:pPr>
      <w:r>
        <w:rPr>
          <w:color w:val="000000" w:themeColor="text1"/>
          <w:szCs w:val="22"/>
        </w:rPr>
        <w:t>OASIS-1:</w:t>
      </w:r>
      <w:r>
        <w:rPr/>
        <w:t xml:space="preserve"> </w:t>
      </w:r>
      <w:hyperlink r:id="rId109">
        <w:r>
          <w:rPr>
            <w:rStyle w:val="InternetLink"/>
            <w:color w:val="000000" w:themeColor="text1"/>
            <w:szCs w:val="22"/>
            <w:u w:val="none"/>
          </w:rPr>
          <w:t>https://github.com/adalca/medical-datasets/blob/master/neurite-oasis.md</w:t>
        </w:r>
      </w:hyperlink>
      <w:r>
        <w:rPr>
          <w:color w:val="000000" w:themeColor="text1"/>
          <w:szCs w:val="22"/>
        </w:rPr>
        <w:t>;</w:t>
      </w:r>
    </w:p>
    <w:p>
      <w:pPr>
        <w:pStyle w:val="Keyword"/>
        <w:widowControl w:val="false"/>
        <w:snapToGrid w:val="false"/>
        <w:spacing w:before="0" w:after="0"/>
        <w:rPr>
          <w:color w:val="000000" w:themeColor="text1"/>
          <w:szCs w:val="22"/>
        </w:rPr>
      </w:pPr>
      <w:r>
        <w:rPr>
          <w:color w:val="000000" w:themeColor="text1"/>
          <w:szCs w:val="22"/>
        </w:rPr>
        <w:t>OASIS-3:</w:t>
      </w:r>
      <w:r>
        <w:rPr/>
        <w:t xml:space="preserve"> </w:t>
      </w:r>
      <w:r>
        <w:rPr>
          <w:color w:val="000000" w:themeColor="text1"/>
          <w:szCs w:val="22"/>
        </w:rPr>
        <w:t>https://www.oasis-brains.org/#access;</w:t>
      </w:r>
    </w:p>
    <w:p>
      <w:pPr>
        <w:pStyle w:val="Keyword"/>
        <w:widowControl w:val="false"/>
        <w:snapToGrid w:val="false"/>
        <w:spacing w:before="0" w:after="0"/>
        <w:rPr>
          <w:color w:val="000000" w:themeColor="text1"/>
          <w:szCs w:val="22"/>
        </w:rPr>
      </w:pPr>
      <w:r>
        <w:rPr>
          <w:color w:val="000000" w:themeColor="text1"/>
          <w:szCs w:val="22"/>
        </w:rPr>
        <w:t>ADNI:</w:t>
      </w:r>
      <w:r>
        <w:rPr/>
        <w:t xml:space="preserve"> </w:t>
      </w:r>
      <w:r>
        <w:rPr>
          <w:color w:val="000000" w:themeColor="text1"/>
          <w:szCs w:val="22"/>
        </w:rPr>
        <w:t>https://adni.loni.usc.edu/data-samples/access-data/;</w:t>
      </w:r>
    </w:p>
    <w:p>
      <w:pPr>
        <w:pStyle w:val="Keyword"/>
        <w:widowControl w:val="false"/>
        <w:tabs>
          <w:tab w:val="clear" w:pos="720"/>
          <w:tab w:val="left" w:pos="187" w:leader="none"/>
        </w:tabs>
        <w:snapToGrid w:val="false"/>
        <w:spacing w:before="240" w:after="60"/>
        <w:rPr>
          <w:szCs w:val="22"/>
        </w:rPr>
      </w:pPr>
      <w:r>
        <w:rPr>
          <w:b/>
          <w:szCs w:val="22"/>
        </w:rPr>
        <w:t xml:space="preserve">Conflicts of Interest: </w:t>
      </w:r>
      <w:r>
        <w:rPr>
          <w:szCs w:val="22"/>
        </w:rPr>
        <w:t>The authors declare that they have no conflicts of interest to report regarding the present study.</w:t>
      </w:r>
    </w:p>
    <w:p>
      <w:pPr>
        <w:pStyle w:val="Keyword"/>
        <w:widowControl w:val="false"/>
        <w:tabs>
          <w:tab w:val="clear" w:pos="720"/>
          <w:tab w:val="left" w:pos="187" w:leader="none"/>
        </w:tabs>
        <w:snapToGrid w:val="false"/>
        <w:spacing w:before="240" w:after="0"/>
        <w:rPr>
          <w:bCs/>
        </w:rPr>
      </w:pPr>
      <w:r>
        <w:rPr>
          <w:b/>
          <w:bCs/>
        </w:rPr>
        <w:t>References</w:t>
      </w:r>
    </w:p>
    <w:p>
      <w:pPr>
        <w:pStyle w:val="12"/>
        <w:rPr>
          <w:sz w:val="20"/>
        </w:rPr>
      </w:pPr>
      <w:r>
        <w:fldChar w:fldCharType="begin"/>
      </w:r>
      <w:r>
        <w:rPr/>
        <w:instrText>ADDIN ZOTERO_BIBL {"uncited":[],"omitted":[],"custom":[]} CSL_BIBLIOGRAPHY</w:instrText>
      </w:r>
      <w:r>
        <w:rPr/>
      </w:r>
      <w:r>
        <w:rPr/>
        <w:fldChar w:fldCharType="separate"/>
      </w:r>
      <w:r>
        <w:rPr/>
      </w:r>
      <w:r>
        <w:rPr>
          <w:sz w:val="20"/>
        </w:rPr>
        <w:t>[1]</w:t>
        <w:tab/>
        <w:t>A. V. Dalca, G. Balakrishnan, J. Guttag, and M. R. Sabuncu, “Unsupervised Learning for Fast Probabilistic Diffeomorphic Registration,” vol. 11070, 2018, pp. 729–738. doi: 10.1007/978-3-030-00928-1_82.</w:t>
      </w:r>
    </w:p>
    <w:p>
      <w:pPr>
        <w:pStyle w:val="12"/>
        <w:rPr>
          <w:sz w:val="20"/>
        </w:rPr>
      </w:pPr>
      <w:r>
        <w:rPr>
          <w:sz w:val="20"/>
        </w:rPr>
        <w:t>[2]</w:t>
        <w:tab/>
        <w:t xml:space="preserve">Y. Fu, Y. Lei, T. Wang, W. J. Curran, T. Liu, and X. Yang, “Deep learning in medical image registration: a review,” </w:t>
      </w:r>
      <w:r>
        <w:rPr>
          <w:i/>
          <w:iCs/>
          <w:sz w:val="20"/>
        </w:rPr>
        <w:t>Phys Med Biol</w:t>
      </w:r>
      <w:r>
        <w:rPr>
          <w:sz w:val="20"/>
        </w:rPr>
        <w:t>, vol. 65, no. 20, p. 20TR01, Oct. 2020, doi: 10.1088/1361-6560/ab843e.</w:t>
      </w:r>
    </w:p>
    <w:p>
      <w:pPr>
        <w:pStyle w:val="12"/>
        <w:rPr>
          <w:sz w:val="20"/>
        </w:rPr>
      </w:pPr>
      <w:r>
        <w:rPr>
          <w:sz w:val="20"/>
        </w:rPr>
        <w:t>[3]</w:t>
        <w:tab/>
        <w:t xml:space="preserve">S. P. Singh, L. Wang, S. Gupta, H. Goli, P. Padmanabhan, and B. Gulyás, “3D Deep Learning on Medical Images: A Review,” </w:t>
      </w:r>
      <w:r>
        <w:rPr>
          <w:i/>
          <w:iCs/>
          <w:sz w:val="20"/>
        </w:rPr>
        <w:t>Sensors</w:t>
      </w:r>
      <w:r>
        <w:rPr>
          <w:sz w:val="20"/>
        </w:rPr>
        <w:t>, vol. 20, no. 18, Art. no. 18, Jan. 2020, doi: 10.3390/s20185097.</w:t>
      </w:r>
    </w:p>
    <w:p>
      <w:pPr>
        <w:pStyle w:val="12"/>
        <w:rPr>
          <w:sz w:val="20"/>
        </w:rPr>
      </w:pPr>
      <w:r>
        <w:rPr>
          <w:sz w:val="20"/>
        </w:rPr>
        <w:t>[4]</w:t>
        <w:tab/>
        <w:t xml:space="preserve">A. F. de Geer </w:t>
      </w:r>
      <w:r>
        <w:rPr>
          <w:i/>
          <w:iCs/>
          <w:sz w:val="20"/>
        </w:rPr>
        <w:t>et al.</w:t>
      </w:r>
      <w:r>
        <w:rPr>
          <w:sz w:val="20"/>
        </w:rPr>
        <w:t xml:space="preserve">, “Registration methods for surgical navigation of the mandible: a systematic review,” </w:t>
      </w:r>
      <w:r>
        <w:rPr>
          <w:i/>
          <w:iCs/>
          <w:sz w:val="20"/>
        </w:rPr>
        <w:t>International Journal of Oral and Maxillofacial Surgery</w:t>
      </w:r>
      <w:r>
        <w:rPr>
          <w:sz w:val="20"/>
        </w:rPr>
        <w:t>, vol. 51, no. 10, pp. 1318–1329, Oct. 2022, doi: 10.1016/j.ijom.2022.01.017.</w:t>
      </w:r>
    </w:p>
    <w:p>
      <w:pPr>
        <w:pStyle w:val="12"/>
        <w:rPr>
          <w:sz w:val="20"/>
        </w:rPr>
      </w:pPr>
      <w:r>
        <w:rPr>
          <w:sz w:val="20"/>
        </w:rPr>
        <w:t>[5]</w:t>
        <w:tab/>
        <w:t xml:space="preserve">H. Yoo and T. Sim, “Automated machine learning (AutoML)-based surface registration methodology for image-guided surgical navigation system,” </w:t>
      </w:r>
      <w:r>
        <w:rPr>
          <w:i/>
          <w:iCs/>
          <w:sz w:val="20"/>
        </w:rPr>
        <w:t>Medical Physics</w:t>
      </w:r>
      <w:r>
        <w:rPr>
          <w:sz w:val="20"/>
        </w:rPr>
        <w:t>, vol. 49, no. 7, pp. 4845–4860, Jul. 2022, doi: 10.1002/mp.15696.</w:t>
      </w:r>
    </w:p>
    <w:p>
      <w:pPr>
        <w:pStyle w:val="12"/>
        <w:rPr>
          <w:sz w:val="20"/>
        </w:rPr>
      </w:pPr>
      <w:r>
        <w:rPr>
          <w:sz w:val="20"/>
        </w:rPr>
        <w:t>[6]</w:t>
        <w:tab/>
        <w:t>T. C. W. Mok and A. C. S. Chung, “Unsupervised Deformable Image Registration with Absent Correspondences in Pre-operative and Post-Recurrence Brain Tumor MRI Scans.” arXiv, Jun. 08, 2022. doi: 10.48550/arXiv.2206.03900.</w:t>
      </w:r>
    </w:p>
    <w:p>
      <w:pPr>
        <w:pStyle w:val="12"/>
        <w:rPr>
          <w:sz w:val="20"/>
        </w:rPr>
      </w:pPr>
      <w:r>
        <w:rPr>
          <w:sz w:val="20"/>
        </w:rPr>
        <w:t>[7]</w:t>
        <w:tab/>
        <w:t xml:space="preserve">A. Nayak </w:t>
      </w:r>
      <w:r>
        <w:rPr>
          <w:i/>
          <w:iCs/>
          <w:sz w:val="20"/>
        </w:rPr>
        <w:t>et al.</w:t>
      </w:r>
      <w:r>
        <w:rPr>
          <w:sz w:val="20"/>
        </w:rPr>
        <w:t xml:space="preserve">, “Computer-aided diagnosis of cirrhosis and hepatocellular carcinoma using multi-phase abdomen CT,” </w:t>
      </w:r>
      <w:r>
        <w:rPr>
          <w:i/>
          <w:iCs/>
          <w:sz w:val="20"/>
        </w:rPr>
        <w:t>Int J CARS</w:t>
      </w:r>
      <w:r>
        <w:rPr>
          <w:sz w:val="20"/>
        </w:rPr>
        <w:t>, vol. 14, no. 8, pp. 1341–1352, Aug. 2019, doi: 10.1007/s11548-019-01991-5.</w:t>
      </w:r>
    </w:p>
    <w:p>
      <w:pPr>
        <w:pStyle w:val="12"/>
        <w:rPr>
          <w:sz w:val="20"/>
        </w:rPr>
      </w:pPr>
      <w:r>
        <w:rPr>
          <w:sz w:val="20"/>
        </w:rPr>
        <w:t>[8]</w:t>
        <w:tab/>
        <w:t xml:space="preserve">D. Wei </w:t>
      </w:r>
      <w:r>
        <w:rPr>
          <w:i/>
          <w:iCs/>
          <w:sz w:val="20"/>
        </w:rPr>
        <w:t>et al.</w:t>
      </w:r>
      <w:r>
        <w:rPr>
          <w:sz w:val="20"/>
        </w:rPr>
        <w:t>, “An Auto-Context Deformable Registration Network for Infant Brain MRI.” arXiv, Jul. 05, 2020. doi: 10.48550/arXiv.2005.09230.</w:t>
      </w:r>
    </w:p>
    <w:p>
      <w:pPr>
        <w:pStyle w:val="12"/>
        <w:rPr>
          <w:sz w:val="20"/>
        </w:rPr>
      </w:pPr>
      <w:r>
        <w:rPr>
          <w:sz w:val="20"/>
        </w:rPr>
        <w:t>[9]</w:t>
        <w:tab/>
        <w:t xml:space="preserve">L. Wei, S. Hu, Y. Gao, X. Cao, G. Wu, and D. Shen, “Learning Appearance and Shape Evolution for Infant Image Registration in the First Year of Life,” in </w:t>
      </w:r>
      <w:r>
        <w:rPr>
          <w:i/>
          <w:iCs/>
          <w:sz w:val="20"/>
        </w:rPr>
        <w:t>Machine Learning in Medical Imaging</w:t>
      </w:r>
      <w:r>
        <w:rPr>
          <w:sz w:val="20"/>
        </w:rPr>
        <w:t>, L. Wang, E. Adeli, Q. Wang, Y. Shi, and H.-I. Suk, Eds., in Lecture Notes in Computer Science. Cham: Springer International Publishing, 2016, pp. 36–44. doi: 10.1007/978-3-319-47157-0_5.</w:t>
      </w:r>
    </w:p>
    <w:p>
      <w:pPr>
        <w:pStyle w:val="12"/>
        <w:rPr>
          <w:sz w:val="20"/>
        </w:rPr>
      </w:pPr>
      <w:r>
        <w:rPr>
          <w:sz w:val="20"/>
        </w:rPr>
        <w:t>[10]</w:t>
        <w:tab/>
        <w:t xml:space="preserve">L. Wei </w:t>
      </w:r>
      <w:r>
        <w:rPr>
          <w:i/>
          <w:iCs/>
          <w:sz w:val="20"/>
        </w:rPr>
        <w:t>et al.</w:t>
      </w:r>
      <w:r>
        <w:rPr>
          <w:sz w:val="20"/>
        </w:rPr>
        <w:t xml:space="preserve">, “Learning-based deformable registration for infant MRI by integrating random forest with auto-context model,” </w:t>
      </w:r>
      <w:r>
        <w:rPr>
          <w:i/>
          <w:iCs/>
          <w:sz w:val="20"/>
        </w:rPr>
        <w:t>Med Phys</w:t>
      </w:r>
      <w:r>
        <w:rPr>
          <w:sz w:val="20"/>
        </w:rPr>
        <w:t>, vol. 44, no. 12, pp. 6289–6303, Dec. 2017, doi: 10.1002/mp.12578.</w:t>
      </w:r>
    </w:p>
    <w:p>
      <w:pPr>
        <w:pStyle w:val="12"/>
        <w:rPr>
          <w:sz w:val="20"/>
        </w:rPr>
      </w:pPr>
      <w:r>
        <w:rPr>
          <w:sz w:val="20"/>
        </w:rPr>
        <w:t>[11]</w:t>
        <w:tab/>
        <w:t xml:space="preserve">T. Vercauteren, X. Pennec, A. Perchant, and N. Ayache, “Diffeomorphic demons: Efficient non-parametric image registration,” </w:t>
      </w:r>
      <w:r>
        <w:rPr>
          <w:i/>
          <w:iCs/>
          <w:sz w:val="20"/>
        </w:rPr>
        <w:t>NeuroImage</w:t>
      </w:r>
      <w:r>
        <w:rPr>
          <w:sz w:val="20"/>
        </w:rPr>
        <w:t>, vol. 45, no. 1, Supplement 1, pp. S61–S72, Mar. 2009, doi: 10.1016/j.neuroimage.2008.10.040.</w:t>
      </w:r>
    </w:p>
    <w:p>
      <w:pPr>
        <w:pStyle w:val="12"/>
        <w:rPr>
          <w:sz w:val="20"/>
        </w:rPr>
      </w:pPr>
      <w:r>
        <w:rPr>
          <w:sz w:val="20"/>
        </w:rPr>
        <w:t>[12]</w:t>
        <w:tab/>
        <w:t xml:space="preserve">J. Glaunès, A. Qiu, M. I. Miller, and L. Younes, “Large Deformation Diffeomorphic Metric Curve Mapping,” </w:t>
      </w:r>
      <w:r>
        <w:rPr>
          <w:i/>
          <w:iCs/>
          <w:sz w:val="20"/>
        </w:rPr>
        <w:t>Int J Comput Vis</w:t>
      </w:r>
      <w:r>
        <w:rPr>
          <w:sz w:val="20"/>
        </w:rPr>
        <w:t>, vol. 80, no. 3, pp. 317–336, Dec. 2008, doi: 10.1007/s11263-008-0141-9.</w:t>
      </w:r>
    </w:p>
    <w:p>
      <w:pPr>
        <w:pStyle w:val="12"/>
        <w:rPr>
          <w:sz w:val="20"/>
        </w:rPr>
      </w:pPr>
      <w:r>
        <w:rPr>
          <w:sz w:val="20"/>
        </w:rPr>
        <w:t>[13]</w:t>
        <w:tab/>
        <w:t xml:space="preserve">B. B. Avants, C. L. Epstein, M. Grossman, and J. C. Gee, “Symmetric diffeomorphic image registration with cross-correlation: evaluating automated labeling of elderly and neurodegenerative brain,” </w:t>
      </w:r>
      <w:r>
        <w:rPr>
          <w:i/>
          <w:iCs/>
          <w:sz w:val="20"/>
        </w:rPr>
        <w:t>Med Image Anal</w:t>
      </w:r>
      <w:r>
        <w:rPr>
          <w:sz w:val="20"/>
        </w:rPr>
        <w:t>, vol. 12, no. 1, pp. 26–41, Feb. 2008, doi: 10.1016/j.media.2007.06.004.</w:t>
      </w:r>
    </w:p>
    <w:p>
      <w:pPr>
        <w:pStyle w:val="12"/>
        <w:rPr>
          <w:sz w:val="20"/>
        </w:rPr>
      </w:pPr>
      <w:r>
        <w:rPr>
          <w:sz w:val="20"/>
        </w:rPr>
        <w:t>[14]</w:t>
        <w:tab/>
        <w:t xml:space="preserve">G. Balakrishnan, A. Zhao, M. R. Sabuncu, J. Guttag, and A. V. Dalca, “VoxelMorph: A Learning Framework for Deformable Medical Image Registration,” </w:t>
      </w:r>
      <w:r>
        <w:rPr>
          <w:i/>
          <w:iCs/>
          <w:sz w:val="20"/>
        </w:rPr>
        <w:t>IEEE Trans. Med. Imaging</w:t>
      </w:r>
      <w:r>
        <w:rPr>
          <w:sz w:val="20"/>
        </w:rPr>
        <w:t>, vol. 38, no. 8, pp. 1788–1800, Aug. 2019, doi: 10.1109/TMI.2019.2897538.</w:t>
      </w:r>
    </w:p>
    <w:p>
      <w:pPr>
        <w:pStyle w:val="12"/>
        <w:rPr>
          <w:sz w:val="20"/>
        </w:rPr>
      </w:pPr>
      <w:r>
        <w:rPr>
          <w:sz w:val="20"/>
        </w:rPr>
        <w:t xml:space="preserve">[15] </w:t>
        <w:tab/>
        <w:t>J. Zhang, “Inverse-Consistent Deep Networks for Unsupervised Deformable Image Registration.” arXiv, Sep. 10,2018.doi:10.48550/arXiv.1809.03443.</w:t>
      </w:r>
    </w:p>
    <w:p>
      <w:pPr>
        <w:pStyle w:val="12"/>
        <w:rPr>
          <w:sz w:val="20"/>
        </w:rPr>
      </w:pPr>
      <w:r>
        <w:rPr>
          <w:sz w:val="20"/>
        </w:rPr>
        <w:t>[16]</w:t>
      </w:r>
      <w:r>
        <w:rPr/>
        <w:t xml:space="preserve"> </w:t>
      </w:r>
      <w:r>
        <w:rPr>
          <w:sz w:val="20"/>
        </w:rPr>
        <w:t>T. C. W. Mok and A. C. S. Chung, “Fast Symmetric Diffeomorphic Image Registration with Convolutional Neural Networks,” in 2020 IEEE/CVF Conference on Computer Vision and Pattern Recognition (CVPR), Seattle, WA, USA: IEEE, Jun. 2020, pp. 4643–4652. doi: 10.1109/CVPR42600.2020.00470.</w:t>
      </w:r>
    </w:p>
    <w:p>
      <w:pPr>
        <w:pStyle w:val="12"/>
        <w:rPr>
          <w:sz w:val="20"/>
        </w:rPr>
      </w:pPr>
      <w:r>
        <w:rPr>
          <w:sz w:val="20"/>
        </w:rPr>
        <w:t>[17]</w:t>
        <w:tab/>
        <w:t>B. Kim, D. H. Kim, S. H. Park, J. Kim, J.-G. Lee, and J. C. Ye, “CycleMorph: Cycle Consistent Unsupervised Deformable Image Registration.” arXiv, Aug. 13, 2020. doi: 10.48550/arXiv.2008.05772.</w:t>
      </w:r>
    </w:p>
    <w:p>
      <w:pPr>
        <w:pStyle w:val="12"/>
        <w:rPr>
          <w:sz w:val="20"/>
        </w:rPr>
      </w:pPr>
      <w:r>
        <w:rPr>
          <w:sz w:val="20"/>
        </w:rPr>
        <w:t>[18]</w:t>
        <w:tab/>
        <w:t xml:space="preserve">J. Chen, E. C. Frey, Y. He, W. P. Segars, Y. Li, and Y. Du, “TransMorph: Transformer for unsupervised medical image registration,” </w:t>
      </w:r>
      <w:r>
        <w:rPr>
          <w:i/>
          <w:iCs/>
          <w:sz w:val="20"/>
        </w:rPr>
        <w:t>Medical Image Analysis</w:t>
      </w:r>
      <w:r>
        <w:rPr>
          <w:sz w:val="20"/>
        </w:rPr>
        <w:t>, vol. 82, p. 102615, Nov. 2022, doi: 10.1016/j.media.2022.102615.</w:t>
      </w:r>
    </w:p>
    <w:p>
      <w:pPr>
        <w:pStyle w:val="12"/>
        <w:rPr>
          <w:sz w:val="20"/>
        </w:rPr>
      </w:pPr>
      <w:r>
        <w:rPr>
          <w:sz w:val="20"/>
        </w:rPr>
        <w:t>[19]</w:t>
        <w:tab/>
        <w:t>T. C. W. Mok and A. C. S. Chung, “Affine Medical Image Registration with Coarse-to-Fine Vision Transformer.” arXiv, Mar. 29, 2022. doi: 10.48550/arXiv.2203.15216.</w:t>
      </w:r>
    </w:p>
    <w:p>
      <w:pPr>
        <w:pStyle w:val="12"/>
        <w:rPr>
          <w:sz w:val="20"/>
        </w:rPr>
      </w:pPr>
      <w:r>
        <w:rPr>
          <w:sz w:val="20"/>
        </w:rPr>
        <w:t>[20]</w:t>
        <w:tab/>
        <w:t>Y. Zhu and S. Lu, “Swin-VoxelMorph: A Symmetric Unsupervised Learning Model for Deformable Medical Image Registration Using Swin Transformer,” in Medical Image Computing and Computer Assisted Intervention – MICCAI 2022, L. Wang, Q. Dou, P. T. Fletcher, S. Speidel, and S. Li, Eds., in Lecture Notes in Computer Science. Cham: Springer Nature Switzerland, 2022, pp. 78–87. doi: 10.1007/978-3-031-16446-0_8.</w:t>
      </w:r>
    </w:p>
    <w:p>
      <w:pPr>
        <w:pStyle w:val="12"/>
        <w:rPr/>
      </w:pPr>
      <w:r>
        <w:rPr>
          <w:sz w:val="20"/>
        </w:rPr>
        <w:t>[21]</w:t>
      </w:r>
      <w:r>
        <w:rPr/>
        <w:t xml:space="preserve">   </w:t>
      </w:r>
      <w:r>
        <w:rPr>
          <w:sz w:val="20"/>
        </w:rPr>
        <w:t xml:space="preserve">J. Shi </w:t>
      </w:r>
      <w:r>
        <w:rPr>
          <w:i/>
          <w:iCs/>
          <w:sz w:val="20"/>
        </w:rPr>
        <w:t>et al.</w:t>
      </w:r>
      <w:r>
        <w:rPr>
          <w:sz w:val="20"/>
        </w:rPr>
        <w:t>, “XMorpher: Full Transformer for Deformable Medical Image Registration via Cross Attention.” arXiv, Jun. 15, 2022. doi: 10.48550/arXiv.2206.07349.</w:t>
      </w:r>
    </w:p>
    <w:p>
      <w:pPr>
        <w:pStyle w:val="12"/>
        <w:rPr>
          <w:sz w:val="20"/>
        </w:rPr>
      </w:pPr>
      <w:r>
        <w:rPr>
          <w:sz w:val="20"/>
        </w:rPr>
        <w:t>[22]</w:t>
        <w:tab/>
        <w:t xml:space="preserve">Y. Hu </w:t>
      </w:r>
      <w:r>
        <w:rPr>
          <w:i/>
          <w:iCs/>
          <w:sz w:val="20"/>
        </w:rPr>
        <w:t>et al.</w:t>
      </w:r>
      <w:r>
        <w:rPr>
          <w:sz w:val="20"/>
        </w:rPr>
        <w:t>, “Adversarial Deformation Regularization for Training Image Registration Neural Networks,” vol. 11070, 2018, pp. 774–782. doi: 10.1007/978-3-030-00928-1_87.</w:t>
      </w:r>
    </w:p>
    <w:p>
      <w:pPr>
        <w:pStyle w:val="12"/>
        <w:rPr>
          <w:sz w:val="20"/>
        </w:rPr>
      </w:pPr>
      <w:r>
        <w:rPr>
          <w:sz w:val="20"/>
        </w:rPr>
        <w:t>[23]</w:t>
        <w:tab/>
        <w:t>X. Zhang, W. Jian, Y. Chen, and S. Yang, “Deform-GAN:An Unsupervised Learning Model for Deformable Registration.” arXiv, Feb. 26, 2020. doi: 10.48550/arXiv.2002.11430.</w:t>
      </w:r>
    </w:p>
    <w:p>
      <w:pPr>
        <w:pStyle w:val="12"/>
        <w:rPr>
          <w:sz w:val="20"/>
        </w:rPr>
      </w:pPr>
      <w:r>
        <w:rPr>
          <w:sz w:val="20"/>
        </w:rPr>
        <w:t xml:space="preserve">[24] Y. Zheng </w:t>
      </w:r>
      <w:r>
        <w:rPr>
          <w:i/>
          <w:iCs/>
          <w:sz w:val="20"/>
        </w:rPr>
        <w:t>et al.</w:t>
      </w:r>
      <w:r>
        <w:rPr>
          <w:sz w:val="20"/>
        </w:rPr>
        <w:t xml:space="preserve">, “SymReg-GAN: Symmetric Image Registration With Generative Adversarial Networks,” </w:t>
      </w:r>
      <w:r>
        <w:rPr>
          <w:i/>
          <w:iCs/>
          <w:sz w:val="20"/>
        </w:rPr>
        <w:t>IEEE Transactions on Pattern Analysis and Machine Intelligence</w:t>
      </w:r>
      <w:r>
        <w:rPr>
          <w:sz w:val="20"/>
        </w:rPr>
        <w:t>, vol. 44, no. 9, pp. 5631–5646, Sep. 2022, doi: 10.1109/TPAMI.2021.3083543.</w:t>
      </w:r>
    </w:p>
    <w:p>
      <w:pPr>
        <w:pStyle w:val="12"/>
        <w:rPr>
          <w:sz w:val="20"/>
        </w:rPr>
      </w:pPr>
      <w:r>
        <w:rPr>
          <w:sz w:val="20"/>
        </w:rPr>
        <w:t>[25]</w:t>
        <w:tab/>
        <w:t>M. Kang, X. Hu, W. Huang, M. R. Scott, and M. Reyes, “Dual-Stream Pyramid Registration Network.” arXiv, Apr. 01, 2023. doi: 10.48550/arXiv.1909.11966.</w:t>
      </w:r>
    </w:p>
    <w:p>
      <w:pPr>
        <w:pStyle w:val="12"/>
        <w:rPr>
          <w:sz w:val="20"/>
        </w:rPr>
      </w:pPr>
      <w:r>
        <w:rPr>
          <w:sz w:val="20"/>
        </w:rPr>
        <w:t>[26]</w:t>
        <w:tab/>
        <w:t xml:space="preserve">T. Ma, X. Dai, S. Zhang, and Y. Wen, “PIViT: Large Deformation Image Registration with Pyramid-Iterative Vision Transformer,” in </w:t>
      </w:r>
      <w:r>
        <w:rPr>
          <w:i/>
          <w:iCs/>
          <w:sz w:val="20"/>
        </w:rPr>
        <w:t>Medical Image Computing and Computer Assisted Intervention – MICCAI 2023</w:t>
      </w:r>
      <w:r>
        <w:rPr>
          <w:sz w:val="20"/>
        </w:rPr>
        <w:t>, H. Greenspan, A. Madabhushi, P. Mousavi, S. Salcudean, J. Duncan, T. Syeda-Mahmood, and R. Taylor, Eds., in Lecture Notes in Computer Science. Cham: Springer Nature Switzerland, 2023, pp. 602–612. doi: 10.1007/978-3-031-43999-5_57.</w:t>
      </w:r>
    </w:p>
    <w:p>
      <w:pPr>
        <w:pStyle w:val="12"/>
        <w:rPr>
          <w:sz w:val="20"/>
        </w:rPr>
      </w:pPr>
      <w:r>
        <w:rPr>
          <w:sz w:val="20"/>
        </w:rPr>
        <w:t>[27]</w:t>
        <w:tab/>
        <w:t xml:space="preserve">M. Meng, L. Bi, D. Feng, and J. Kim, “Non-iterative Coarse-to-Fine Registration Based on Single-Pass Deep Cumulative Learning,” in </w:t>
      </w:r>
      <w:r>
        <w:rPr>
          <w:i/>
          <w:iCs/>
          <w:sz w:val="20"/>
        </w:rPr>
        <w:t>Medical Image Computing and Computer Assisted Intervention – MICCAI 2022</w:t>
      </w:r>
      <w:r>
        <w:rPr>
          <w:sz w:val="20"/>
        </w:rPr>
        <w:t>, vol. 13436, L. Wang, Q. Dou, P. T. Fletcher, S. Speidel, and S. Li, Eds., in Lecture Notes in Computer Science, vol. 13436. , Cham: Springer Nature Switzerland, 2022, pp. 88–97. doi: 10.1007/978-3-031-16446-0_9.</w:t>
      </w:r>
    </w:p>
    <w:p>
      <w:pPr>
        <w:pStyle w:val="12"/>
        <w:rPr>
          <w:sz w:val="20"/>
        </w:rPr>
      </w:pPr>
      <w:r>
        <w:rPr>
          <w:sz w:val="20"/>
        </w:rPr>
        <w:t>[28]</w:t>
        <w:tab/>
        <w:t xml:space="preserve">M. Meng, L. Bi, M. Fulham, D. Feng, and J. Kim, “Non-iterative Coarse-to-Fine Transformer Networks for Joint Affine and Deformable Image Registration,” in </w:t>
      </w:r>
      <w:r>
        <w:rPr>
          <w:i/>
          <w:iCs/>
          <w:sz w:val="20"/>
        </w:rPr>
        <w:t>Medical Image Computing and Computer Assisted Intervention – MICCAI 2023</w:t>
      </w:r>
      <w:r>
        <w:rPr>
          <w:sz w:val="20"/>
        </w:rPr>
        <w:t>, vol. 14229, H. Greenspan, A. Madabhushi, P. Mousavi, S. Salcudean, J. Duncan, T. Syeda-Mahmood, and R. Taylor, Eds., in Lecture Notes in Computer Science, vol. 14229. , Cham: Springer Nature Switzerland, 2023, pp. 750–760. doi: 10.1007/978-3-031-43999-5_71.</w:t>
      </w:r>
    </w:p>
    <w:p>
      <w:pPr>
        <w:pStyle w:val="12"/>
        <w:rPr>
          <w:sz w:val="20"/>
        </w:rPr>
      </w:pPr>
      <w:r>
        <w:rPr>
          <w:sz w:val="20"/>
        </w:rPr>
        <w:t>[29]</w:t>
        <w:tab/>
        <w:t>O. Ronneberger, P. Fischer, and T. Brox, “U-Net: Convolutional Networks for Biomedical Image Segmentation.” arXiv, May 18, 2015. Accessed: Nov. 11, 2023. [Online]. Available: http://arxiv.org/abs/1505.04597</w:t>
      </w:r>
    </w:p>
    <w:p>
      <w:pPr>
        <w:pStyle w:val="12"/>
        <w:rPr>
          <w:sz w:val="20"/>
        </w:rPr>
      </w:pPr>
      <w:r>
        <w:rPr>
          <w:sz w:val="20"/>
        </w:rPr>
        <w:t>[30]</w:t>
        <w:tab/>
        <w:t xml:space="preserve">D. W. Shattuck </w:t>
      </w:r>
      <w:r>
        <w:rPr>
          <w:i/>
          <w:iCs/>
          <w:sz w:val="20"/>
        </w:rPr>
        <w:t>et al.</w:t>
      </w:r>
      <w:r>
        <w:rPr>
          <w:sz w:val="20"/>
        </w:rPr>
        <w:t xml:space="preserve">, “Construction of a 3D probabilistic atlas of human cortical structures,” </w:t>
      </w:r>
      <w:r>
        <w:rPr>
          <w:i/>
          <w:iCs/>
          <w:sz w:val="20"/>
        </w:rPr>
        <w:t>NeuroImage</w:t>
      </w:r>
      <w:r>
        <w:rPr>
          <w:sz w:val="20"/>
        </w:rPr>
        <w:t>, vol. 39, no. 3, pp. 1064–1080, Feb. 2008, doi: 10.1016/j.neuroimage.2007.09.031.</w:t>
      </w:r>
    </w:p>
    <w:p>
      <w:pPr>
        <w:pStyle w:val="12"/>
        <w:rPr>
          <w:sz w:val="20"/>
        </w:rPr>
      </w:pPr>
      <w:r>
        <w:rPr>
          <w:sz w:val="20"/>
        </w:rPr>
        <w:t>[31]</w:t>
        <w:tab/>
        <w:t>A. Hoopes, M. Hoffmann, D. N. Greve, B. Fischl, J. Guttag, and A. V. Dalca, “Learning the Effect of Registration Hyperparameters with HyperMorph.” arXiv, Mar. 30, 2022. doi: 10.48550/arXiv.2203.16680.</w:t>
      </w:r>
    </w:p>
    <w:p>
      <w:pPr>
        <w:pStyle w:val="12"/>
        <w:rPr>
          <w:sz w:val="20"/>
        </w:rPr>
      </w:pPr>
      <w:r>
        <w:rPr>
          <w:sz w:val="20"/>
        </w:rPr>
        <w:t>[32]</w:t>
        <w:tab/>
        <w:t xml:space="preserve">D. S. Marcus, T. H. Wang, J. Parker, J. G. Csernansky, J. C. Morris, and R. L. Buckner, “Open Access Series of Imaging Studies (OASIS): cross-sectional MRI data in young, middle aged, nondemented, and demented older adults,” </w:t>
      </w:r>
      <w:r>
        <w:rPr>
          <w:i/>
          <w:iCs/>
          <w:sz w:val="20"/>
        </w:rPr>
        <w:t>Journal of cognitive neuroscience</w:t>
      </w:r>
      <w:r>
        <w:rPr>
          <w:sz w:val="20"/>
        </w:rPr>
        <w:t>, vol. 19, no. 9, pp. 1498–1507, 2007.</w:t>
      </w:r>
    </w:p>
    <w:p>
      <w:pPr>
        <w:pStyle w:val="12"/>
        <w:rPr>
          <w:sz w:val="20"/>
        </w:rPr>
      </w:pPr>
      <w:r>
        <w:rPr>
          <w:sz w:val="20"/>
        </w:rPr>
        <w:t>[33]</w:t>
        <w:tab/>
        <w:t xml:space="preserve">P. J. LaMontagne </w:t>
      </w:r>
      <w:r>
        <w:rPr>
          <w:i/>
          <w:iCs/>
          <w:sz w:val="20"/>
        </w:rPr>
        <w:t>et al.</w:t>
      </w:r>
      <w:r>
        <w:rPr>
          <w:sz w:val="20"/>
        </w:rPr>
        <w:t>, “OASIS-3: Longitudinal Neuroimaging, Clinical, and Cognitive Dataset for Normal Aging and Alzheimer Disease.” medRxiv, p. 2019.12.13.19014902, Dec. 15, 2019. doi: 10.1101/2019.12.13.19014902.</w:t>
      </w:r>
    </w:p>
    <w:p>
      <w:pPr>
        <w:pStyle w:val="12"/>
        <w:rPr>
          <w:sz w:val="20"/>
        </w:rPr>
      </w:pPr>
      <w:r>
        <w:rPr>
          <w:sz w:val="20"/>
        </w:rPr>
        <w:t>[34]</w:t>
        <w:tab/>
        <w:t xml:space="preserve">M. W. Weiner </w:t>
      </w:r>
      <w:r>
        <w:rPr>
          <w:i/>
          <w:iCs/>
          <w:sz w:val="20"/>
        </w:rPr>
        <w:t>et al.</w:t>
      </w:r>
      <w:r>
        <w:rPr>
          <w:sz w:val="20"/>
        </w:rPr>
        <w:t xml:space="preserve">, “The Alzheimer’s Disease Neuroimaging Initiative 3: Continued innovation for clinical trial improvement,” </w:t>
      </w:r>
      <w:r>
        <w:rPr>
          <w:i/>
          <w:iCs/>
          <w:sz w:val="20"/>
        </w:rPr>
        <w:t>Alzheimers Dement</w:t>
      </w:r>
      <w:r>
        <w:rPr>
          <w:sz w:val="20"/>
        </w:rPr>
        <w:t>, vol. 13, no. 5, pp. 561–571, May 2017, doi: 10.1016/j.jalz.2016.10.006.</w:t>
      </w:r>
    </w:p>
    <w:p>
      <w:pPr>
        <w:pStyle w:val="12"/>
        <w:rPr>
          <w:sz w:val="20"/>
        </w:rPr>
      </w:pPr>
      <w:r>
        <w:rPr>
          <w:sz w:val="20"/>
        </w:rPr>
        <w:t>[35]</w:t>
        <w:tab/>
        <w:t xml:space="preserve">L. Wang </w:t>
      </w:r>
      <w:r>
        <w:rPr>
          <w:i/>
          <w:iCs/>
          <w:sz w:val="20"/>
        </w:rPr>
        <w:t>et al.</w:t>
      </w:r>
      <w:r>
        <w:rPr>
          <w:sz w:val="20"/>
        </w:rPr>
        <w:t xml:space="preserve">, “Volume-based analysis of 6-month-old infant brain MRI for autism biomarker identification and early diagnosis,” in </w:t>
      </w:r>
      <w:r>
        <w:rPr>
          <w:i/>
          <w:iCs/>
          <w:sz w:val="20"/>
        </w:rPr>
        <w:t>Medical Image Computing and Computer Assisted Intervention–MICCAI 2018: 21st International Conference, Granada, Spain, September 16-20, 2018, Proceedings, Part III 11</w:t>
      </w:r>
      <w:r>
        <w:rPr>
          <w:sz w:val="20"/>
        </w:rPr>
        <w:t>, Springer, 2018, pp. 411–419.</w:t>
      </w:r>
    </w:p>
    <w:p>
      <w:pPr>
        <w:pStyle w:val="12"/>
        <w:rPr>
          <w:sz w:val="20"/>
        </w:rPr>
      </w:pPr>
      <w:r>
        <w:rPr>
          <w:sz w:val="20"/>
        </w:rPr>
        <w:t>[36]</w:t>
        <w:tab/>
        <w:t xml:space="preserve">G. Li </w:t>
      </w:r>
      <w:r>
        <w:rPr>
          <w:i/>
          <w:iCs/>
          <w:sz w:val="20"/>
        </w:rPr>
        <w:t>et al.</w:t>
      </w:r>
      <w:r>
        <w:rPr>
          <w:sz w:val="20"/>
        </w:rPr>
        <w:t xml:space="preserve">, “Measuring the dynamic longitudinal cortex development in infants by reconstruction of temporally consistent cortical surfaces,” </w:t>
      </w:r>
      <w:r>
        <w:rPr>
          <w:i/>
          <w:iCs/>
          <w:sz w:val="20"/>
        </w:rPr>
        <w:t>NeuroImage</w:t>
      </w:r>
      <w:r>
        <w:rPr>
          <w:sz w:val="20"/>
        </w:rPr>
        <w:t>, vol. 90, pp. 266–279, Apr. 2014, doi: 10.1016/j.neuroimage.2013.12.038.</w:t>
      </w:r>
    </w:p>
    <w:p>
      <w:pPr>
        <w:pStyle w:val="12"/>
        <w:rPr>
          <w:sz w:val="20"/>
        </w:rPr>
      </w:pPr>
      <w:r>
        <w:rPr>
          <w:sz w:val="20"/>
        </w:rPr>
        <w:t>[37]</w:t>
        <w:tab/>
        <w:t xml:space="preserve">G. Li </w:t>
      </w:r>
      <w:r>
        <w:rPr>
          <w:i/>
          <w:iCs/>
          <w:sz w:val="20"/>
        </w:rPr>
        <w:t>et al.</w:t>
      </w:r>
      <w:r>
        <w:rPr>
          <w:sz w:val="20"/>
        </w:rPr>
        <w:t xml:space="preserve">, “Computational neuroanatomy of baby brains: A review,” </w:t>
      </w:r>
      <w:r>
        <w:rPr>
          <w:i/>
          <w:iCs/>
          <w:sz w:val="20"/>
        </w:rPr>
        <w:t>NeuroImage</w:t>
      </w:r>
      <w:r>
        <w:rPr>
          <w:sz w:val="20"/>
        </w:rPr>
        <w:t>, vol. 185, pp. 906–925, Jan. 2019, doi: 10.1016/j.neuroimage.2018.03.042.</w:t>
      </w:r>
    </w:p>
    <w:p>
      <w:pPr>
        <w:pStyle w:val="12"/>
        <w:ind w:left="505" w:hanging="505"/>
        <w:rPr>
          <w:sz w:val="20"/>
        </w:rPr>
      </w:pPr>
      <w:r>
        <w:rPr>
          <w:sz w:val="20"/>
        </w:rPr>
        <w:t>[38]</w:t>
        <w:tab/>
        <w:t xml:space="preserve">G. Li, L. Wang, F. Shi, J. H. Gilmore, W. Lin, and D. Shen, “Construction of 4D high-definition cortical surface atlases of infants: Methods and applications,” </w:t>
      </w:r>
      <w:r>
        <w:rPr>
          <w:i/>
          <w:iCs/>
          <w:sz w:val="20"/>
        </w:rPr>
        <w:t>Medical Image Analysis</w:t>
      </w:r>
      <w:r>
        <w:rPr>
          <w:sz w:val="20"/>
        </w:rPr>
        <w:t>, vol. 25, no. 1, pp. 22–36, Oct. 2015, doi: 10.1016/j.media.2015.04.005.</w:t>
      </w:r>
    </w:p>
    <w:p>
      <w:pPr>
        <w:pStyle w:val="Normal"/>
        <w:widowControl/>
        <w:bidi w:val="0"/>
        <w:spacing w:before="0" w:after="60"/>
        <w:jc w:val="both"/>
        <w:rPr/>
      </w:pPr>
      <w:bookmarkStart w:id="38" w:name="_Hlk159605434"/>
      <w:r>
        <w:rPr/>
      </w:r>
      <w:r>
        <w:rPr/>
        <w:fldChar w:fldCharType="end"/>
      </w:r>
      <w:bookmarkEnd w:id="38"/>
    </w:p>
    <w:sectPr>
      <w:headerReference w:type="even" r:id="rId110"/>
      <w:headerReference w:type="default" r:id="rId111"/>
      <w:headerReference w:type="first" r:id="rId112"/>
      <w:footerReference w:type="first" r:id="rId113"/>
      <w:type w:val="nextPage"/>
      <w:pgSz w:w="12240" w:h="15840"/>
      <w:pgMar w:left="1440" w:right="1440" w:header="567" w:top="1440" w:footer="0" w:bottom="0" w:gutter="0"/>
      <w:pgNumType w:fmt="decimal"/>
      <w:formProt w:val="false"/>
      <w:titlePg/>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 w:name="Palatino Linotype">
    <w:charset w:val="01"/>
    <w:family w:val="roman"/>
    <w:pitch w:val="variable"/>
  </w:font>
  <w:font w:name="Arial">
    <w:charset w:val="01"/>
    <w:family w:val="roman"/>
    <w:pitch w:val="variable"/>
  </w:font>
  <w:font w:name="等线">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57" w:type="dxa"/>
      <w:jc w:val="center"/>
      <w:tblInd w:w="0" w:type="dxa"/>
      <w:tblCellMar>
        <w:top w:w="0" w:type="dxa"/>
        <w:left w:w="108" w:type="dxa"/>
        <w:bottom w:w="0" w:type="dxa"/>
        <w:right w:w="108" w:type="dxa"/>
      </w:tblCellMar>
      <w:tblLook w:val="04a0" w:noHBand="0" w:noVBand="1" w:firstColumn="1" w:lastRow="0" w:lastColumn="0" w:firstRow="1"/>
    </w:tblPr>
    <w:tblGrid>
      <w:gridCol w:w="1708"/>
      <w:gridCol w:w="7148"/>
    </w:tblGrid>
    <w:tr>
      <w:trPr/>
      <w:tc>
        <w:tcPr>
          <w:tcW w:w="1708" w:type="dxa"/>
          <w:tcBorders/>
          <w:shd w:color="auto" w:fill="auto" w:val="clear"/>
          <w:vAlign w:val="center"/>
        </w:tcPr>
        <w:p>
          <w:pPr>
            <w:pStyle w:val="MDPI71References"/>
            <w:numPr>
              <w:ilvl w:val="0"/>
              <w:numId w:val="0"/>
            </w:numPr>
            <w:ind w:left="-85" w:hanging="0"/>
            <w:rPr>
              <w:rFonts w:eastAsia="宋体"/>
              <w:bCs/>
            </w:rPr>
          </w:pPr>
          <w:r>
            <w:rPr/>
            <w:drawing>
              <wp:inline distT="0" distB="0" distL="0" distR="0">
                <wp:extent cx="1001395" cy="360680"/>
                <wp:effectExtent l="0" t="0" r="0" b="0"/>
                <wp:docPr id="13" name="图片 26"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descr="copyRight"/>
                        <pic:cNvPicPr>
                          <a:picLocks noChangeAspect="1" noChangeArrowheads="1"/>
                        </pic:cNvPicPr>
                      </pic:nvPicPr>
                      <pic:blipFill>
                        <a:blip r:embed="rId1"/>
                        <a:stretch>
                          <a:fillRect/>
                        </a:stretch>
                      </pic:blipFill>
                      <pic:spPr bwMode="auto">
                        <a:xfrm>
                          <a:off x="0" y="0"/>
                          <a:ext cx="1001395" cy="360680"/>
                        </a:xfrm>
                        <a:prstGeom prst="rect">
                          <a:avLst/>
                        </a:prstGeom>
                      </pic:spPr>
                    </pic:pic>
                  </a:graphicData>
                </a:graphic>
              </wp:inline>
            </w:drawing>
          </w:r>
        </w:p>
      </w:tc>
      <w:tc>
        <w:tcPr>
          <w:tcW w:w="7148" w:type="dxa"/>
          <w:tcBorders/>
          <w:shd w:color="auto" w:fill="auto" w:val="clear"/>
          <w:vAlign w:val="center"/>
        </w:tcPr>
        <w:p>
          <w:pPr>
            <w:pStyle w:val="MDPI71References"/>
            <w:numPr>
              <w:ilvl w:val="0"/>
              <w:numId w:val="0"/>
            </w:numPr>
            <w:spacing w:lineRule="auto" w:line="240"/>
            <w:ind w:left="-85" w:hanging="0"/>
            <w:rPr>
              <w:rFonts w:ascii="Times New Roman" w:hAnsi="Times New Roman" w:eastAsia="宋体"/>
              <w:bCs/>
              <w:szCs w:val="18"/>
            </w:rPr>
          </w:pPr>
          <w:r>
            <w:rPr>
              <w:rFonts w:ascii="Times New Roman" w:hAnsi="Times New Roman"/>
              <w:szCs w:val="18"/>
            </w:rPr>
            <w:t>This work is licensed under a Creative Commons Attribution 4.0 International License, which permits unrestricted use, distribution, and reproduction in any medium, provided the original work is properly cited.</w:t>
          </w:r>
        </w:p>
      </w:tc>
    </w:tr>
  </w:tbl>
  <w:p>
    <w:pPr>
      <w:pStyle w:val="Footer"/>
      <w:spacing w:before="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39" w:name="_Hlk41567306"/>
    <w:r>
      <w:rPr>
        <w:sz w:val="20"/>
      </w:rPr>
      <w:t xml:space="preserve">            CMC, 202x, vol.xx, no.xx</w:t>
    </w:r>
    <w:bookmarkEnd w:id="39"/>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1"/>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11" name="Image3"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4469130</wp:posOffset>
          </wp:positionH>
          <wp:positionV relativeFrom="paragraph">
            <wp:posOffset>175895</wp:posOffset>
          </wp:positionV>
          <wp:extent cx="1384935" cy="207010"/>
          <wp:effectExtent l="0" t="0" r="0" b="0"/>
          <wp:wrapNone/>
          <wp:docPr id="12"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3">
    <w:lvl w:ilvl="0">
      <w:start w:val="1"/>
      <w:numFmt w:val="decimal"/>
      <w:lvlText w:val="%1)"/>
      <w:lvlJc w:val="left"/>
      <w:pPr>
        <w:tabs>
          <w:tab w:val="num" w:pos="0"/>
        </w:tabs>
        <w:ind w:left="360" w:hanging="360"/>
      </w:pPr>
      <w:rPr>
        <w:color w:val="auto"/>
      </w:r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qFormat="1"/>
    <w:lsdException w:name="annotation text" w:unhideWhenUsed="1"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lsdException w:name="annotation reference" w:unhideWhenUsed="1" w:qFormat="1"/>
    <w:lsdException w:name="line number" w:semiHidden="1" w:unhideWhenUsed="1"/>
    <w:lsdException w:name="page number" w:uiPriority="0" w:semiHidden="1" w:qFormat="1"/>
    <w:lsdException w:name="endnote reference" w:uiPriority="0" w:semiHidden="1" w:qFormat="1"/>
    <w:lsdException w:name="endnote text" w:uiPriority="0"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uiPriority w:val="2"/>
    <w:qFormat/>
    <w:pPr>
      <w:keepNext w:val="true"/>
      <w:tabs>
        <w:tab w:val="clear" w:pos="720"/>
        <w:tab w:val="left" w:pos="360" w:leader="none"/>
      </w:tabs>
      <w:spacing w:before="260" w:after="140"/>
      <w:outlineLvl w:val="0"/>
    </w:pPr>
    <w:rPr>
      <w:b/>
      <w:kern w:val="2"/>
    </w:rPr>
  </w:style>
  <w:style w:type="paragraph" w:styleId="Heading2">
    <w:name w:val="Heading 2"/>
    <w:basedOn w:val="Normal"/>
    <w:next w:val="Normal"/>
    <w:link w:val="20"/>
    <w:uiPriority w:val="2"/>
    <w:qFormat/>
    <w:pPr>
      <w:keepNext w:val="true"/>
      <w:tabs>
        <w:tab w:val="clear" w:pos="720"/>
        <w:tab w:val="left" w:pos="450" w:leader="none"/>
      </w:tabs>
      <w:spacing w:before="200" w:after="140"/>
      <w:outlineLvl w:val="1"/>
    </w:pPr>
    <w:rPr>
      <w:b/>
      <w:i/>
    </w:rPr>
  </w:style>
  <w:style w:type="paragraph" w:styleId="Heading3">
    <w:name w:val="Heading 3"/>
    <w:basedOn w:val="Normal"/>
    <w:next w:val="Normal"/>
    <w:link w:val="30"/>
    <w:uiPriority w:val="2"/>
    <w:qFormat/>
    <w:pPr>
      <w:keepNext w:val="true"/>
      <w:spacing w:before="220" w:after="140"/>
      <w:outlineLvl w:val="2"/>
    </w:pPr>
    <w:rPr>
      <w:i/>
    </w:rPr>
  </w:style>
  <w:style w:type="paragraph" w:styleId="Heading4">
    <w:name w:val="Heading 4"/>
    <w:basedOn w:val="Normal"/>
    <w:next w:val="Normal"/>
    <w:uiPriority w:val="2"/>
    <w:qFormat/>
    <w:pPr>
      <w:keepNext w:val="true"/>
      <w:outlineLvl w:val="3"/>
    </w:pPr>
    <w:rPr>
      <w:b/>
      <w:sz w:val="18"/>
    </w:rPr>
  </w:style>
  <w:style w:type="paragraph" w:styleId="Heading5">
    <w:name w:val="Heading 5"/>
    <w:basedOn w:val="Heading4"/>
    <w:next w:val="Normal"/>
    <w:link w:val="50"/>
    <w:autoRedefine/>
    <w:uiPriority w:val="2"/>
    <w:qFormat/>
    <w:pPr>
      <w:keepLines/>
      <w:tabs>
        <w:tab w:val="clear" w:pos="720"/>
        <w:tab w:val="left" w:pos="567" w:leader="none"/>
      </w:tabs>
      <w:spacing w:before="40" w:after="120"/>
      <w:ind w:left="567" w:hanging="567"/>
      <w:jc w:val="left"/>
      <w:outlineLvl w:val="4"/>
    </w:pPr>
    <w:rPr>
      <w:rFonts w:eastAsia="ＭＳ ゴシック" w:cs="" w:cstheme="majorBidi" w:eastAsiaTheme="majorEastAsia"/>
      <w:iCs/>
      <w:sz w:val="24"/>
      <w:szCs w:val="24"/>
      <w:lang w:eastAsia="en-US"/>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semiHidden/>
    <w:qFormat/>
    <w:rPr/>
  </w:style>
  <w:style w:type="character" w:styleId="VisitedInternetLink">
    <w:name w:val="FollowedHyperlink"/>
    <w:uiPriority w:val="99"/>
    <w:unhideWhenUsed/>
    <w:rPr>
      <w:color w:val="954F72"/>
      <w:u w:val="single"/>
    </w:rPr>
  </w:style>
  <w:style w:type="character" w:styleId="Emphasis">
    <w:name w:val="Emphasis"/>
    <w:uiPriority w:val="20"/>
    <w:qFormat/>
    <w:rPr>
      <w:i/>
      <w:iCs/>
    </w:rPr>
  </w:style>
  <w:style w:type="character" w:styleId="InternetLink">
    <w:name w:val="Hyperlink"/>
    <w:uiPriority w:val="99"/>
    <w:unhideWhenUsed/>
    <w:rPr>
      <w:color w:val="0000FF"/>
      <w:u w:val="single"/>
    </w:rPr>
  </w:style>
  <w:style w:type="character" w:styleId="Annotationreference">
    <w:name w:val="annotation reference"/>
    <w:uiPriority w:val="99"/>
    <w:unhideWhenUsed/>
    <w:qFormat/>
    <w:rPr>
      <w:sz w:val="16"/>
      <w:szCs w:val="16"/>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Style9" w:customStyle="1">
    <w:name w:val="页眉 字符"/>
    <w:link w:val="ab"/>
    <w:qFormat/>
    <w:rPr>
      <w:sz w:val="22"/>
    </w:rPr>
  </w:style>
  <w:style w:type="character" w:styleId="Style10" w:customStyle="1">
    <w:name w:val="批注文字 字符"/>
    <w:basedOn w:val="DefaultParagraphFont"/>
    <w:link w:val="a4"/>
    <w:uiPriority w:val="99"/>
    <w:semiHidden/>
    <w:qFormat/>
    <w:rPr/>
  </w:style>
  <w:style w:type="character" w:styleId="1" w:customStyle="1">
    <w:name w:val="未处理的提及1"/>
    <w:uiPriority w:val="52"/>
    <w:qFormat/>
    <w:rPr>
      <w:color w:val="808080"/>
      <w:shd w:fill="E6E6E6" w:val="clear"/>
    </w:rPr>
  </w:style>
  <w:style w:type="character" w:styleId="Style11" w:customStyle="1">
    <w:name w:val="页脚 字符"/>
    <w:link w:val="a9"/>
    <w:uiPriority w:val="99"/>
    <w:qFormat/>
    <w:rPr>
      <w:sz w:val="22"/>
    </w:rPr>
  </w:style>
  <w:style w:type="character" w:styleId="Style12" w:customStyle="1">
    <w:name w:val="批注框文本 字符"/>
    <w:link w:val="a7"/>
    <w:uiPriority w:val="99"/>
    <w:semiHidden/>
    <w:qFormat/>
    <w:rPr>
      <w:rFonts w:ascii="Segoe UI" w:hAnsi="Segoe UI" w:cs="Segoe UI"/>
      <w:sz w:val="18"/>
      <w:szCs w:val="18"/>
    </w:rPr>
  </w:style>
  <w:style w:type="character" w:styleId="Style13" w:customStyle="1">
    <w:name w:val="批注主题 字符"/>
    <w:link w:val="af"/>
    <w:uiPriority w:val="99"/>
    <w:semiHidden/>
    <w:qFormat/>
    <w:rPr>
      <w:b/>
      <w:bCs/>
    </w:rPr>
  </w:style>
  <w:style w:type="character" w:styleId="ITAL" w:customStyle="1">
    <w:name w:val="ITAL"/>
    <w:qFormat/>
    <w:rPr>
      <w:i/>
    </w:rPr>
  </w:style>
  <w:style w:type="character" w:styleId="Figure" w:customStyle="1">
    <w:name w:val="Figure 字符"/>
    <w:basedOn w:val="DefaultParagraphFont"/>
    <w:link w:val="Figure"/>
    <w:qFormat/>
    <w:rPr>
      <w:rFonts w:eastAsia="等线 Light"/>
      <w:b/>
      <w:bCs/>
      <w:sz w:val="24"/>
      <w:szCs w:val="24"/>
      <w:lang w:eastAsia="en-US"/>
    </w:rPr>
  </w:style>
  <w:style w:type="character" w:styleId="MTEquationSection" w:customStyle="1">
    <w:name w:val="MTEquationSection"/>
    <w:basedOn w:val="DefaultParagraphFont"/>
    <w:qFormat/>
    <w:rPr>
      <w:vanish/>
      <w:color w:val="FF0000"/>
      <w:sz w:val="18"/>
      <w:szCs w:val="18"/>
    </w:rPr>
  </w:style>
  <w:style w:type="character" w:styleId="MTDisplayEquation" w:customStyle="1">
    <w:name w:val="MTDisplayEquation 字符"/>
    <w:basedOn w:val="Figure"/>
    <w:link w:val="MTDisplayEquation"/>
    <w:qFormat/>
    <w:rPr>
      <w:rFonts w:eastAsia="等线 Light"/>
      <w:b w:val="false"/>
      <w:bCs w:val="false"/>
      <w:sz w:val="22"/>
      <w:szCs w:val="22"/>
      <w:lang w:eastAsia="en-US"/>
    </w:rPr>
  </w:style>
  <w:style w:type="character" w:styleId="Style14" w:customStyle="1">
    <w:name w:val="表 字符"/>
    <w:basedOn w:val="DefaultParagraphFont"/>
    <w:link w:val="afb"/>
    <w:qFormat/>
    <w:rPr>
      <w:rFonts w:cs="宋体"/>
      <w:bCs/>
      <w:color w:val="000000"/>
      <w:kern w:val="2"/>
      <w:sz w:val="22"/>
      <w:szCs w:val="22"/>
    </w:rPr>
  </w:style>
  <w:style w:type="character" w:styleId="Rynqvb" w:customStyle="1">
    <w:name w:val="rynqvb"/>
    <w:basedOn w:val="DefaultParagraphFont"/>
    <w:qFormat/>
    <w:rPr/>
  </w:style>
  <w:style w:type="character" w:styleId="5" w:customStyle="1">
    <w:name w:val="标题 5 字符"/>
    <w:basedOn w:val="DefaultParagraphFont"/>
    <w:link w:val="5"/>
    <w:uiPriority w:val="2"/>
    <w:qFormat/>
    <w:rPr>
      <w:rFonts w:eastAsia="ＭＳ ゴシック" w:cs="" w:cstheme="majorBidi" w:eastAsiaTheme="majorEastAsia"/>
      <w:b/>
      <w:iCs/>
      <w:sz w:val="24"/>
      <w:szCs w:val="24"/>
      <w:lang w:eastAsia="en-US"/>
    </w:rPr>
  </w:style>
  <w:style w:type="character" w:styleId="2" w:customStyle="1">
    <w:name w:val="标题 2 字符"/>
    <w:basedOn w:val="DefaultParagraphFont"/>
    <w:link w:val="2"/>
    <w:uiPriority w:val="2"/>
    <w:qFormat/>
    <w:rPr>
      <w:b/>
      <w:i/>
      <w:sz w:val="22"/>
    </w:rPr>
  </w:style>
  <w:style w:type="character" w:styleId="TABLE" w:customStyle="1">
    <w:name w:val="TABLE 字符"/>
    <w:basedOn w:val="Figure"/>
    <w:link w:val="TABLE"/>
    <w:qFormat/>
    <w:rPr>
      <w:rFonts w:eastAsia="Times New Roman"/>
      <w:b/>
      <w:bCs/>
      <w:sz w:val="24"/>
      <w:szCs w:val="24"/>
      <w:lang w:eastAsia="en-US"/>
    </w:rPr>
  </w:style>
  <w:style w:type="character" w:styleId="3" w:customStyle="1">
    <w:name w:val="标题 3 字符"/>
    <w:basedOn w:val="DefaultParagraphFont"/>
    <w:link w:val="3"/>
    <w:uiPriority w:val="2"/>
    <w:qFormat/>
    <w:rPr>
      <w:i/>
      <w:sz w:val="22"/>
    </w:rPr>
  </w:style>
  <w:style w:type="character" w:styleId="21" w:customStyle="1">
    <w:name w:val="未处理的提及2"/>
    <w:basedOn w:val="DefaultParagraphFont"/>
    <w:uiPriority w:val="99"/>
    <w:semiHidden/>
    <w:unhideWhenUsed/>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keepNext w:val="true"/>
      <w:spacing w:before="120" w:after="120"/>
      <w:jc w:val="center"/>
    </w:pPr>
    <w:rPr>
      <w:b/>
    </w:rPr>
  </w:style>
  <w:style w:type="paragraph" w:styleId="Annotationtext">
    <w:name w:val="annotation text"/>
    <w:basedOn w:val="Normal"/>
    <w:link w:val="a5"/>
    <w:uiPriority w:val="99"/>
    <w:unhideWhenUsed/>
    <w:qFormat/>
    <w:pPr/>
    <w:rPr>
      <w:sz w:val="20"/>
    </w:rPr>
  </w:style>
  <w:style w:type="paragraph" w:styleId="Endnote">
    <w:name w:val="Endnote Text"/>
    <w:basedOn w:val="Normal"/>
    <w:semiHidden/>
    <w:qFormat/>
    <w:pPr/>
    <w:rPr>
      <w:sz w:val="18"/>
    </w:rPr>
  </w:style>
  <w:style w:type="paragraph" w:styleId="BalloonText">
    <w:name w:val="Balloon Text"/>
    <w:basedOn w:val="Normal"/>
    <w:link w:val="a8"/>
    <w:uiPriority w:val="99"/>
    <w:unhideWhenUsed/>
    <w:qFormat/>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a"/>
    <w:uiPriority w:val="99"/>
    <w:qFormat/>
    <w:pPr>
      <w:tabs>
        <w:tab w:val="clear" w:pos="720"/>
        <w:tab w:val="center" w:pos="4320" w:leader="none"/>
        <w:tab w:val="right" w:pos="8640" w:leader="none"/>
      </w:tabs>
    </w:pPr>
    <w:rPr/>
  </w:style>
  <w:style w:type="paragraph" w:styleId="Header">
    <w:name w:val="Header"/>
    <w:basedOn w:val="Normal"/>
    <w:link w:val="ac"/>
    <w:qFormat/>
    <w:pPr>
      <w:tabs>
        <w:tab w:val="clear" w:pos="720"/>
        <w:tab w:val="center" w:pos="4320" w:leader="none"/>
        <w:tab w:val="right" w:pos="8640" w:leader="none"/>
      </w:tabs>
    </w:pPr>
    <w:rPr/>
  </w:style>
  <w:style w:type="paragraph" w:styleId="Footnote">
    <w:name w:val="Footnote Text"/>
    <w:basedOn w:val="Normal"/>
    <w:semiHidden/>
    <w:qFormat/>
    <w:pPr/>
    <w:rPr>
      <w:sz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nnotationsubject">
    <w:name w:val="annotation subject"/>
    <w:basedOn w:val="Annotationtext"/>
    <w:next w:val="Annotationtext"/>
    <w:link w:val="af0"/>
    <w:uiPriority w:val="99"/>
    <w:unhideWhenUsed/>
    <w:qFormat/>
    <w:pPr/>
    <w:rPr>
      <w:b/>
      <w:bCs/>
    </w:rPr>
  </w:style>
  <w:style w:type="paragraph" w:styleId="Keyword" w:customStyle="1">
    <w:name w:val="keyword"/>
    <w:basedOn w:val="Normal"/>
    <w:qFormat/>
    <w:pPr>
      <w:spacing w:before="280" w:after="60"/>
    </w:pPr>
    <w:rPr/>
  </w:style>
  <w:style w:type="paragraph" w:styleId="11" w:customStyle="1">
    <w:name w:val="标题1"/>
    <w:basedOn w:val="Normal"/>
    <w:qFormat/>
    <w:pPr>
      <w:spacing w:before="600" w:after="240"/>
      <w:jc w:val="center"/>
      <w:outlineLvl w:val="0"/>
    </w:pPr>
    <w:rPr>
      <w:b/>
      <w:kern w:val="2"/>
      <w:sz w:val="28"/>
    </w:rPr>
  </w:style>
  <w:style w:type="paragraph" w:styleId="Equation" w:customStyle="1">
    <w:name w:val="equation"/>
    <w:basedOn w:val="Normal"/>
    <w:autoRedefine/>
    <w:qFormat/>
    <w:pPr>
      <w:tabs>
        <w:tab w:val="clear" w:pos="720"/>
        <w:tab w:val="left" w:pos="4680" w:leader="none"/>
      </w:tabs>
      <w:spacing w:before="100" w:after="100"/>
    </w:pPr>
    <w:rPr/>
  </w:style>
  <w:style w:type="paragraph" w:styleId="Author" w:customStyle="1">
    <w:name w:val="author"/>
    <w:basedOn w:val="Heading2"/>
    <w:autoRedefine/>
    <w:qFormat/>
    <w:pPr>
      <w:spacing w:before="200" w:after="680"/>
      <w:jc w:val="center"/>
    </w:pPr>
    <w:rPr>
      <w:b/>
      <w:bCs/>
      <w:sz w:val="20"/>
    </w:rPr>
  </w:style>
  <w:style w:type="paragraph" w:styleId="ListParagraph">
    <w:name w:val="List Paragraph"/>
    <w:basedOn w:val="Normal"/>
    <w:autoRedefine/>
    <w:uiPriority w:val="34"/>
    <w:qFormat/>
    <w:pPr>
      <w:widowControl w:val="false"/>
      <w:spacing w:before="0" w:after="0"/>
      <w:ind w:firstLine="420"/>
    </w:pPr>
    <w:rPr>
      <w:rFonts w:ascii="Calibri" w:hAnsi="Calibri"/>
      <w:kern w:val="2"/>
      <w:sz w:val="24"/>
      <w:szCs w:val="24"/>
    </w:rPr>
  </w:style>
  <w:style w:type="paragraph" w:styleId="References" w:customStyle="1">
    <w:name w:val="References"/>
    <w:basedOn w:val="Normal"/>
    <w:autoRedefine/>
    <w:qFormat/>
    <w:pPr>
      <w:spacing w:before="0" w:after="0"/>
    </w:pPr>
    <w:rPr>
      <w:rFonts w:eastAsia="Times New Roman"/>
      <w:sz w:val="16"/>
      <w:szCs w:val="16"/>
      <w:lang w:eastAsia="en-US"/>
    </w:rPr>
  </w:style>
  <w:style w:type="paragraph" w:styleId="PARA" w:customStyle="1">
    <w:name w:val="PARA"/>
    <w:basedOn w:val="Normal"/>
    <w:autoRedefine/>
    <w:qFormat/>
    <w:pPr>
      <w:suppressAutoHyphens w:val="true"/>
      <w:spacing w:lineRule="exact" w:line="240" w:before="0" w:after="0"/>
    </w:pPr>
    <w:rPr>
      <w:rFonts w:cs="TimesLTStd-Roman"/>
      <w:spacing w:val="-2"/>
      <w:sz w:val="20"/>
      <w:lang w:eastAsia="en-US"/>
    </w:rPr>
  </w:style>
  <w:style w:type="paragraph" w:styleId="PARAIndent" w:customStyle="1">
    <w:name w:val="PARA_Indent"/>
    <w:basedOn w:val="PARA"/>
    <w:autoRedefine/>
    <w:qFormat/>
    <w:pPr>
      <w:ind w:firstLine="200"/>
    </w:pPr>
    <w:rPr/>
  </w:style>
  <w:style w:type="paragraph" w:styleId="MDPI71References" w:customStyle="1">
    <w:name w:val="MDPI_7.1_References"/>
    <w:basedOn w:val="Normal"/>
    <w:autoRedefine/>
    <w:qFormat/>
    <w:pPr>
      <w:snapToGrid w:val="false"/>
      <w:spacing w:lineRule="atLeast" w:line="260" w:before="0" w:after="0"/>
      <w:ind w:left="425" w:hanging="425"/>
    </w:pPr>
    <w:rPr>
      <w:rFonts w:ascii="Palatino Linotype" w:hAnsi="Palatino Linotype" w:eastAsia="Times New Roman"/>
      <w:color w:val="000000"/>
      <w:sz w:val="18"/>
      <w:lang w:eastAsia="de-DE" w:bidi="en-US"/>
    </w:rPr>
  </w:style>
  <w:style w:type="paragraph" w:styleId="Figure1" w:customStyle="1">
    <w:name w:val="Figure"/>
    <w:basedOn w:val="Caption1"/>
    <w:link w:val="Figure0"/>
    <w:autoRedefine/>
    <w:qFormat/>
    <w:pPr>
      <w:spacing w:before="0" w:after="0"/>
      <w:jc w:val="left"/>
    </w:pPr>
    <w:rPr>
      <w:rFonts w:eastAsia="等线 Light"/>
      <w:bCs/>
      <w:sz w:val="24"/>
      <w:szCs w:val="24"/>
      <w:lang w:eastAsia="en-US"/>
    </w:rPr>
  </w:style>
  <w:style w:type="paragraph" w:styleId="MTDisplayEquation1" w:customStyle="1">
    <w:name w:val="MTDisplayEquation"/>
    <w:basedOn w:val="Figure1"/>
    <w:next w:val="Normal"/>
    <w:link w:val="MTDisplayEquation0"/>
    <w:autoRedefine/>
    <w:qFormat/>
    <w:pPr>
      <w:tabs>
        <w:tab w:val="clear" w:pos="720"/>
        <w:tab w:val="center" w:pos="4860" w:leader="none"/>
        <w:tab w:val="right" w:pos="9360" w:leader="none"/>
      </w:tabs>
      <w:ind w:left="360" w:hanging="0"/>
    </w:pPr>
    <w:rPr>
      <w:b w:val="false"/>
      <w:bCs w:val="false"/>
      <w:sz w:val="22"/>
      <w:szCs w:val="22"/>
    </w:rPr>
  </w:style>
  <w:style w:type="paragraph" w:styleId="NoSpacing">
    <w:name w:val="No Spacing"/>
    <w:autoRedefine/>
    <w:uiPriority w:val="99"/>
    <w:unhideWhenUsed/>
    <w:qFormat/>
    <w:pPr>
      <w:widowControl/>
      <w:suppressAutoHyphens w:val="true"/>
      <w:bidi w:val="0"/>
      <w:spacing w:before="0" w:after="0"/>
      <w:jc w:val="left"/>
    </w:pPr>
    <w:rPr>
      <w:rFonts w:ascii="Times New Roman" w:hAnsi="Times New Roman" w:eastAsia="ＭＳ 明朝" w:cs="" w:cstheme="minorBidi" w:eastAsiaTheme="minorEastAsia"/>
      <w:color w:val="auto"/>
      <w:kern w:val="0"/>
      <w:sz w:val="24"/>
      <w:szCs w:val="22"/>
      <w:lang w:val="en-US" w:eastAsia="en-US" w:bidi="ar-SA"/>
    </w:rPr>
  </w:style>
  <w:style w:type="paragraph" w:styleId="Style15" w:customStyle="1">
    <w:name w:val="表"/>
    <w:basedOn w:val="Normal"/>
    <w:link w:val="afc"/>
    <w:autoRedefine/>
    <w:qFormat/>
    <w:pPr>
      <w:spacing w:before="0" w:after="0"/>
      <w:jc w:val="center"/>
    </w:pPr>
    <w:rPr>
      <w:rFonts w:cs="宋体"/>
      <w:bCs/>
      <w:color w:val="000000"/>
      <w:kern w:val="2"/>
      <w:szCs w:val="22"/>
    </w:rPr>
  </w:style>
  <w:style w:type="paragraph" w:styleId="TABLE1" w:customStyle="1">
    <w:name w:val="TABLE"/>
    <w:basedOn w:val="Figure1"/>
    <w:link w:val="TABLE0"/>
    <w:autoRedefine/>
    <w:qFormat/>
    <w:pPr/>
    <w:rPr>
      <w:rFonts w:eastAsia="Times New Roman"/>
    </w:rPr>
  </w:style>
  <w:style w:type="paragraph" w:styleId="12" w:customStyle="1">
    <w:name w:val="书目1"/>
    <w:basedOn w:val="Normal"/>
    <w:next w:val="Normal"/>
    <w:uiPriority w:val="37"/>
    <w:unhideWhenUsed/>
    <w:qFormat/>
    <w:pPr>
      <w:tabs>
        <w:tab w:val="clear" w:pos="720"/>
        <w:tab w:val="left" w:pos="504" w:leader="none"/>
      </w:tabs>
      <w:spacing w:before="0" w:after="0"/>
      <w:ind w:left="504" w:hanging="504"/>
    </w:pPr>
    <w:rPr/>
  </w:style>
  <w:style w:type="paragraph" w:styleId="13" w:customStyle="1">
    <w:name w:val="修订1"/>
    <w:autoRedefine/>
    <w:uiPriority w:val="99"/>
    <w:unhideWhenUsed/>
    <w:qFormat/>
    <w:pPr>
      <w:widowControl/>
      <w:suppressAutoHyphens w:val="true"/>
      <w:bidi w:val="0"/>
      <w:spacing w:before="0" w:after="0"/>
      <w:jc w:val="left"/>
    </w:pPr>
    <w:rPr>
      <w:rFonts w:ascii="Times New Roman" w:hAnsi="Times New Roman" w:eastAsia="宋体" w:cs="Times New Roman"/>
      <w:color w:val="auto"/>
      <w:kern w:val="0"/>
      <w:sz w:val="22"/>
      <w:szCs w:val="20"/>
      <w:lang w:val="en-US" w:eastAsia="zh-CN" w:bidi="ar-SA"/>
    </w:rPr>
  </w:style>
  <w:style w:type="paragraph" w:styleId="Revision">
    <w:name w:val="Revision"/>
    <w:uiPriority w:val="99"/>
    <w:unhideWhenUsed/>
    <w:qFormat/>
    <w:rsid w:val="00085611"/>
    <w:pPr>
      <w:widowControl/>
      <w:suppressAutoHyphens w:val="true"/>
      <w:bidi w:val="0"/>
      <w:spacing w:before="0" w:after="0"/>
      <w:jc w:val="left"/>
    </w:pPr>
    <w:rPr>
      <w:rFonts w:ascii="Times New Roman" w:hAnsi="Times New Roman" w:eastAsia="宋体" w:cs="Times New Roman"/>
      <w:color w:val="auto"/>
      <w:kern w:val="0"/>
      <w:sz w:val="22"/>
      <w:szCs w:val="20"/>
      <w:lang w:val="en-US" w:eastAsia="zh-CN"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6-32">
    <w:name w:val="清单表 6 彩色 - 着色 32"/>
    <w:basedOn w:val="a1"/>
    <w:uiPriority w:val="51"/>
    <w:qFormat/>
    <w:rPr>
      <w:rFonts w:eastAsiaTheme="minorEastAsia" w:cstheme="minorBidi"/>
      <w:color w:val="7B7B7B"/>
      <w:sz w:val="21"/>
      <w:szCs w:val="22"/>
    </w:rPr>
    <w:tblPr>
      <w:tblBorders>
        <w:top w:val="single" w:color="A5A5A5" w:sz="4" w:space="0"/>
        <w:bottom w:val="single" w:color="A5A5A5" w:sz="4" w:space="0"/>
      </w:tblBorders>
    </w:tblPr>
    <w:tblStylePr w:type="firstRow">
      <w:rPr>
        <w:b/>
        <w:bCs/>
      </w:rPr>
      <w:tblPr/>
      <w:tcPr>
        <w:tcBorders>
          <w:bottom w:val="single" w:color="A5A5A5" w:sz="4" w:space="0"/>
        </w:tcBorders>
      </w:tcPr>
    </w:tblStylePr>
    <w:tblStylePr w:type="lastRow">
      <w:rPr>
        <w:b/>
        <w:bCs/>
      </w:rPr>
      <w:tblPr/>
      <w:tcPr>
        <w:tcBorders>
          <w:top w:val="double" w:color="A5A5A5" w:sz="4" w:space="0"/>
        </w:tcBorders>
      </w:tcPr>
    </w:tblStylePr>
    <w:tblStylePr w:type="firstCol">
      <w:rPr>
        <w:b/>
        <w:bCs/>
      </w:rPr>
      <w:tblPr/>
    </w:tblStylePr>
    <w:tblStylePr w:type="lastCol">
      <w:rPr>
        <w:b/>
        <w:bCs/>
      </w:rPr>
      <w:tblPr/>
    </w:tblStylePr>
    <w:tblStylePr w:type="band1Vert">
      <w:tblPr/>
      <w:tcPr>
        <w:shd w:val="clear" w:color="auto" w:fill="EDEDED"/>
      </w:tcPr>
    </w:tblStylePr>
    <w:tblStylePr w:type="band1Horz">
      <w:tblPr/>
      <w:tcPr>
        <w:shd w:val="clear" w:color="auto" w:fill="EDEDED"/>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jpeg"/><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oleObject" Target="embeddings/oleObject46.bin"/><Relationship Id="rId95" Type="http://schemas.openxmlformats.org/officeDocument/2006/relationships/image" Target="media/image48.wmf"/><Relationship Id="rId96" Type="http://schemas.openxmlformats.org/officeDocument/2006/relationships/oleObject" Target="embeddings/oleObject47.bin"/><Relationship Id="rId97" Type="http://schemas.openxmlformats.org/officeDocument/2006/relationships/image" Target="media/image49.wmf"/><Relationship Id="rId98" Type="http://schemas.openxmlformats.org/officeDocument/2006/relationships/oleObject" Target="embeddings/oleObject48.bin"/><Relationship Id="rId99" Type="http://schemas.openxmlformats.org/officeDocument/2006/relationships/image" Target="media/image50.wmf"/><Relationship Id="rId100" Type="http://schemas.openxmlformats.org/officeDocument/2006/relationships/image" Target="media/image51.png"/><Relationship Id="rId101" Type="http://schemas.openxmlformats.org/officeDocument/2006/relationships/image" Target="media/image52.png"/><Relationship Id="rId102" Type="http://schemas.openxmlformats.org/officeDocument/2006/relationships/image" Target="media/image53.png"/><Relationship Id="rId103" Type="http://schemas.openxmlformats.org/officeDocument/2006/relationships/image" Target="media/image54.png"/><Relationship Id="rId104" Type="http://schemas.openxmlformats.org/officeDocument/2006/relationships/image" Target="media/image55.jpeg"/><Relationship Id="rId105" Type="http://schemas.openxmlformats.org/officeDocument/2006/relationships/image" Target="media/image56.jpeg"/><Relationship Id="rId106" Type="http://schemas.openxmlformats.org/officeDocument/2006/relationships/image" Target="media/image57.jpeg"/><Relationship Id="rId107" Type="http://schemas.openxmlformats.org/officeDocument/2006/relationships/image" Target="media/image58.jpeg"/><Relationship Id="rId108" Type="http://schemas.openxmlformats.org/officeDocument/2006/relationships/hyperlink" Target="https://www.loni.usc.edu/research/atlas_downloads" TargetMode="External"/><Relationship Id="rId109" Type="http://schemas.openxmlformats.org/officeDocument/2006/relationships/hyperlink" Target="https://github.com/adalca/medical-datasets/blob/master/neurite-oasis.md" TargetMode="External"/><Relationship Id="rId110" Type="http://schemas.openxmlformats.org/officeDocument/2006/relationships/header" Target="header1.xml"/><Relationship Id="rId111" Type="http://schemas.openxmlformats.org/officeDocument/2006/relationships/header" Target="header2.xml"/><Relationship Id="rId112" Type="http://schemas.openxmlformats.org/officeDocument/2006/relationships/header" Target="header3.xml"/><Relationship Id="rId113" Type="http://schemas.openxmlformats.org/officeDocument/2006/relationships/footer" Target="footer1.xml"/><Relationship Id="rId114" Type="http://schemas.openxmlformats.org/officeDocument/2006/relationships/numbering" Target="numbering.xml"/><Relationship Id="rId115" Type="http://schemas.openxmlformats.org/officeDocument/2006/relationships/fontTable" Target="fontTable.xml"/><Relationship Id="rId116" Type="http://schemas.openxmlformats.org/officeDocument/2006/relationships/settings" Target="settings.xml"/><Relationship Id="rId117" Type="http://schemas.openxmlformats.org/officeDocument/2006/relationships/theme" Target="theme/theme1.xml"/><Relationship Id="rId118"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61.png"/>
</Relationships>
</file>

<file path=word/_rels/header3.xml.rels><?xml version="1.0" encoding="UTF-8"?>
<Relationships xmlns="http://schemas.openxmlformats.org/package/2006/relationships"><Relationship Id="rId1" Type="http://schemas.openxmlformats.org/officeDocument/2006/relationships/image" Target="media/image59.png"/><Relationship Id="rId2" Type="http://schemas.openxmlformats.org/officeDocument/2006/relationships/image" Target="media/image6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354</TotalTime>
  <Application>LibreOffice/6.4.7.2$Linux_X86_64 LibreOffice_project/40$Build-2</Application>
  <Pages>18</Pages>
  <Words>7035</Words>
  <Characters>41024</Characters>
  <CharactersWithSpaces>47822</CharactersWithSpaces>
  <Paragraphs>338</Paragraphs>
  <Company>Dell Computer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2020-05-31T12:47:00Z</dcterms:created>
  <dc:creator>becky</dc:creator>
  <dc:description/>
  <dc:language>en-US</dc:language>
  <cp:lastModifiedBy/>
  <cp:lastPrinted>2023-11-16T05:14:00Z</cp:lastPrinted>
  <dcterms:modified xsi:type="dcterms:W3CDTF">2024-05-22T11:29:50Z</dcterms:modified>
  <cp:revision>381</cp:revision>
  <dc:subject/>
  <dc:title>Manuscript Preparation Instruction for Publishing in Computer Modeling in Engineering and Science (CMES)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Computer Corporation</vt:lpwstr>
  </property>
  <property fmtid="{D5CDD505-2E9C-101B-9397-08002B2CF9AE}" pid="4" name="DocSecurity">
    <vt:i4>0</vt:i4>
  </property>
  <property fmtid="{D5CDD505-2E9C-101B-9397-08002B2CF9AE}" pid="5" name="HyperlinksChanged">
    <vt:bool>0</vt:bool>
  </property>
  <property fmtid="{D5CDD505-2E9C-101B-9397-08002B2CF9AE}" pid="6" name="ICV">
    <vt:lpwstr>C8B32297927E4C97AAB0C01DC43AEF86_13</vt:lpwstr>
  </property>
  <property fmtid="{D5CDD505-2E9C-101B-9397-08002B2CF9AE}" pid="7" name="KSOProductBuildVer">
    <vt:lpwstr>2052-12.1.0.16388</vt:lpwstr>
  </property>
  <property fmtid="{D5CDD505-2E9C-101B-9397-08002B2CF9AE}" pid="8" name="LinksUpToDate">
    <vt:bool>0</vt:bool>
  </property>
  <property fmtid="{D5CDD505-2E9C-101B-9397-08002B2CF9AE}" pid="9" name="MTEquationNumber2">
    <vt:lpwstr>(#E1)</vt:lpwstr>
  </property>
  <property fmtid="{D5CDD505-2E9C-101B-9397-08002B2CF9AE}" pid="10" name="MTEquationSection">
    <vt:lpwstr>1</vt:lpwstr>
  </property>
  <property fmtid="{D5CDD505-2E9C-101B-9397-08002B2CF9AE}" pid="11" name="MTWinEqns">
    <vt:bool>1</vt:bool>
  </property>
  <property fmtid="{D5CDD505-2E9C-101B-9397-08002B2CF9AE}" pid="12" name="ScaleCrop">
    <vt:bool>0</vt:bool>
  </property>
  <property fmtid="{D5CDD505-2E9C-101B-9397-08002B2CF9AE}" pid="13" name="ShareDoc">
    <vt:bool>0</vt:bool>
  </property>
  <property fmtid="{D5CDD505-2E9C-101B-9397-08002B2CF9AE}" pid="14" name="ZOTERO_PREF_1">
    <vt:lpwstr>&lt;data data-version="3" zotero-version="6.0.30"&gt;&lt;session id="gav0weD5"/&gt;&lt;style id="http://www.zotero.org/styles/china-national-standard-gb-t-7714-2015-note" hasBibliography="1" bibliographyStyleHasBeenSet="1"/&gt;&lt;prefs&gt;&lt;pref name="fieldType" value="Field"/&gt;&lt;</vt:lpwstr>
  </property>
  <property fmtid="{D5CDD505-2E9C-101B-9397-08002B2CF9AE}" pid="15" name="ZOTERO_PREF_2">
    <vt:lpwstr>pref name="noteType" value="1"/&gt;&lt;/prefs&gt;&lt;/data&gt;</vt:lpwstr>
  </property>
</Properties>
</file>