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tif" ContentType="image/tiff"/>
  <Override PartName="/word/media/image2.tif" ContentType="image/tiff"/>
  <Override PartName="/word/media/image3.tif" ContentType="image/tiff"/>
  <Override PartName="/word/media/image4.tif" ContentType="image/tiff"/>
  <Override PartName="/word/media/image5.tif" ContentType="image/tiff"/>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fontTable.xml" ContentType="application/vnd.openxmlformats-officedocument.wordprocessingml.fontTable+xml"/>
  <Override PartName="/word/settings.xml" ContentType="application/vnd.openxmlformats-officedocument.wordprocessingml.settings+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pBdr>
          <w:top w:val="single" w:sz="4" w:space="1" w:color="000000"/>
        </w:pBdr>
        <w:spacing w:before="0" w:after="0"/>
        <w:jc w:val="left"/>
        <w:rPr>
          <w:rFonts w:ascii="Minion Pro" w:hAnsi="Minion Pro"/>
          <w:color w:val="000000" w:themeColor="text1"/>
          <w:sz w:val="14"/>
          <w:szCs w:val="14"/>
        </w:rPr>
      </w:pPr>
      <w:r>
        <w:rPr>
          <w:rFonts w:ascii="Minion Pro" w:hAnsi="Minion Pro"/>
          <w:color w:val="000000" w:themeColor="text1"/>
          <w:sz w:val="14"/>
          <w:szCs w:val="14"/>
        </w:rPr>
        <w:t>DOI: 10.32604/phyton.202x.0xxxxx</w:t>
      </w:r>
    </w:p>
    <w:p>
      <w:pPr>
        <w:pStyle w:val="Normal"/>
        <w:spacing w:before="0" w:after="0"/>
        <w:jc w:val="left"/>
        <w:rPr>
          <w:rFonts w:ascii="Minion Pro" w:hAnsi="Minion Pro"/>
          <w:color w:val="000000" w:themeColor="text1"/>
          <w:sz w:val="18"/>
          <w:szCs w:val="18"/>
        </w:rPr>
      </w:pPr>
      <w:r>
        <w:rPr>
          <w:rFonts w:ascii="Minion Pro" w:hAnsi="Minion Pro"/>
          <w:color w:val="000000" w:themeColor="text1"/>
          <w:sz w:val="18"/>
          <w:szCs w:val="18"/>
        </w:rPr>
      </w:r>
    </w:p>
    <w:p>
      <w:pPr>
        <w:pStyle w:val="Normal"/>
        <w:widowControl w:val="false"/>
        <w:tabs>
          <w:tab w:val="clear" w:pos="420"/>
          <w:tab w:val="left" w:pos="440" w:leader="none"/>
        </w:tabs>
        <w:snapToGrid w:val="false"/>
        <w:spacing w:before="0" w:after="0"/>
        <w:jc w:val="left"/>
        <w:rPr>
          <w:rFonts w:ascii="Minion Pro" w:hAnsi="Minion Pro" w:cs="等线" w:cstheme="minorHAnsi"/>
          <w:color w:val="000000" w:themeColor="text1"/>
          <w:sz w:val="18"/>
          <w:szCs w:val="18"/>
        </w:rPr>
      </w:pPr>
      <w:r>
        <w:rPr>
          <w:rFonts w:cs="等线" w:ascii="Minion Pro" w:hAnsi="Minion Pro" w:cstheme="minorHAnsi"/>
          <w:b/>
          <w:bCs/>
          <w:color w:val="000000" w:themeColor="text1"/>
          <w:sz w:val="18"/>
          <w:szCs w:val="18"/>
          <w:u w:val="single"/>
        </w:rPr>
        <w:t>ARTICLE</w:t>
      </w:r>
    </w:p>
    <w:p>
      <w:pPr>
        <w:pStyle w:val="Normal"/>
        <w:spacing w:before="240" w:after="60"/>
        <w:jc w:val="left"/>
        <w:rPr>
          <w:rFonts w:ascii="Minion Pro" w:hAnsi="Minion Pro"/>
          <w:b/>
          <w:b/>
          <w:color w:val="000000" w:themeColor="text1"/>
          <w:kern w:val="2"/>
          <w:sz w:val="28"/>
          <w:szCs w:val="28"/>
        </w:rPr>
      </w:pPr>
      <w:bookmarkStart w:id="0" w:name="_Hlk116464797"/>
      <w:r>
        <w:rPr>
          <w:rFonts w:ascii="Minion Pro" w:hAnsi="Minion Pro"/>
          <w:b/>
          <w:color w:val="000000" w:themeColor="text1"/>
          <w:kern w:val="2"/>
          <w:sz w:val="28"/>
          <w:szCs w:val="28"/>
        </w:rPr>
        <w:t>Transcriptome Analysis of Inflorescence Development at the Five-Leaf Stage in Castor (</w:t>
      </w:r>
      <w:bookmarkStart w:id="1" w:name="OLE_LINK3"/>
      <w:r>
        <w:rPr>
          <w:rFonts w:ascii="Minion Pro" w:hAnsi="Minion Pro"/>
          <w:b/>
          <w:i/>
          <w:iCs/>
          <w:color w:val="000000" w:themeColor="text1"/>
          <w:kern w:val="2"/>
          <w:sz w:val="28"/>
          <w:szCs w:val="28"/>
        </w:rPr>
        <w:t>Ricinus communis</w:t>
      </w:r>
      <w:bookmarkEnd w:id="1"/>
      <w:r>
        <w:rPr>
          <w:rFonts w:ascii="Minion Pro" w:hAnsi="Minion Pro"/>
          <w:b/>
          <w:color w:val="000000" w:themeColor="text1"/>
          <w:kern w:val="2"/>
          <w:sz w:val="28"/>
          <w:szCs w:val="28"/>
        </w:rPr>
        <w:t xml:space="preserve"> L.)</w:t>
      </w:r>
      <w:bookmarkStart w:id="2" w:name="_Hlk54099856"/>
      <w:bookmarkEnd w:id="0"/>
      <w:bookmarkEnd w:id="2"/>
    </w:p>
    <w:p>
      <w:pPr>
        <w:pStyle w:val="Author"/>
        <w:keepNext w:val="false"/>
        <w:widowControl w:val="false"/>
        <w:snapToGrid w:val="false"/>
        <w:spacing w:before="0" w:after="240"/>
        <w:jc w:val="left"/>
        <w:rPr>
          <w:rFonts w:ascii="Minion Pro" w:hAnsi="Minion Pro"/>
          <w:i w:val="false"/>
          <w:i w:val="false"/>
          <w:color w:val="000000" w:themeColor="text1"/>
          <w:sz w:val="22"/>
          <w:szCs w:val="22"/>
        </w:rPr>
      </w:pPr>
      <w:r>
        <w:rPr>
          <w:rFonts w:ascii="Minion Pro" w:hAnsi="Minion Pro"/>
          <w:i w:val="false"/>
          <w:color w:val="000000" w:themeColor="text1"/>
          <w:sz w:val="22"/>
          <w:szCs w:val="22"/>
        </w:rPr>
        <w:t>Yong Zhao</w:t>
      </w:r>
      <w:r>
        <w:rPr>
          <w:rFonts w:ascii="Minion Pro" w:hAnsi="Minion Pro"/>
          <w:i w:val="false"/>
          <w:color w:val="000000" w:themeColor="text1"/>
          <w:sz w:val="22"/>
          <w:szCs w:val="22"/>
          <w:vertAlign w:val="superscript"/>
        </w:rPr>
        <w:t>2,†</w:t>
      </w:r>
      <w:r>
        <w:rPr>
          <w:rFonts w:ascii="Minion Pro" w:hAnsi="Minion Pro"/>
          <w:i w:val="false"/>
          <w:color w:val="000000" w:themeColor="text1"/>
          <w:sz w:val="22"/>
          <w:szCs w:val="22"/>
        </w:rPr>
        <w:t xml:space="preserve">, </w:t>
      </w:r>
      <w:bookmarkStart w:id="3" w:name="OLE_LINK1"/>
      <w:r>
        <w:rPr>
          <w:rFonts w:ascii="Minion Pro" w:hAnsi="Minion Pro"/>
          <w:i w:val="false"/>
          <w:color w:val="000000" w:themeColor="text1"/>
          <w:sz w:val="22"/>
          <w:szCs w:val="22"/>
        </w:rPr>
        <w:t>Yaxuan Jiang</w:t>
      </w:r>
      <w:bookmarkEnd w:id="3"/>
      <w:r>
        <w:rPr>
          <w:rFonts w:ascii="Minion Pro" w:hAnsi="Minion Pro"/>
          <w:i w:val="false"/>
          <w:color w:val="000000" w:themeColor="text1"/>
          <w:sz w:val="22"/>
          <w:szCs w:val="22"/>
          <w:vertAlign w:val="superscript"/>
        </w:rPr>
        <w:t>3,†</w:t>
      </w:r>
      <w:r>
        <w:rPr>
          <w:rFonts w:ascii="Minion Pro" w:hAnsi="Minion Pro"/>
          <w:i w:val="false"/>
          <w:color w:val="000000" w:themeColor="text1"/>
          <w:sz w:val="22"/>
          <w:szCs w:val="22"/>
        </w:rPr>
        <w:t>, Li Wen</w:t>
      </w:r>
      <w:r>
        <w:rPr>
          <w:rFonts w:ascii="Minion Pro" w:hAnsi="Minion Pro"/>
          <w:i w:val="false"/>
          <w:color w:val="000000" w:themeColor="text1"/>
          <w:sz w:val="22"/>
          <w:szCs w:val="22"/>
          <w:vertAlign w:val="superscript"/>
        </w:rPr>
        <w:t>2</w:t>
      </w:r>
      <w:r>
        <w:rPr>
          <w:rFonts w:ascii="Minion Pro" w:hAnsi="Minion Pro"/>
          <w:i w:val="false"/>
          <w:color w:val="000000" w:themeColor="text1"/>
          <w:sz w:val="22"/>
          <w:szCs w:val="22"/>
        </w:rPr>
        <w:t>, Rui Luo</w:t>
      </w:r>
      <w:r>
        <w:rPr>
          <w:rFonts w:ascii="Minion Pro" w:hAnsi="Minion Pro"/>
          <w:i w:val="false"/>
          <w:color w:val="000000" w:themeColor="text1"/>
          <w:sz w:val="22"/>
          <w:szCs w:val="22"/>
          <w:vertAlign w:val="superscript"/>
        </w:rPr>
        <w:t>1</w:t>
      </w:r>
      <w:r>
        <w:rPr>
          <w:rFonts w:ascii="Minion Pro" w:hAnsi="Minion Pro"/>
          <w:i w:val="false"/>
          <w:color w:val="000000" w:themeColor="text1"/>
          <w:sz w:val="22"/>
          <w:szCs w:val="22"/>
        </w:rPr>
        <w:t>, Guorui Li</w:t>
      </w:r>
      <w:r>
        <w:rPr>
          <w:rFonts w:ascii="Minion Pro" w:hAnsi="Minion Pro"/>
          <w:i w:val="false"/>
          <w:color w:val="000000" w:themeColor="text1"/>
          <w:sz w:val="22"/>
          <w:szCs w:val="22"/>
          <w:vertAlign w:val="superscript"/>
        </w:rPr>
        <w:t>1</w:t>
      </w:r>
      <w:r>
        <w:rPr>
          <w:rFonts w:ascii="Minion Pro" w:hAnsi="Minion Pro"/>
          <w:i w:val="false"/>
          <w:color w:val="000000" w:themeColor="text1"/>
          <w:sz w:val="22"/>
          <w:szCs w:val="22"/>
        </w:rPr>
        <w:t>, Jianjun Di</w:t>
      </w:r>
      <w:r>
        <w:rPr>
          <w:rFonts w:ascii="Minion Pro" w:hAnsi="Minion Pro"/>
          <w:i w:val="false"/>
          <w:color w:val="000000" w:themeColor="text1"/>
          <w:sz w:val="22"/>
          <w:szCs w:val="22"/>
          <w:vertAlign w:val="superscript"/>
        </w:rPr>
        <w:t>1</w:t>
      </w:r>
      <w:r>
        <w:rPr>
          <w:rFonts w:ascii="Minion Pro" w:hAnsi="Minion Pro"/>
          <w:i w:val="false"/>
          <w:color w:val="000000" w:themeColor="text1"/>
          <w:sz w:val="22"/>
          <w:szCs w:val="22"/>
        </w:rPr>
        <w:t>, Mingda Yin</w:t>
      </w:r>
      <w:r>
        <w:rPr>
          <w:rFonts w:ascii="Minion Pro" w:hAnsi="Minion Pro"/>
          <w:i w:val="false"/>
          <w:color w:val="000000" w:themeColor="text1"/>
          <w:sz w:val="22"/>
          <w:szCs w:val="22"/>
          <w:vertAlign w:val="superscript"/>
        </w:rPr>
        <w:t>1</w:t>
      </w:r>
      <w:r>
        <w:rPr>
          <w:rFonts w:ascii="Minion Pro" w:hAnsi="Minion Pro"/>
          <w:i w:val="false"/>
          <w:color w:val="000000" w:themeColor="text1"/>
          <w:sz w:val="22"/>
          <w:szCs w:val="22"/>
        </w:rPr>
        <w:t>, Zhiyan Wang</w:t>
      </w:r>
      <w:r>
        <w:rPr>
          <w:rFonts w:ascii="Minion Pro" w:hAnsi="Minion Pro"/>
          <w:i w:val="false"/>
          <w:color w:val="000000" w:themeColor="text1"/>
          <w:sz w:val="22"/>
          <w:szCs w:val="22"/>
          <w:vertAlign w:val="superscript"/>
        </w:rPr>
        <w:t>1</w:t>
      </w:r>
      <w:r>
        <w:rPr>
          <w:rFonts w:ascii="Minion Pro" w:hAnsi="Minion Pro"/>
          <w:i w:val="false"/>
          <w:color w:val="000000" w:themeColor="text1"/>
          <w:sz w:val="22"/>
          <w:szCs w:val="22"/>
        </w:rPr>
        <w:t>, Fenglan Huang</w:t>
      </w:r>
      <w:r>
        <w:rPr>
          <w:rFonts w:ascii="Minion Pro" w:hAnsi="Minion Pro"/>
          <w:i w:val="false"/>
          <w:color w:val="000000" w:themeColor="text1"/>
          <w:sz w:val="22"/>
          <w:szCs w:val="22"/>
          <w:vertAlign w:val="superscript"/>
        </w:rPr>
        <w:t>1, 4, 5, 6, 7*</w:t>
      </w:r>
      <w:r>
        <w:rPr>
          <w:rFonts w:ascii="Minion Pro" w:hAnsi="Minion Pro"/>
          <w:i w:val="false"/>
          <w:color w:val="000000" w:themeColor="text1"/>
          <w:sz w:val="22"/>
          <w:szCs w:val="22"/>
        </w:rPr>
        <w:t>, Fanjuan Meng</w:t>
      </w:r>
      <w:r>
        <w:rPr>
          <w:rFonts w:ascii="Minion Pro" w:hAnsi="Minion Pro"/>
          <w:i w:val="false"/>
          <w:color w:val="000000" w:themeColor="text1"/>
          <w:sz w:val="22"/>
          <w:szCs w:val="22"/>
          <w:vertAlign w:val="superscript"/>
        </w:rPr>
        <w:t>3*</w:t>
      </w:r>
    </w:p>
    <w:p>
      <w:pPr>
        <w:pStyle w:val="Normal"/>
        <w:widowControl w:val="false"/>
        <w:snapToGrid w:val="false"/>
        <w:jc w:val="left"/>
        <w:rPr>
          <w:rFonts w:ascii="Minion Pro" w:hAnsi="Minion Pro"/>
          <w:color w:val="000000" w:themeColor="text1"/>
          <w:sz w:val="18"/>
          <w:szCs w:val="18"/>
        </w:rPr>
      </w:pPr>
      <w:r>
        <w:rPr>
          <w:rFonts w:ascii="Minion Pro" w:hAnsi="Minion Pro"/>
          <w:color w:val="000000" w:themeColor="text1"/>
          <w:sz w:val="18"/>
          <w:szCs w:val="18"/>
          <w:vertAlign w:val="superscript"/>
        </w:rPr>
        <w:t>1</w:t>
      </w:r>
      <w:r>
        <w:rPr>
          <w:rFonts w:ascii="Minion Pro" w:hAnsi="Minion Pro"/>
          <w:color w:val="000000" w:themeColor="text1"/>
          <w:sz w:val="18"/>
          <w:szCs w:val="18"/>
        </w:rPr>
        <w:t>College of Life Science and Food, Inner Mongolia University for the Nationalities, Tongliao, 028000, China;</w:t>
      </w:r>
    </w:p>
    <w:p>
      <w:pPr>
        <w:pStyle w:val="Normal"/>
        <w:widowControl w:val="false"/>
        <w:snapToGrid w:val="false"/>
        <w:jc w:val="left"/>
        <w:rPr>
          <w:rFonts w:ascii="Minion Pro" w:hAnsi="Minion Pro"/>
          <w:color w:val="000000" w:themeColor="text1"/>
          <w:sz w:val="18"/>
          <w:szCs w:val="18"/>
        </w:rPr>
      </w:pPr>
      <w:r>
        <w:rPr>
          <w:rFonts w:ascii="Minion Pro" w:hAnsi="Minion Pro"/>
          <w:color w:val="000000" w:themeColor="text1"/>
          <w:sz w:val="18"/>
          <w:szCs w:val="18"/>
          <w:vertAlign w:val="superscript"/>
        </w:rPr>
        <w:t>2</w:t>
      </w:r>
      <w:r>
        <w:rPr>
          <w:rFonts w:ascii="Minion Pro" w:hAnsi="Minion Pro"/>
          <w:color w:val="000000" w:themeColor="text1"/>
          <w:sz w:val="18"/>
          <w:szCs w:val="18"/>
        </w:rPr>
        <w:t>College of Life Science, Baicheng Normal University, Baicheng, 137000, China;</w:t>
      </w:r>
    </w:p>
    <w:p>
      <w:pPr>
        <w:pStyle w:val="Normal"/>
        <w:widowControl w:val="false"/>
        <w:snapToGrid w:val="false"/>
        <w:jc w:val="left"/>
        <w:rPr>
          <w:rFonts w:ascii="Minion Pro" w:hAnsi="Minion Pro"/>
          <w:color w:val="000000" w:themeColor="text1"/>
          <w:sz w:val="18"/>
          <w:szCs w:val="18"/>
        </w:rPr>
      </w:pPr>
      <w:r>
        <w:rPr>
          <w:rFonts w:ascii="Minion Pro" w:hAnsi="Minion Pro"/>
          <w:color w:val="000000" w:themeColor="text1"/>
          <w:sz w:val="18"/>
          <w:szCs w:val="18"/>
          <w:vertAlign w:val="superscript"/>
        </w:rPr>
        <w:t>3</w:t>
      </w:r>
      <w:r>
        <w:rPr>
          <w:rFonts w:ascii="Minion Pro" w:hAnsi="Minion Pro"/>
          <w:color w:val="000000" w:themeColor="text1"/>
          <w:sz w:val="18"/>
          <w:szCs w:val="18"/>
        </w:rPr>
        <w:t>College of Life Science, Northeast Forestry University, Harbin, 150040, China;</w:t>
      </w:r>
    </w:p>
    <w:p>
      <w:pPr>
        <w:pStyle w:val="Normal"/>
        <w:widowControl w:val="false"/>
        <w:snapToGrid w:val="false"/>
        <w:jc w:val="left"/>
        <w:rPr>
          <w:rFonts w:ascii="Minion Pro" w:hAnsi="Minion Pro"/>
          <w:color w:val="000000" w:themeColor="text1"/>
          <w:sz w:val="18"/>
          <w:szCs w:val="18"/>
        </w:rPr>
      </w:pPr>
      <w:r>
        <w:rPr>
          <w:rFonts w:ascii="Minion Pro" w:hAnsi="Minion Pro"/>
          <w:color w:val="000000" w:themeColor="text1"/>
          <w:sz w:val="18"/>
          <w:szCs w:val="18"/>
          <w:vertAlign w:val="superscript"/>
        </w:rPr>
        <w:t>4</w:t>
      </w:r>
      <w:r>
        <w:rPr>
          <w:rFonts w:ascii="Minion Pro" w:hAnsi="Minion Pro"/>
          <w:color w:val="000000" w:themeColor="text1"/>
          <w:sz w:val="18"/>
          <w:szCs w:val="18"/>
        </w:rPr>
        <w:t>Key Laboratory of Castor Breeding of the State Ethnic Affairs Commission, Inner Mongolia Minzu University,Tongliao 028043, China;</w:t>
      </w:r>
    </w:p>
    <w:p>
      <w:pPr>
        <w:pStyle w:val="Normal"/>
        <w:widowControl w:val="false"/>
        <w:snapToGrid w:val="false"/>
        <w:jc w:val="left"/>
        <w:rPr>
          <w:rFonts w:ascii="Minion Pro" w:hAnsi="Minion Pro"/>
          <w:color w:val="000000" w:themeColor="text1"/>
          <w:sz w:val="18"/>
          <w:szCs w:val="18"/>
        </w:rPr>
      </w:pPr>
      <w:r>
        <w:rPr>
          <w:rFonts w:ascii="Minion Pro" w:hAnsi="Minion Pro"/>
          <w:color w:val="000000" w:themeColor="text1"/>
          <w:sz w:val="18"/>
          <w:szCs w:val="18"/>
          <w:vertAlign w:val="superscript"/>
        </w:rPr>
        <w:t>5</w:t>
      </w:r>
      <w:r>
        <w:rPr>
          <w:rFonts w:ascii="Minion Pro" w:hAnsi="Minion Pro"/>
          <w:color w:val="000000" w:themeColor="text1"/>
          <w:sz w:val="18"/>
          <w:szCs w:val="18"/>
        </w:rPr>
        <w:t xml:space="preserve"> Inner Mongolia Industrial Engineering Research Center of Universities for Castor, Inner Mongolia Minzu University, Tongliao 028043, China;</w:t>
      </w:r>
    </w:p>
    <w:p>
      <w:pPr>
        <w:pStyle w:val="Normal"/>
        <w:widowControl w:val="false"/>
        <w:snapToGrid w:val="false"/>
        <w:jc w:val="left"/>
        <w:rPr>
          <w:rFonts w:ascii="Minion Pro" w:hAnsi="Minion Pro"/>
          <w:color w:val="000000" w:themeColor="text1"/>
          <w:sz w:val="18"/>
          <w:szCs w:val="18"/>
        </w:rPr>
      </w:pPr>
      <w:r>
        <w:rPr>
          <w:rFonts w:ascii="Minion Pro" w:hAnsi="Minion Pro"/>
          <w:color w:val="000000" w:themeColor="text1"/>
          <w:sz w:val="18"/>
          <w:szCs w:val="18"/>
          <w:vertAlign w:val="superscript"/>
        </w:rPr>
        <w:t>6</w:t>
      </w:r>
      <w:r>
        <w:rPr>
          <w:rFonts w:ascii="Minion Pro" w:hAnsi="Minion Pro"/>
          <w:color w:val="000000" w:themeColor="text1"/>
          <w:sz w:val="18"/>
          <w:szCs w:val="18"/>
        </w:rPr>
        <w:t>Inner Mongolia Key Laboratory of Castor Breeding and Comprehensive Utilization, Inner Mongolia Minzu University, Tongliao, 028000, China;</w:t>
      </w:r>
    </w:p>
    <w:p>
      <w:pPr>
        <w:pStyle w:val="Normal"/>
        <w:widowControl w:val="false"/>
        <w:snapToGrid w:val="false"/>
        <w:jc w:val="left"/>
        <w:rPr>
          <w:rFonts w:ascii="Minion Pro" w:hAnsi="Minion Pro"/>
          <w:color w:val="000000" w:themeColor="text1"/>
          <w:sz w:val="18"/>
          <w:szCs w:val="18"/>
        </w:rPr>
      </w:pPr>
      <w:r>
        <w:rPr>
          <w:rFonts w:ascii="Minion Pro" w:hAnsi="Minion Pro"/>
          <w:color w:val="000000" w:themeColor="text1"/>
          <w:sz w:val="18"/>
          <w:szCs w:val="18"/>
          <w:vertAlign w:val="superscript"/>
        </w:rPr>
        <w:t>7</w:t>
      </w:r>
      <w:r>
        <w:rPr>
          <w:rFonts w:ascii="Minion Pro" w:hAnsi="Minion Pro"/>
          <w:color w:val="000000" w:themeColor="text1"/>
          <w:sz w:val="18"/>
          <w:szCs w:val="18"/>
        </w:rPr>
        <w:t>Inner Mongolia Engineering Research Center of Industrial Technology Innovation of Castor, Inner Mongolia Minzu University, Tongliao, 028000, China.</w:t>
      </w:r>
    </w:p>
    <w:p>
      <w:pPr>
        <w:pStyle w:val="Normal"/>
        <w:widowControl w:val="false"/>
        <w:snapToGrid w:val="false"/>
        <w:jc w:val="left"/>
        <w:rPr>
          <w:rFonts w:ascii="Minion Pro" w:hAnsi="Minion Pro"/>
          <w:color w:val="000000" w:themeColor="text1"/>
          <w:sz w:val="18"/>
          <w:szCs w:val="18"/>
        </w:rPr>
      </w:pPr>
      <w:r>
        <w:rPr>
          <w:rFonts w:ascii="Minion Pro" w:hAnsi="Minion Pro"/>
          <w:color w:val="000000" w:themeColor="text1"/>
          <w:sz w:val="18"/>
          <w:szCs w:val="18"/>
        </w:rPr>
        <w:t xml:space="preserve">*Corresponding Author: Fenglan Huang, Email: </w:t>
      </w:r>
      <w:hyperlink r:id="rId2">
        <w:r>
          <w:rPr>
            <w:rStyle w:val="InternetLink"/>
            <w:rFonts w:ascii="Minion Pro" w:hAnsi="Minion Pro"/>
            <w:color w:val="000000" w:themeColor="text1"/>
            <w:sz w:val="18"/>
            <w:szCs w:val="18"/>
          </w:rPr>
          <w:t>huangfenglan@imun.edu.cn</w:t>
        </w:r>
      </w:hyperlink>
      <w:r>
        <w:rPr>
          <w:rFonts w:ascii="Minion Pro" w:hAnsi="Minion Pro"/>
          <w:color w:val="000000" w:themeColor="text1"/>
          <w:sz w:val="18"/>
          <w:szCs w:val="18"/>
        </w:rPr>
        <w:t xml:space="preserve">; Fanjuan Meng, </w:t>
      </w:r>
      <w:hyperlink r:id="rId3">
        <w:r>
          <w:rPr>
            <w:rStyle w:val="InternetLink"/>
            <w:rFonts w:ascii="Minion Pro" w:hAnsi="Minion Pro"/>
            <w:color w:val="000000" w:themeColor="text1"/>
            <w:sz w:val="18"/>
            <w:szCs w:val="18"/>
          </w:rPr>
          <w:t>mfj19751@163.com</w:t>
        </w:r>
      </w:hyperlink>
      <w:hyperlink r:id="rId4">
        <w:r>
          <w:rPr>
            <w:rFonts w:ascii="Minion Pro" w:hAnsi="Minion Pro"/>
            <w:color w:val="000000" w:themeColor="text1"/>
            <w:sz w:val="18"/>
            <w:szCs w:val="18"/>
          </w:rPr>
          <w:t xml:space="preserve"> .</w:t>
        </w:r>
      </w:hyperlink>
    </w:p>
    <w:p>
      <w:pPr>
        <w:pStyle w:val="Normal"/>
        <w:widowControl w:val="false"/>
        <w:snapToGrid w:val="false"/>
        <w:spacing w:before="0" w:after="0"/>
        <w:rPr>
          <w:rStyle w:val="InternetLink"/>
          <w:rFonts w:ascii="等线" w:hAnsi="等线"/>
          <w:color w:val="000000"/>
          <w:sz w:val="18"/>
          <w:szCs w:val="18"/>
          <w:vertAlign w:val="superscript"/>
        </w:rPr>
      </w:pPr>
      <w:r>
        <w:rPr>
          <w:rStyle w:val="InternetLink"/>
          <w:rFonts w:ascii="等线" w:hAnsi="等线"/>
          <w:color w:val="000000"/>
          <w:sz w:val="18"/>
          <w:szCs w:val="18"/>
          <w:vertAlign w:val="superscript"/>
        </w:rPr>
        <w:t>†</w:t>
      </w:r>
      <w:r>
        <w:rPr>
          <w:rFonts w:ascii="Minion Pro" w:hAnsi="Minion Pro"/>
          <w:color w:val="000000" w:themeColor="text1"/>
          <w:sz w:val="18"/>
          <w:szCs w:val="18"/>
        </w:rPr>
        <w:t>Yong Zhao and Yaxuan Jiang both contributed equally to this work.</w:t>
      </w:r>
    </w:p>
    <w:p>
      <w:pPr>
        <w:pStyle w:val="Normal"/>
        <w:widowControl w:val="false"/>
        <w:snapToGrid w:val="false"/>
        <w:spacing w:before="0" w:after="240"/>
        <w:jc w:val="left"/>
        <w:rPr>
          <w:rStyle w:val="InternetLink"/>
          <w:rFonts w:ascii="Minion Pro" w:hAnsi="Minion Pro"/>
          <w:color w:val="000000" w:themeColor="text1"/>
          <w:sz w:val="18"/>
          <w:szCs w:val="18"/>
        </w:rPr>
      </w:pPr>
      <w:r>
        <w:rPr>
          <w:rFonts w:ascii="Minion Pro" w:hAnsi="Minion Pro"/>
          <w:color w:val="000000" w:themeColor="text1"/>
          <w:sz w:val="18"/>
          <w:szCs w:val="18"/>
        </w:rPr>
        <w:t>Received: 13 November 2023    Accepted: 12 March 2024</w:t>
      </w:r>
    </w:p>
    <w:p>
      <w:pPr>
        <w:pStyle w:val="Normal"/>
        <w:widowControl w:val="false"/>
        <w:snapToGrid w:val="false"/>
        <w:jc w:val="left"/>
        <w:rPr>
          <w:rStyle w:val="InternetLink"/>
          <w:color w:val="000000" w:themeColor="text1"/>
          <w:sz w:val="18"/>
          <w:szCs w:val="18"/>
        </w:rPr>
      </w:pPr>
      <w:r>
        <w:rPr/>
        <mc:AlternateContent>
          <mc:Choice Requires="wps">
            <w:drawing>
              <wp:inline distT="0" distB="0" distL="0" distR="6350" wp14:anchorId="6E87EBD5">
                <wp:extent cx="5538470" cy="3551555"/>
                <wp:effectExtent l="0" t="0" r="6350" b="0"/>
                <wp:docPr id="1" name="Shape1"/>
                <a:graphic xmlns:a="http://schemas.openxmlformats.org/drawingml/2006/main">
                  <a:graphicData uri="http://schemas.microsoft.com/office/word/2010/wordprocessingShape">
                    <wps:wsp>
                      <wps:cNvSpPr/>
                      <wps:spPr>
                        <a:xfrm>
                          <a:off x="0" y="0"/>
                          <a:ext cx="5537880" cy="3551040"/>
                        </a:xfrm>
                        <a:prstGeom prst="rect">
                          <a:avLst/>
                        </a:prstGeom>
                        <a:solidFill>
                          <a:schemeClr val="bg1">
                            <a:lumMod val="95000"/>
                          </a:schemeClr>
                        </a:solidFill>
                        <a:ln w="9360">
                          <a:noFill/>
                        </a:ln>
                      </wps:spPr>
                      <wps:style>
                        <a:lnRef idx="0"/>
                        <a:fillRef idx="0"/>
                        <a:effectRef idx="0"/>
                        <a:fontRef idx="minor"/>
                      </wps:style>
                      <wps:txbx>
                        <w:txbxContent>
                          <w:p>
                            <w:pPr>
                              <w:pStyle w:val="FrameContents"/>
                              <w:widowControl w:val="false"/>
                              <w:snapToGrid w:val="false"/>
                              <w:rPr>
                                <w:rFonts w:ascii="Minion Pro" w:hAnsi="Minion Pro"/>
                                <w:b/>
                                <w:b/>
                                <w:bCs/>
                                <w:sz w:val="20"/>
                              </w:rPr>
                            </w:pPr>
                            <w:r>
                              <w:rPr>
                                <w:rFonts w:ascii="Minion Pro" w:hAnsi="Minion Pro"/>
                                <w:b/>
                                <w:bCs/>
                                <w:color w:val="000000"/>
                                <w:sz w:val="20"/>
                              </w:rPr>
                              <w:t>ABSTRACT</w:t>
                            </w:r>
                          </w:p>
                          <w:p>
                            <w:pPr>
                              <w:pStyle w:val="FrameContents"/>
                              <w:widowControl w:val="false"/>
                              <w:snapToGrid w:val="false"/>
                              <w:ind w:firstLine="388"/>
                              <w:rPr>
                                <w:rFonts w:ascii="Minion Pro" w:hAnsi="Minion Pro"/>
                                <w:spacing w:val="-3"/>
                                <w:sz w:val="20"/>
                              </w:rPr>
                            </w:pPr>
                            <w:r>
                              <w:rPr>
                                <w:rFonts w:ascii="Minion Pro" w:hAnsi="Minion Pro"/>
                                <w:color w:val="000000"/>
                                <w:spacing w:val="-3"/>
                                <w:sz w:val="20"/>
                              </w:rPr>
                              <w:t>The yield of castor is influenced by the type of inflorescence and the proportion of female flowers. However, there are few studies on the genetic mechanism involved in the development and differentiation of castor inflorescences. In this study, we performed transcriptomic analyses of three different phenotypes of inflorescences at the five-leaf stage. In comparison to the MI (complete pistil without willow leaves), 290 and 89 differentially expressed genes (DEGs) were found in the SFI (complete pistil with willow leaves) and the BI (monoecious inflorescence), respectively. Among the DEGs, 104 and 88 were upregulated in the SFI and BI, respectively, compared to the MI. In addition, 186 DEGs and 1 DEG were downregulated in the SFI and BI compared to the MI. Moreover, we conducted GO and KEGG enrichment analyses of the DEGs. In comparison to the MI, the SFI and BI exhibited the enrichment of functional branches in DEGs, specifically in pollen wall assembly, pollen development, and cellular component assembly involved in morphogenesis. In our study, RADL5 showed low expression levels between SFI-vs.-MI types. In addition, we found that the expression of NAC in the SFI differed from that in MI and BI, and some genes related to hormonal signaling changed their expression levels during inflorescence differentiation. These results reveal the genetic mechanism of sex genotypes in castor, which will not only guide researchers in the breeding of castor but also provide a reference for genetic research on other flowering plants.</w:t>
                            </w:r>
                          </w:p>
                          <w:p>
                            <w:pPr>
                              <w:pStyle w:val="FrameContents"/>
                              <w:widowControl w:val="false"/>
                              <w:snapToGrid w:val="false"/>
                              <w:rPr>
                                <w:rFonts w:ascii="Minion Pro" w:hAnsi="Minion Pro"/>
                                <w:b/>
                                <w:b/>
                                <w:sz w:val="20"/>
                              </w:rPr>
                            </w:pPr>
                            <w:r>
                              <w:rPr>
                                <w:rFonts w:ascii="Minion Pro" w:hAnsi="Minion Pro"/>
                                <w:b/>
                                <w:color w:val="000000"/>
                                <w:sz w:val="20"/>
                              </w:rPr>
                              <w:t>KEYWORDS</w:t>
                            </w:r>
                          </w:p>
                          <w:p>
                            <w:pPr>
                              <w:pStyle w:val="FrameContents"/>
                              <w:widowControl w:val="false"/>
                              <w:snapToGrid w:val="false"/>
                              <w:spacing w:before="0" w:after="60"/>
                              <w:rPr>
                                <w:sz w:val="20"/>
                              </w:rPr>
                            </w:pPr>
                            <w:r>
                              <w:rPr>
                                <w:rFonts w:ascii="Minion Pro" w:hAnsi="Minion Pro"/>
                                <w:i/>
                                <w:iCs/>
                                <w:color w:val="000000"/>
                                <w:sz w:val="20"/>
                              </w:rPr>
                              <w:t>Ricinus communis</w:t>
                            </w:r>
                            <w:r>
                              <w:rPr>
                                <w:rFonts w:ascii="Minion Pro" w:hAnsi="Minion Pro"/>
                                <w:color w:val="000000"/>
                                <w:sz w:val="20"/>
                              </w:rPr>
                              <w:t xml:space="preserve"> L; RNA-seq; inflorescence </w:t>
                            </w:r>
                          </w:p>
                        </w:txbxContent>
                      </wps:txbx>
                      <wps:bodyPr>
                        <a:spAutoFit/>
                      </wps:bodyPr>
                    </wps:wsp>
                  </a:graphicData>
                </a:graphic>
              </wp:inline>
            </w:drawing>
          </mc:Choice>
          <mc:Fallback>
            <w:pict>
              <v:rect id="shape_0" ID="Shape1" fillcolor="#f2f2f2" stroked="f" style="position:absolute;margin-left:0pt;margin-top:-279.65pt;width:436pt;height:279.55pt;mso-position-vertical:top" wp14:anchorId="6E87EBD5">
                <w10:wrap type="square"/>
                <v:fill o:detectmouseclick="t" type="solid" color2="#0d0d0d"/>
                <v:stroke color="#3465a4" weight="9360" joinstyle="round" endcap="flat"/>
                <v:textbox>
                  <w:txbxContent>
                    <w:p>
                      <w:pPr>
                        <w:pStyle w:val="FrameContents"/>
                        <w:widowControl w:val="false"/>
                        <w:snapToGrid w:val="false"/>
                        <w:rPr>
                          <w:rFonts w:ascii="Minion Pro" w:hAnsi="Minion Pro"/>
                          <w:b/>
                          <w:b/>
                          <w:bCs/>
                          <w:sz w:val="20"/>
                        </w:rPr>
                      </w:pPr>
                      <w:r>
                        <w:rPr>
                          <w:rFonts w:ascii="Minion Pro" w:hAnsi="Minion Pro"/>
                          <w:b/>
                          <w:bCs/>
                          <w:color w:val="000000"/>
                          <w:sz w:val="20"/>
                        </w:rPr>
                        <w:t>ABSTRACT</w:t>
                      </w:r>
                    </w:p>
                    <w:p>
                      <w:pPr>
                        <w:pStyle w:val="FrameContents"/>
                        <w:widowControl w:val="false"/>
                        <w:snapToGrid w:val="false"/>
                        <w:ind w:firstLine="388"/>
                        <w:rPr>
                          <w:rFonts w:ascii="Minion Pro" w:hAnsi="Minion Pro"/>
                          <w:spacing w:val="-3"/>
                          <w:sz w:val="20"/>
                        </w:rPr>
                      </w:pPr>
                      <w:r>
                        <w:rPr>
                          <w:rFonts w:ascii="Minion Pro" w:hAnsi="Minion Pro"/>
                          <w:color w:val="000000"/>
                          <w:spacing w:val="-3"/>
                          <w:sz w:val="20"/>
                        </w:rPr>
                        <w:t>The yield of castor is influenced by the type of inflorescence and the proportion of female flowers. However, there are few studies on the genetic mechanism involved in the development and differentiation of castor inflorescences. In this study, we performed transcriptomic analyses of three different phenotypes of inflorescences at the five-leaf stage. In comparison to the MI (complete pistil without willow leaves), 290 and 89 differentially expressed genes (DEGs) were found in the SFI (complete pistil with willow leaves) and the BI (monoecious inflorescence), respectively. Among the DEGs, 104 and 88 were upregulated in the SFI and BI, respectively, compared to the MI. In addition, 186 DEGs and 1 DEG were downregulated in the SFI and BI compared to the MI. Moreover, we conducted GO and KEGG enrichment analyses of the DEGs. In comparison to the MI, the SFI and BI exhibited the enrichment of functional branches in DEGs, specifically in pollen wall assembly, pollen development, and cellular component assembly involved in morphogenesis. In our study, RADL5 showed low expression levels between SFI-vs.-MI types. In addition, we found that the expression of NAC in the SFI differed from that in MI and BI, and some genes related to hormonal signaling changed their expression levels during inflorescence differentiation. These results reveal the genetic mechanism of sex genotypes in castor, which will not only guide researchers in the breeding of castor but also provide a reference for genetic research on other flowering plants.</w:t>
                      </w:r>
                    </w:p>
                    <w:p>
                      <w:pPr>
                        <w:pStyle w:val="FrameContents"/>
                        <w:widowControl w:val="false"/>
                        <w:snapToGrid w:val="false"/>
                        <w:rPr>
                          <w:rFonts w:ascii="Minion Pro" w:hAnsi="Minion Pro"/>
                          <w:b/>
                          <w:b/>
                          <w:sz w:val="20"/>
                        </w:rPr>
                      </w:pPr>
                      <w:r>
                        <w:rPr>
                          <w:rFonts w:ascii="Minion Pro" w:hAnsi="Minion Pro"/>
                          <w:b/>
                          <w:color w:val="000000"/>
                          <w:sz w:val="20"/>
                        </w:rPr>
                        <w:t>KEYWORDS</w:t>
                      </w:r>
                    </w:p>
                    <w:p>
                      <w:pPr>
                        <w:pStyle w:val="FrameContents"/>
                        <w:widowControl w:val="false"/>
                        <w:snapToGrid w:val="false"/>
                        <w:spacing w:before="0" w:after="60"/>
                        <w:rPr>
                          <w:sz w:val="20"/>
                        </w:rPr>
                      </w:pPr>
                      <w:r>
                        <w:rPr>
                          <w:rFonts w:ascii="Minion Pro" w:hAnsi="Minion Pro"/>
                          <w:i/>
                          <w:iCs/>
                          <w:color w:val="000000"/>
                          <w:sz w:val="20"/>
                        </w:rPr>
                        <w:t>Ricinus communis</w:t>
                      </w:r>
                      <w:r>
                        <w:rPr>
                          <w:rFonts w:ascii="Minion Pro" w:hAnsi="Minion Pro"/>
                          <w:color w:val="000000"/>
                          <w:sz w:val="20"/>
                        </w:rPr>
                        <w:t xml:space="preserve"> L; RNA-seq; inflorescence </w:t>
                      </w:r>
                    </w:p>
                  </w:txbxContent>
                </v:textbox>
              </v:rect>
            </w:pict>
          </mc:Fallback>
        </mc:AlternateContent>
      </w:r>
    </w:p>
    <w:tbl>
      <w:tblPr>
        <w:tblW w:w="8721" w:type="dxa"/>
        <w:jc w:val="left"/>
        <w:tblInd w:w="4" w:type="dxa"/>
        <w:tblCellMar>
          <w:top w:w="0" w:type="dxa"/>
          <w:left w:w="108" w:type="dxa"/>
          <w:bottom w:w="0" w:type="dxa"/>
          <w:right w:w="108" w:type="dxa"/>
        </w:tblCellMar>
        <w:tblLook w:val="04a0" w:noHBand="0" w:noVBand="1" w:firstColumn="1" w:lastRow="0" w:lastColumn="0" w:firstRow="1"/>
      </w:tblPr>
      <w:tblGrid>
        <w:gridCol w:w="8721"/>
      </w:tblGrid>
      <w:tr>
        <w:trPr>
          <w:trHeight w:val="127" w:hRule="atLeast"/>
        </w:trPr>
        <w:tc>
          <w:tcPr>
            <w:tcW w:w="8721" w:type="dxa"/>
            <w:tcBorders>
              <w:top w:val="single" w:sz="4" w:space="0" w:color="000000"/>
            </w:tcBorders>
          </w:tcPr>
          <w:p>
            <w:pPr>
              <w:pStyle w:val="Normal"/>
              <w:widowControl w:val="false"/>
              <w:snapToGrid w:val="false"/>
              <w:spacing w:before="0" w:after="60"/>
              <w:jc w:val="left"/>
              <w:rPr>
                <w:rStyle w:val="InternetLink"/>
                <w:color w:val="000000" w:themeColor="text1"/>
                <w:sz w:val="18"/>
                <w:szCs w:val="18"/>
              </w:rPr>
            </w:pPr>
            <w:r>
              <w:rPr>
                <w:color w:val="000000" w:themeColor="text1"/>
                <w:sz w:val="18"/>
                <w:szCs w:val="18"/>
              </w:rPr>
            </w:r>
            <w:bookmarkStart w:id="4" w:name="_Hlk92447203"/>
            <w:bookmarkStart w:id="5" w:name="_Hlk92447203"/>
            <w:bookmarkEnd w:id="5"/>
          </w:p>
        </w:tc>
      </w:tr>
    </w:tbl>
    <w:p>
      <w:pPr>
        <w:pStyle w:val="Keyword"/>
        <w:widowControl w:val="false"/>
        <w:snapToGrid w:val="false"/>
        <w:spacing w:before="312" w:after="60"/>
        <w:rPr>
          <w:b/>
          <w:b/>
          <w:color w:val="000000" w:themeColor="text1"/>
          <w:szCs w:val="22"/>
        </w:rPr>
      </w:pPr>
      <w:r>
        <w:rPr>
          <w:b/>
          <w:color w:val="000000" w:themeColor="text1"/>
          <w:szCs w:val="22"/>
        </w:rPr>
        <w:t>1 Introduction</w:t>
      </w:r>
    </w:p>
    <w:p>
      <w:pPr>
        <w:pStyle w:val="Normal"/>
        <w:widowControl w:val="false"/>
        <w:snapToGrid w:val="false"/>
        <w:spacing w:before="0" w:after="0"/>
        <w:ind w:firstLine="440"/>
        <w:rPr>
          <w:szCs w:val="22"/>
        </w:rPr>
      </w:pPr>
      <w:r>
        <w:rPr>
          <w:rFonts w:eastAsia="等线"/>
          <w:szCs w:val="22"/>
          <w:lang w:bidi="ar"/>
        </w:rPr>
        <w:t>Castor (</w:t>
      </w:r>
      <w:r>
        <w:rPr>
          <w:rFonts w:eastAsia="等线"/>
          <w:i/>
          <w:szCs w:val="22"/>
          <w:lang w:bidi="ar"/>
        </w:rPr>
        <w:t>Ricinus communis</w:t>
      </w:r>
      <w:r>
        <w:rPr>
          <w:rFonts w:eastAsia="等线"/>
          <w:szCs w:val="22"/>
          <w:lang w:bidi="ar"/>
        </w:rPr>
        <w:t xml:space="preserve"> L.) has high economic value and is an important </w:t>
      </w:r>
      <w:r>
        <w:rPr>
          <w:kern w:val="2"/>
          <w:szCs w:val="22"/>
          <w:lang w:bidi="ar"/>
        </w:rPr>
        <w:t>nonfood oil-seed</w:t>
      </w:r>
      <w:r>
        <w:rPr>
          <w:rFonts w:eastAsia="等线"/>
          <w:szCs w:val="22"/>
          <w:lang w:bidi="ar"/>
        </w:rPr>
        <w:t xml:space="preserve"> crop used as a biof</w:t>
      </w:r>
      <w:r>
        <w:rPr>
          <w:rFonts w:eastAsia="等线"/>
          <w:b/>
          <w:bCs/>
          <w:szCs w:val="22"/>
          <w:lang w:bidi="ar"/>
        </w:rPr>
        <w:t>uel</w:t>
      </w:r>
      <w:r>
        <w:rPr>
          <w:rFonts w:eastAsia="等线"/>
          <w:szCs w:val="22"/>
          <w:lang w:bidi="ar"/>
        </w:rPr>
        <w:t xml:space="preserve"> and feedstock </w:t>
      </w:r>
      <w:r>
        <w:fldChar w:fldCharType="begin"/>
      </w:r>
      <w:r>
        <w:rPr>
          <w:szCs w:val="22"/>
          <w:rFonts w:eastAsia="等线"/>
          <w:lang w:bidi="ar"/>
        </w:rPr>
        <w:instrText>ADDIN EN.CITE &lt;EndNote&gt;&lt;Cite&gt;&lt;Author&gt;Guangtian&lt;/Author&gt;&lt;Year&gt;2022&lt;/Year&gt;&lt;RecNum&gt;225&lt;/RecNum&gt;&lt;DisplayText&gt;[1]&lt;/DisplayText&gt;&lt;record&gt;&lt;rec-number&gt;225&lt;/rec-number&gt;&lt;foreign-keys&gt;&lt;key app="EN" db-id="es2vseptt50xdreps0evpxv0xvw0padast9f" timestamp="1703330880"&gt;225&lt;/key&gt;&lt;/foreign-keys&gt;&lt;ref-type name="Journal Article"&gt;17&lt;/ref-type&gt;&lt;contributors&gt;&lt;authors&gt;&lt;author&gt;Guangtian, Zhu&lt;/author&gt;&lt;author&gt;Dandan, Cheng&lt;/author&gt;&lt;author&gt;Xingfeng, Wang&lt;/author&gt;&lt;author&gt;Qingjun, Guo&lt;/author&gt;&lt;author&gt;Qian, Zhang&lt;/author&gt;&lt;author&gt;Jun, Zhang&lt;/author&gt;&lt;author&gt;Qiang, Tu&lt;/author&gt;&lt;author&gt;Wangjun, Li&lt;/author&gt;&lt;/authors&gt;&lt;/contributors&gt;&lt;titles&gt;&lt;title&gt;Free amino acids, carbon and nitrogen isotopic compositions responses to cadmium stress in two castor (Ricinus communis L.) species&lt;/title&gt;&lt;secondary-title&gt;Plant Physiology and Biochemistry&lt;/secondary-title&gt;&lt;/titles&gt;&lt;periodical&gt;&lt;full-title&gt;Plant Physiology and Biochemistry&lt;/full-title&gt;&lt;/periodical&gt;&lt;pages&gt;40-46&lt;/pages&gt;&lt;volume&gt;184&lt;/volume&gt;&lt;dates&gt;&lt;year&gt;2022&lt;/year&gt;&lt;pub-dates&gt;&lt;date&gt;0801&lt;/date&gt;&lt;/pub-dates&gt;&lt;/dates&gt;&lt;isbn&gt;0981-9428&lt;/isbn&gt;&lt;work-type&gt;Article&lt;/work-type&gt;&lt;urls&gt;&lt;/urls&gt;&lt;electronic-resource-num&gt;10.1016/j.plaphy.2022.05.013&lt;/electronic-resource-num&gt;&lt;/record&gt;&lt;/Cite&gt;&lt;/EndNote&gt;</w:instrText>
      </w:r>
      <w:r>
        <w:rPr>
          <w:rFonts w:eastAsia="等线"/>
          <w:szCs w:val="22"/>
          <w:lang w:bidi="ar"/>
        </w:rPr>
      </w:r>
      <w:r>
        <w:rPr>
          <w:szCs w:val="22"/>
          <w:rFonts w:eastAsia="等线"/>
          <w:lang w:bidi="ar"/>
        </w:rPr>
        <w:fldChar w:fldCharType="separate"/>
      </w:r>
      <w:r>
        <w:rPr>
          <w:rFonts w:eastAsia="等线"/>
          <w:szCs w:val="22"/>
          <w:lang w:bidi="ar"/>
        </w:rPr>
        <w:t>[1]</w:t>
      </w:r>
      <w:r>
        <w:rPr>
          <w:rFonts w:eastAsia="等线"/>
          <w:szCs w:val="22"/>
          <w:lang w:bidi="ar"/>
        </w:rPr>
      </w:r>
      <w:r>
        <w:rPr>
          <w:szCs w:val="22"/>
          <w:rFonts w:eastAsia="等线"/>
          <w:lang w:bidi="ar"/>
        </w:rPr>
        <w:fldChar w:fldCharType="end"/>
      </w:r>
      <w:r>
        <w:rPr>
          <w:rFonts w:eastAsia="等线"/>
          <w:szCs w:val="22"/>
          <w:lang w:bidi="ar"/>
        </w:rPr>
        <w:t xml:space="preserve">. </w:t>
      </w:r>
      <w:r>
        <w:rPr>
          <w:rFonts w:eastAsia="等线"/>
          <w:kern w:val="2"/>
          <w:szCs w:val="22"/>
          <w:lang w:bidi="ar"/>
        </w:rPr>
        <w:t xml:space="preserve">In addition, castor has also been identified as a medicine and fertilizer </w:t>
      </w:r>
      <w:r>
        <w:fldChar w:fldCharType="begin"/>
      </w:r>
      <w:r>
        <w:rPr>
          <w:kern w:val="2"/>
          <w:szCs w:val="22"/>
          <w:rFonts w:eastAsia="等线"/>
          <w:lang w:bidi="ar"/>
        </w:rPr>
        <w:instrText>ADDIN EN.CITE</w:instrText>
      </w:r>
      <w:r>
        <w:rPr>
          <w:rFonts w:eastAsia="等线"/>
          <w:kern w:val="2"/>
          <w:szCs w:val="22"/>
          <w:lang w:bidi="ar"/>
        </w:rPr>
      </w:r>
      <w:r>
        <w:fldChar w:fldCharType="begin"/>
      </w:r>
      <w:r>
        <w:rPr>
          <w:kern w:val="2"/>
          <w:szCs w:val="22"/>
          <w:rFonts w:eastAsia="等线"/>
          <w:lang w:bidi="ar"/>
        </w:rPr>
        <w:instrText>ADDIN EN.CITE.DATA</w:instrText>
      </w:r>
      <w:r>
        <w:rPr>
          <w:rFonts w:eastAsia="等线"/>
          <w:kern w:val="2"/>
          <w:szCs w:val="22"/>
          <w:lang w:bidi="ar"/>
        </w:rPr>
      </w:r>
      <w:r>
        <w:rPr>
          <w:kern w:val="2"/>
          <w:szCs w:val="22"/>
          <w:rFonts w:eastAsia="等线"/>
          <w:lang w:bidi="ar"/>
        </w:rPr>
        <w:fldChar w:fldCharType="separate"/>
      </w:r>
      <w:r>
        <w:rPr>
          <w:rFonts w:eastAsia="等线"/>
          <w:kern w:val="2"/>
          <w:szCs w:val="22"/>
          <w:lang w:bidi="ar"/>
        </w:rPr>
      </w:r>
      <w:r>
        <w:rPr>
          <w:rFonts w:eastAsia="等线"/>
          <w:kern w:val="2"/>
          <w:szCs w:val="22"/>
          <w:lang w:bidi="ar"/>
        </w:rPr>
      </w:r>
      <w:r>
        <w:rPr>
          <w:kern w:val="2"/>
          <w:szCs w:val="22"/>
          <w:rFonts w:eastAsia="等线"/>
          <w:lang w:bidi="ar"/>
        </w:rPr>
        <w:fldChar w:fldCharType="end"/>
      </w:r>
      <w:r>
        <w:rPr>
          <w:kern w:val="2"/>
          <w:szCs w:val="22"/>
          <w:rFonts w:eastAsia="等线"/>
          <w:lang w:bidi="ar"/>
        </w:rPr>
        <w:fldChar w:fldCharType="separate"/>
      </w:r>
      <w:r>
        <w:rPr>
          <w:rFonts w:eastAsia="等线"/>
          <w:kern w:val="2"/>
          <w:szCs w:val="22"/>
          <w:lang w:bidi="ar"/>
        </w:rPr>
        <w:t>[2, 3]</w:t>
      </w:r>
      <w:r>
        <w:rPr>
          <w:rFonts w:eastAsia="等线"/>
          <w:kern w:val="2"/>
          <w:szCs w:val="22"/>
          <w:lang w:bidi="ar"/>
        </w:rPr>
      </w:r>
      <w:r>
        <w:rPr>
          <w:kern w:val="2"/>
          <w:szCs w:val="22"/>
          <w:rFonts w:eastAsia="等线"/>
          <w:lang w:bidi="ar"/>
        </w:rPr>
        <w:fldChar w:fldCharType="end"/>
      </w:r>
      <w:r>
        <w:rPr>
          <w:rFonts w:eastAsia="等线"/>
          <w:color w:val="000000"/>
          <w:kern w:val="2"/>
          <w:szCs w:val="22"/>
          <w:lang w:bidi="ar"/>
        </w:rPr>
        <w:t xml:space="preserve">. The global demand for castor has markedly increased, mainly due to the various properties of castor. Furthermore, </w:t>
      </w:r>
      <w:r>
        <w:rPr>
          <w:rFonts w:eastAsia="Charis SIL"/>
          <w:color w:val="000000"/>
          <w:kern w:val="2"/>
          <w:szCs w:val="22"/>
          <w:lang w:bidi="ar"/>
        </w:rPr>
        <w:t xml:space="preserve">castor can also grow under various harsh </w:t>
      </w:r>
      <w:r>
        <w:rPr>
          <w:rFonts w:eastAsia="等线"/>
          <w:color w:val="000000"/>
          <w:kern w:val="2"/>
          <w:szCs w:val="22"/>
          <w:lang w:bidi="ar"/>
        </w:rPr>
        <w:t>environmental conditions,</w:t>
      </w:r>
      <w:r>
        <w:rPr>
          <w:rFonts w:eastAsia="Charis SIL"/>
          <w:color w:val="000000"/>
          <w:kern w:val="2"/>
          <w:szCs w:val="22"/>
          <w:lang w:bidi="ar"/>
        </w:rPr>
        <w:t xml:space="preserve"> </w:t>
      </w:r>
      <w:r>
        <w:rPr>
          <w:rFonts w:eastAsia="等线"/>
          <w:color w:val="000000"/>
          <w:kern w:val="2"/>
          <w:szCs w:val="22"/>
          <w:lang w:bidi="ar"/>
        </w:rPr>
        <w:t>including</w:t>
      </w:r>
      <w:r>
        <w:rPr>
          <w:color w:val="000000"/>
          <w:kern w:val="2"/>
          <w:szCs w:val="22"/>
          <w:lang w:bidi="ar"/>
        </w:rPr>
        <w:t xml:space="preserve"> those of wastelands, degraded lands</w:t>
      </w:r>
      <w:r>
        <w:rPr>
          <w:rFonts w:eastAsia="等线"/>
          <w:color w:val="000000"/>
          <w:kern w:val="2"/>
          <w:szCs w:val="22"/>
          <w:lang w:bidi="ar"/>
        </w:rPr>
        <w:t xml:space="preserve">, and arid and semiarid lands </w:t>
      </w:r>
      <w:r>
        <w:fldChar w:fldCharType="begin"/>
      </w:r>
      <w:r>
        <w:rPr>
          <w:kern w:val="2"/>
          <w:szCs w:val="22"/>
          <w:rFonts w:eastAsia="等线"/>
          <w:color w:val="000000"/>
          <w:lang w:bidi="ar"/>
        </w:rPr>
        <w:instrText>ADDIN EN.CITE</w:instrText>
      </w:r>
      <w:r>
        <w:rPr>
          <w:rFonts w:eastAsia="等线"/>
          <w:color w:val="000000"/>
          <w:kern w:val="2"/>
          <w:szCs w:val="22"/>
          <w:lang w:bidi="ar"/>
        </w:rPr>
      </w:r>
      <w:r>
        <w:fldChar w:fldCharType="begin"/>
      </w:r>
      <w:r>
        <w:rPr>
          <w:kern w:val="2"/>
          <w:szCs w:val="22"/>
          <w:rFonts w:eastAsia="等线"/>
          <w:color w:val="000000"/>
          <w:lang w:bidi="ar"/>
        </w:rPr>
        <w:instrText>ADDIN EN.CITE.DATA</w:instrText>
      </w:r>
      <w:r>
        <w:rPr>
          <w:rFonts w:eastAsia="等线"/>
          <w:color w:val="000000"/>
          <w:kern w:val="2"/>
          <w:szCs w:val="22"/>
          <w:lang w:bidi="ar"/>
        </w:rPr>
      </w:r>
      <w:r>
        <w:rPr>
          <w:kern w:val="2"/>
          <w:szCs w:val="22"/>
          <w:rFonts w:eastAsia="等线"/>
          <w:color w:val="000000"/>
          <w:lang w:bidi="ar"/>
        </w:rPr>
        <w:fldChar w:fldCharType="separate"/>
      </w:r>
      <w:r>
        <w:rPr>
          <w:rFonts w:eastAsia="等线"/>
          <w:color w:val="000000"/>
          <w:kern w:val="2"/>
          <w:szCs w:val="22"/>
          <w:lang w:bidi="ar"/>
        </w:rPr>
      </w:r>
      <w:r>
        <w:rPr>
          <w:rFonts w:eastAsia="等线"/>
          <w:color w:val="000000"/>
          <w:kern w:val="2"/>
          <w:szCs w:val="22"/>
          <w:lang w:bidi="ar"/>
        </w:rPr>
      </w:r>
      <w:r>
        <w:rPr>
          <w:kern w:val="2"/>
          <w:szCs w:val="22"/>
          <w:rFonts w:eastAsia="等线"/>
          <w:color w:val="000000"/>
          <w:lang w:bidi="ar"/>
        </w:rPr>
        <w:fldChar w:fldCharType="end"/>
      </w:r>
      <w:r>
        <w:rPr>
          <w:kern w:val="2"/>
          <w:szCs w:val="22"/>
          <w:rFonts w:eastAsia="等线"/>
          <w:color w:val="000000"/>
          <w:lang w:bidi="ar"/>
        </w:rPr>
        <w:fldChar w:fldCharType="separate"/>
      </w:r>
      <w:r>
        <w:rPr>
          <w:rFonts w:eastAsia="等线"/>
          <w:color w:val="000000"/>
          <w:kern w:val="2"/>
          <w:szCs w:val="22"/>
          <w:lang w:bidi="ar"/>
        </w:rPr>
        <w:t>[4, 5]</w:t>
      </w:r>
      <w:r>
        <w:rPr>
          <w:rFonts w:eastAsia="等线"/>
          <w:color w:val="000000"/>
          <w:kern w:val="2"/>
          <w:szCs w:val="22"/>
          <w:lang w:bidi="ar"/>
        </w:rPr>
      </w:r>
      <w:r>
        <w:rPr>
          <w:kern w:val="2"/>
          <w:szCs w:val="22"/>
          <w:rFonts w:eastAsia="等线"/>
          <w:color w:val="000000"/>
          <w:lang w:bidi="ar"/>
        </w:rPr>
        <w:fldChar w:fldCharType="end"/>
      </w:r>
      <w:r>
        <w:rPr>
          <w:rFonts w:eastAsia="等线"/>
          <w:color w:val="000000"/>
          <w:kern w:val="2"/>
          <w:szCs w:val="22"/>
          <w:lang w:bidi="ar"/>
        </w:rPr>
        <w:t>.</w:t>
      </w:r>
      <w:r>
        <w:rPr>
          <w:rFonts w:eastAsia="Charis SIL"/>
          <w:color w:val="000000"/>
          <w:kern w:val="2"/>
          <w:szCs w:val="22"/>
          <w:lang w:bidi="ar"/>
        </w:rPr>
        <w:t xml:space="preserve"> </w:t>
      </w:r>
      <w:r>
        <w:rPr>
          <w:rFonts w:eastAsia="等线"/>
          <w:color w:val="000000"/>
          <w:kern w:val="2"/>
          <w:szCs w:val="22"/>
          <w:lang w:bidi="ar"/>
        </w:rPr>
        <w:t xml:space="preserve">To date, castor has been widely cultivated in many countries, such as China, India, </w:t>
      </w:r>
      <w:r>
        <w:rPr>
          <w:rFonts w:eastAsia="Charis SIL"/>
          <w:color w:val="000000"/>
          <w:kern w:val="2"/>
          <w:szCs w:val="22"/>
          <w:lang w:bidi="ar"/>
        </w:rPr>
        <w:t xml:space="preserve">and Brazil </w:t>
      </w:r>
      <w:r>
        <w:fldChar w:fldCharType="begin"/>
      </w:r>
      <w:r>
        <w:rPr>
          <w:kern w:val="2"/>
          <w:szCs w:val="22"/>
          <w:rFonts w:eastAsia="Charis SIL"/>
          <w:color w:val="000000"/>
          <w:lang w:bidi="ar"/>
        </w:rPr>
        <w:instrText>ADDIN EN.CITE &lt;EndNote&gt;&lt;Cite&gt;&lt;Author&gt;Damodaran&lt;/Author&gt;&lt;Year&gt;1999&lt;/Year&gt;&lt;RecNum&gt;230&lt;/RecNum&gt;&lt;DisplayText&gt;[6]&lt;/DisplayText&gt;&lt;record&gt;&lt;rec-number&gt;230&lt;/rec-number&gt;&lt;foreign-keys&gt;&lt;key app="EN" db-id="es2vseptt50xdreps0evpxv0xvw0padast9f" timestamp="1703331776"&gt;230&lt;/key&gt;&lt;/foreign-keys&gt;&lt;ref-type name="Journal Article"&gt;17&lt;/ref-type&gt;&lt;contributors&gt;&lt;authors&gt;&lt;author&gt;Damodaran, T&lt;/author&gt;&lt;author&gt;Hegde, D. M&lt;/author&gt;&lt;/authors&gt;&lt;/contributors&gt;&lt;titles&gt;&lt;title&gt;Oilseed situation, a statistical compendium&lt;/title&gt;&lt;secondary-title&gt;Directorate of Oilseeds Research&lt;/secondary-title&gt;&lt;/titles&gt;&lt;periodical&gt;&lt;full-title&gt;Directorate of Oilseeds Research&lt;/full-title&gt;&lt;/periodical&gt;&lt;pages&gt;147-153&lt;/pages&gt;&lt;volume&gt;32&lt;/volume&gt;&lt;dates&gt;&lt;year&gt;1999&lt;/year&gt;&lt;/dates&gt;&lt;urls&gt;&lt;/urls&gt;&lt;/record&gt;&lt;/Cite&gt;&lt;/EndNote&gt;</w:instrText>
      </w:r>
      <w:r>
        <w:rPr>
          <w:rFonts w:eastAsia="Charis SIL"/>
          <w:color w:val="000000"/>
          <w:kern w:val="2"/>
          <w:szCs w:val="22"/>
          <w:lang w:bidi="ar"/>
        </w:rPr>
      </w:r>
      <w:r>
        <w:rPr>
          <w:kern w:val="2"/>
          <w:szCs w:val="22"/>
          <w:rFonts w:eastAsia="Charis SIL"/>
          <w:color w:val="000000"/>
          <w:lang w:bidi="ar"/>
        </w:rPr>
        <w:fldChar w:fldCharType="separate"/>
      </w:r>
      <w:r>
        <w:rPr>
          <w:rFonts w:eastAsia="Charis SIL"/>
          <w:color w:val="000000"/>
          <w:kern w:val="2"/>
          <w:szCs w:val="22"/>
          <w:lang w:bidi="ar"/>
        </w:rPr>
        <w:t>[6]</w:t>
      </w:r>
      <w:r>
        <w:rPr>
          <w:rFonts w:eastAsia="Charis SIL"/>
          <w:color w:val="000000"/>
          <w:kern w:val="2"/>
          <w:szCs w:val="22"/>
          <w:lang w:bidi="ar"/>
        </w:rPr>
      </w:r>
      <w:r>
        <w:rPr>
          <w:kern w:val="2"/>
          <w:szCs w:val="22"/>
          <w:rFonts w:eastAsia="Charis SIL"/>
          <w:color w:val="000000"/>
          <w:lang w:bidi="ar"/>
        </w:rPr>
        <w:fldChar w:fldCharType="end"/>
      </w:r>
      <w:r>
        <w:rPr>
          <w:rFonts w:eastAsia="等线"/>
          <w:kern w:val="2"/>
          <w:szCs w:val="22"/>
          <w:lang w:bidi="ar"/>
        </w:rPr>
        <w:t xml:space="preserve">. However, the development of the castor industry has been hindered by its low productivity. This bottleneck of low yield in castor is attributed to the number and ratio of inflorescence differentiation </w:t>
      </w:r>
      <w:r>
        <w:fldChar w:fldCharType="begin"/>
      </w:r>
      <w:r>
        <w:rPr>
          <w:kern w:val="2"/>
          <w:szCs w:val="22"/>
          <w:rFonts w:eastAsia="等线"/>
          <w:lang w:bidi="ar"/>
        </w:rPr>
        <w:instrText>ADDIN EN.CITE</w:instrText>
      </w:r>
      <w:r>
        <w:rPr>
          <w:rFonts w:eastAsia="等线"/>
          <w:kern w:val="2"/>
          <w:szCs w:val="22"/>
          <w:lang w:bidi="ar"/>
        </w:rPr>
      </w:r>
      <w:r>
        <w:fldChar w:fldCharType="begin"/>
      </w:r>
      <w:r>
        <w:rPr>
          <w:kern w:val="2"/>
          <w:szCs w:val="22"/>
          <w:rFonts w:eastAsia="等线"/>
          <w:lang w:bidi="ar"/>
        </w:rPr>
        <w:instrText>ADDIN EN.CITE.DATA</w:instrText>
      </w:r>
      <w:r>
        <w:rPr>
          <w:rFonts w:eastAsia="等线"/>
          <w:kern w:val="2"/>
          <w:szCs w:val="22"/>
          <w:lang w:bidi="ar"/>
        </w:rPr>
      </w:r>
      <w:r>
        <w:rPr>
          <w:kern w:val="2"/>
          <w:szCs w:val="22"/>
          <w:rFonts w:eastAsia="等线"/>
          <w:lang w:bidi="ar"/>
        </w:rPr>
        <w:fldChar w:fldCharType="separate"/>
      </w:r>
      <w:r>
        <w:rPr>
          <w:rFonts w:eastAsia="等线"/>
          <w:kern w:val="2"/>
          <w:szCs w:val="22"/>
          <w:lang w:bidi="ar"/>
        </w:rPr>
      </w:r>
      <w:r>
        <w:rPr>
          <w:rFonts w:eastAsia="等线"/>
          <w:kern w:val="2"/>
          <w:szCs w:val="22"/>
          <w:lang w:bidi="ar"/>
        </w:rPr>
      </w:r>
      <w:r>
        <w:rPr>
          <w:kern w:val="2"/>
          <w:szCs w:val="22"/>
          <w:rFonts w:eastAsia="等线"/>
          <w:lang w:bidi="ar"/>
        </w:rPr>
        <w:fldChar w:fldCharType="end"/>
      </w:r>
      <w:r>
        <w:rPr>
          <w:kern w:val="2"/>
          <w:szCs w:val="22"/>
          <w:rFonts w:eastAsia="等线"/>
          <w:lang w:bidi="ar"/>
        </w:rPr>
        <w:fldChar w:fldCharType="separate"/>
      </w:r>
      <w:r>
        <w:rPr>
          <w:rFonts w:eastAsia="等线"/>
          <w:kern w:val="2"/>
          <w:szCs w:val="22"/>
          <w:lang w:bidi="ar"/>
        </w:rPr>
        <w:t>[7, 8]</w:t>
      </w:r>
      <w:r>
        <w:rPr>
          <w:rFonts w:eastAsia="等线"/>
          <w:kern w:val="2"/>
          <w:szCs w:val="22"/>
          <w:lang w:bidi="ar"/>
        </w:rPr>
      </w:r>
      <w:r>
        <w:rPr>
          <w:kern w:val="2"/>
          <w:szCs w:val="22"/>
          <w:rFonts w:eastAsia="等线"/>
          <w:lang w:bidi="ar"/>
        </w:rPr>
        <w:fldChar w:fldCharType="end"/>
      </w:r>
      <w:r>
        <w:rPr>
          <w:rFonts w:eastAsia="等线"/>
          <w:kern w:val="2"/>
          <w:szCs w:val="22"/>
          <w:lang w:bidi="ar"/>
        </w:rPr>
        <w:t xml:space="preserve">. Accordingly, there is a need to develop high-yield castor cultivars by considering different </w:t>
      </w:r>
      <w:r>
        <w:rPr>
          <w:rFonts w:eastAsia="等线"/>
          <w:szCs w:val="22"/>
          <w:lang w:bidi="ar"/>
        </w:rPr>
        <w:t>inflorescence types</w:t>
      </w:r>
      <w:r>
        <w:rPr>
          <w:rFonts w:eastAsia="等线"/>
          <w:kern w:val="2"/>
          <w:szCs w:val="22"/>
          <w:lang w:bidi="ar"/>
        </w:rPr>
        <w:t>. U</w:t>
      </w:r>
      <w:r>
        <w:rPr>
          <w:kern w:val="2"/>
          <w:szCs w:val="22"/>
          <w:lang w:bidi="ar"/>
        </w:rPr>
        <w:t xml:space="preserve">nfortunately, studies on the genetic mechanism of </w:t>
      </w:r>
      <w:r>
        <w:rPr>
          <w:rFonts w:eastAsia="等线"/>
          <w:szCs w:val="22"/>
          <w:lang w:bidi="ar"/>
        </w:rPr>
        <w:t>inflorescence</w:t>
      </w:r>
      <w:r>
        <w:rPr>
          <w:rFonts w:eastAsia="等线"/>
          <w:kern w:val="2"/>
          <w:szCs w:val="22"/>
          <w:lang w:bidi="ar"/>
        </w:rPr>
        <w:t xml:space="preserve"> development and differentiation in castor are scarce.</w:t>
      </w:r>
    </w:p>
    <w:p>
      <w:pPr>
        <w:pStyle w:val="Normal"/>
        <w:snapToGrid w:val="false"/>
        <w:spacing w:before="0" w:after="0"/>
        <w:ind w:firstLine="440"/>
        <w:rPr>
          <w:rFonts w:eastAsia="等线"/>
          <w:szCs w:val="22"/>
          <w:lang w:bidi="ar"/>
        </w:rPr>
      </w:pPr>
      <w:r>
        <w:rPr>
          <w:rFonts w:eastAsia="Charis SIL"/>
          <w:color w:val="000000"/>
          <w:kern w:val="2"/>
          <w:szCs w:val="22"/>
          <w:lang w:bidi="ar"/>
        </w:rPr>
        <w:t xml:space="preserve">In general, castor inflorescence type can impact seed purity and yield </w:t>
      </w:r>
      <w:r>
        <w:fldChar w:fldCharType="begin"/>
      </w:r>
      <w:r>
        <w:rPr>
          <w:kern w:val="2"/>
          <w:szCs w:val="22"/>
          <w:rFonts w:eastAsia="Charis SIL"/>
          <w:color w:val="000000"/>
          <w:lang w:bidi="ar"/>
        </w:rPr>
        <w:instrText>ADDIN EN.CITE &lt;EndNote&gt;&lt;Cite&gt;&lt;Author&gt;Mingqian&lt;/Author&gt;&lt;Year&gt;2016&lt;/Year&gt;&lt;RecNum&gt;233&lt;/RecNum&gt;&lt;DisplayText&gt;[9, 10]&lt;/DisplayText&gt;&lt;record&gt;&lt;rec-number&gt;233&lt;/rec-number&gt;&lt;foreign-keys&gt;&lt;key app="EN" db-id="es2vseptt50xdreps0evpxv0xvw0padast9f" timestamp="1703332154"&gt;233&lt;/key&gt;&lt;/foreign-keys&gt;&lt;ref-type name="Journal Article"&gt;17&lt;/ref-type&gt;&lt;contributors&gt;&lt;authors&gt;&lt;author&gt;Mingqian, Tan&lt;/author&gt;&lt;author&gt;Jianfeng, Xue&lt;/author&gt;&lt;author&gt;Lei, Wang&lt;/author&gt;&lt;author&gt;Jiaxing, Huang&lt;/author&gt;&lt;author&gt;Chunling, Fu&lt;/author&gt;&lt;author&gt;Xin, Yan&lt;/author&gt;&lt;/authors&gt;&lt;/contributors&gt;&lt;titles&gt;&lt;title&gt;Transcriptomic Analysis for Different Sex Types of Ricinus communis L. during Development from Apical Buds to Inflorescences by Digital Gene Expression Profiling&lt;/title&gt;&lt;secondary-title&gt;Frontiers in Plant Science&lt;/secondary-title&gt;&lt;/titles&gt;&lt;periodical&gt;&lt;full-title&gt;Frontiers in Plant Science&lt;/full-title&gt;&lt;/periodical&gt;&lt;pages&gt;1208&lt;/pages&gt;&lt;volume&gt;6&lt;/volume&gt;&lt;dates&gt;&lt;year&gt;2016&lt;/year&gt;&lt;pub-dates&gt;&lt;date&gt;0212&lt;/date&gt;&lt;/pub-dates&gt;&lt;/dates&gt;&lt;isbn&gt;1664-462X&lt;/isbn&gt;&lt;work-type&gt;Article&lt;/work-type&gt;&lt;urls&gt;&lt;/urls&gt;&lt;electronic-resource-num&gt;10.3389/fpls.2015.01208&lt;/electronic-resource-num&gt;&lt;/record&gt;&lt;/Cite&gt;&lt;Cite&gt;&lt;Author&gt;Beurton&lt;/Author&gt;&lt;Year&gt;1983&lt;/Year&gt;&lt;RecNum&gt;234&lt;/RecNum&gt;&lt;record&gt;&lt;rec-number&gt;234&lt;/rec-number&gt;&lt;foreign-keys&gt;&lt;key app="EN" db-id="es2vseptt50xdreps0evpxv0xvw0padast9f" timestamp="1703332336"&gt;234&lt;/key&gt;&lt;/foreign-keys&gt;&lt;ref-type name="Journal Article"&gt;17&lt;/ref-type&gt;&lt;contributors&gt;&lt;authors&gt;&lt;author&gt;Beurton, D.&lt;/author&gt;&lt;author&gt;Barres, D.&lt;/author&gt;&lt;author&gt;Mignot, J.&lt;/author&gt;&lt;author&gt;Kerisit, J.&lt;/author&gt;&lt;/authors&gt;&lt;/contributors&gt;&lt;titles&gt;&lt;title&gt;[Histomorphometry of cotyledon irrigation of placentas in cases of premature infants and in intrauterine growth retardation]&lt;/title&gt;&lt;secondary-title&gt;Archives d&amp;apos;anatomie et de cytologie pathologiques&lt;/secondary-title&gt;&lt;/titles&gt;&lt;periodical&gt;&lt;full-title&gt;Archives d&amp;apos;anatomie et de cytologie pathologiques&lt;/full-title&gt;&lt;/periodical&gt;&lt;pages&gt;144-147&lt;/pages&gt;&lt;volume&gt;31&lt;/volume&gt;&lt;number&gt;3&lt;/number&gt;&lt;dates&gt;&lt;year&gt;1983&lt;/year&gt;&lt;/dates&gt;&lt;urls&gt;&lt;/urls&gt;&lt;/record&gt;&lt;/Cite&gt;&lt;/EndNote&gt;</w:instrText>
      </w:r>
      <w:r>
        <w:rPr>
          <w:rFonts w:eastAsia="Charis SIL"/>
          <w:color w:val="000000"/>
          <w:kern w:val="2"/>
          <w:szCs w:val="22"/>
          <w:lang w:bidi="ar"/>
        </w:rPr>
      </w:r>
      <w:r>
        <w:rPr>
          <w:kern w:val="2"/>
          <w:szCs w:val="22"/>
          <w:rFonts w:eastAsia="Charis SIL"/>
          <w:color w:val="000000"/>
          <w:lang w:bidi="ar"/>
        </w:rPr>
        <w:fldChar w:fldCharType="separate"/>
      </w:r>
      <w:r>
        <w:rPr>
          <w:rFonts w:eastAsia="Charis SIL"/>
          <w:color w:val="000000"/>
          <w:kern w:val="2"/>
          <w:szCs w:val="22"/>
          <w:lang w:bidi="ar"/>
        </w:rPr>
      </w:r>
      <w:r>
        <w:rPr>
          <w:kern w:val="2"/>
          <w:szCs w:val="22"/>
          <w:lang w:bidi="ar"/>
        </w:rPr>
        <w:t>[9, 10]</w:t>
      </w:r>
      <w:r>
        <w:rPr>
          <w:rFonts w:eastAsia="Charis SIL"/>
          <w:color w:val="000000"/>
          <w:kern w:val="2"/>
          <w:szCs w:val="22"/>
          <w:lang w:bidi="ar"/>
        </w:rPr>
      </w:r>
      <w:r>
        <w:rPr>
          <w:kern w:val="2"/>
          <w:szCs w:val="22"/>
          <w:rFonts w:eastAsia="Charis SIL"/>
          <w:color w:val="000000"/>
          <w:lang w:bidi="ar"/>
        </w:rPr>
        <w:fldChar w:fldCharType="end"/>
      </w:r>
      <w:r>
        <w:rPr>
          <w:kern w:val="2"/>
          <w:szCs w:val="22"/>
          <w:lang w:bidi="ar"/>
        </w:rPr>
        <w:t>. There are</w:t>
      </w:r>
      <w:bookmarkStart w:id="6" w:name="OLE_LINK16"/>
      <w:bookmarkStart w:id="7" w:name="OLE_LINK7"/>
      <w:r>
        <w:rPr>
          <w:kern w:val="2"/>
          <w:szCs w:val="22"/>
          <w:lang w:bidi="ar"/>
        </w:rPr>
        <w:t xml:space="preserve"> three types of castor inflorescence: MI, SFI, and BI (Fig. 1). MI inflorescences consist solely of pistils. SFI inflorescences feature pistils with willow leaves growing on the inflorescence axis. The BI-type inflorescence is hermaphroditic, with the pistil at the top and the stamen at the bottom of the inflorescence axis. The published literature has indicated that the type of inflorescence affects castor yield </w:t>
      </w:r>
      <w:r>
        <w:fldChar w:fldCharType="begin"/>
      </w:r>
      <w:r>
        <w:rPr>
          <w:kern w:val="2"/>
          <w:szCs w:val="22"/>
          <w:lang w:bidi="ar"/>
        </w:rPr>
        <w:instrText>ADDIN EN.CITE &lt;EndNote&gt;&lt;Cite&gt;&lt;Author&gt;Mingqian&lt;/Author&gt;&lt;Year&gt;2016&lt;/Year&gt;&lt;RecNum&gt;235&lt;/RecNum&gt;&lt;DisplayText&gt;[9, 11]&lt;/DisplayText&gt;&lt;record&gt;&lt;rec-number&gt;235&lt;/rec-number&gt;&lt;foreign-keys&gt;&lt;key app="EN" db-id="es2vseptt50xdreps0evpxv0xvw0padast9f" timestamp="1703332417"&gt;235&lt;/key&gt;&lt;/foreign-keys&gt;&lt;ref-type name="Journal Article"&gt;17&lt;/ref-type&gt;&lt;contributors&gt;&lt;authors&gt;&lt;author&gt;Mingqian, Tan&lt;/author&gt;&lt;author&gt;Jianfeng, Xue&lt;/author&gt;&lt;author&gt;Lei, Wang&lt;/author&gt;&lt;author&gt;Jiaxing, Huang&lt;/author&gt;&lt;author&gt;Chunling, Fu&lt;/author&gt;&lt;author&gt;Xin, Yan&lt;/author&gt;&lt;/authors&gt;&lt;/contributors&gt;&lt;titles&gt;&lt;title&gt;Transcriptomic Analysis for Different Sex Types of Ricinus communis L. during Development from Apical Buds to Inflorescences by Digital Gene Expression Profiling&lt;/title&gt;&lt;secondary-title&gt;Frontiers in Plant Science&lt;/secondary-title&gt;&lt;/titles&gt;&lt;periodical&gt;&lt;full-title&gt;Frontiers in Plant Science&lt;/full-title&gt;&lt;/periodical&gt;&lt;pages&gt;1208&lt;/pages&gt;&lt;volume&gt;6&lt;/volume&gt;&lt;dates&gt;&lt;year&gt;2016&lt;/year&gt;&lt;pub-dates&gt;&lt;date&gt;0212&lt;/date&gt;&lt;/pub-dates&gt;&lt;/dates&gt;&lt;isbn&gt;1664-462X&lt;/isbn&gt;&lt;work-type&gt;Article&lt;/work-type&gt;&lt;urls&gt;&lt;/urls&gt;&lt;electronic-resource-num&gt;10.3389/fpls.2015.01208&lt;/electronic-resource-num&gt;&lt;/record&gt;&lt;/Cite&gt;&lt;Cite&gt;&lt;Author&gt;Oved&lt;/Author&gt;&lt;Year&gt;1960&lt;/Year&gt;&lt;RecNum&gt;236&lt;/RecNum&gt;&lt;record&gt;&lt;rec-number&gt;236&lt;/rec-number&gt;&lt;foreign-keys&gt;&lt;key app="EN" db-id="es2vseptt50xdreps0evpxv0xvw0padast9f" timestamp="1703332602"&gt;236&lt;/key&gt;&lt;/foreign-keys&gt;&lt;ref-type name="Journal Article"&gt;17&lt;/ref-type&gt;&lt;contributors&gt;&lt;authors&gt;&lt;author&gt;Oved, Shifriss&lt;/author&gt;&lt;/authors&gt;&lt;/contributors&gt;&lt;titles&gt;&lt;title&gt;Conventional and unconventional systems controlling sex variations inRicinus&lt;/title&gt;&lt;secondary-title&gt;European journal of human genetics&lt;/secondary-title&gt;&lt;/titles&gt;&lt;periodical&gt;&lt;full-title&gt;European journal of human genetics&lt;/full-title&gt;&lt;/periodical&gt;&lt;pages&gt;1032-6&lt;/pages&gt;&lt;volume&gt;20&lt;/volume&gt;&lt;number&gt;10&lt;/number&gt;&lt;dates&gt;&lt;year&gt;1960&lt;/year&gt;&lt;pub-dates&gt;&lt;date&gt;0701&lt;/date&gt;&lt;/pub-dates&gt;&lt;/dates&gt;&lt;isbn&gt;0022-1333&lt;/isbn&gt;&lt;work-type&gt;Article&lt;/work-type&gt;&lt;urls&gt;&lt;/urls&gt;&lt;electronic-resource-num&gt;10.1007/bf02987242&lt;/electronic-resource-num&gt;&lt;/record&gt;&lt;/Cite&gt;&lt;/EndNote&gt;</w:instrText>
      </w:r>
      <w:r>
        <w:rPr>
          <w:kern w:val="2"/>
          <w:szCs w:val="22"/>
          <w:lang w:bidi="ar"/>
        </w:rPr>
      </w:r>
      <w:r>
        <w:rPr>
          <w:kern w:val="2"/>
          <w:szCs w:val="22"/>
          <w:lang w:bidi="ar"/>
        </w:rPr>
        <w:fldChar w:fldCharType="separate"/>
      </w:r>
      <w:r>
        <w:rPr>
          <w:kern w:val="2"/>
          <w:szCs w:val="22"/>
          <w:lang w:bidi="ar"/>
        </w:rPr>
        <w:t>[9, 11]</w:t>
      </w:r>
      <w:r>
        <w:rPr>
          <w:kern w:val="2"/>
          <w:szCs w:val="22"/>
          <w:lang w:bidi="ar"/>
        </w:rPr>
      </w:r>
      <w:r>
        <w:rPr>
          <w:kern w:val="2"/>
          <w:szCs w:val="22"/>
          <w:lang w:bidi="ar"/>
        </w:rPr>
        <w:fldChar w:fldCharType="end"/>
      </w:r>
      <w:r>
        <w:rPr>
          <w:rFonts w:eastAsia="等线"/>
          <w:kern w:val="2"/>
          <w:szCs w:val="22"/>
          <w:lang w:bidi="ar"/>
        </w:rPr>
        <w:t xml:space="preserve">. However, the formation mechanisms of different inflorescence types remain unclear. Our prior research on flower bud differentiation in three inflorescence types of aLmAB2 castor bean revealed that the 5-6 leaf stage is the transitional period from asexual to sexual reproduction in the inflorescence </w:t>
      </w:r>
      <w:r>
        <w:fldChar w:fldCharType="begin"/>
      </w:r>
      <w:r>
        <w:rPr>
          <w:kern w:val="2"/>
          <w:szCs w:val="22"/>
          <w:rFonts w:eastAsia="等线"/>
          <w:lang w:bidi="ar"/>
        </w:rPr>
        <w:instrText>ADDIN EN.CITE &lt;EndNote&gt;&lt;Cite&gt;&lt;Author&gt;黄凤兰&lt;/Author&gt;&lt;Year&gt;2014&lt;/Year&gt;&lt;RecNum&gt;224&lt;/RecNum&gt;&lt;DisplayText&gt;[12]&lt;/DisplayText&gt;&lt;record&gt;&lt;rec-number&gt;224&lt;/rec-number&gt;&lt;foreign-keys&gt;&lt;key app="EN" db-id="es2vseptt50xdreps0evpxv0xvw0padast9f" timestamp="1703321417"&gt;224&lt;/key&gt;&lt;/foreign-keys&gt;&lt;ref-type name="Journal Article"&gt;17&lt;/ref-type&gt;&lt;contributors&gt;&lt;authors&gt;&lt;author&gt;黄凤兰&lt;/author&gt;&lt;author&gt;朱国立&lt;/author&gt;&lt;author&gt;潘微彤&lt;/author&gt;&lt;author&gt;何智彪&lt;/author&gt;&lt;author&gt;包春光&lt;/author&gt;&lt;author&gt;彭木&lt;/author&gt;&lt;author&gt;王文跃&lt;/author&gt;&lt;author&gt;张智勇&lt;/author&gt;&lt;author&gt;张现世&lt;/author&gt;&lt;/authors&gt;&lt;/contributors&gt;&lt;titles&gt;&lt;title&gt;蓖麻3种类型花序发育过程的显微学比较研究&lt;/title&gt;&lt;secondary-title&gt;北方农业学报&lt;/secondary-title&gt;&lt;/titles&gt;&lt;periodical&gt;&lt;full-title&gt;北方农业学报&lt;/full-title&gt;&lt;/periodical&gt;&lt;pages&gt;10-13&lt;/pages&gt;&lt;number&gt;4&lt;/number&gt;&lt;dates&gt;&lt;year&gt;2014&lt;/year&gt;&lt;/dates&gt;&lt;urls&gt;&lt;/urls&gt;&lt;/record&gt;&lt;/Cite&gt;&lt;/EndNote&gt;</w:instrText>
      </w:r>
      <w:r>
        <w:rPr>
          <w:rFonts w:eastAsia="等线"/>
          <w:kern w:val="2"/>
          <w:szCs w:val="22"/>
          <w:lang w:bidi="ar"/>
        </w:rPr>
      </w:r>
      <w:r>
        <w:rPr>
          <w:kern w:val="2"/>
          <w:szCs w:val="22"/>
          <w:rFonts w:eastAsia="等线"/>
          <w:lang w:bidi="ar"/>
        </w:rPr>
        <w:fldChar w:fldCharType="separate"/>
      </w:r>
      <w:r>
        <w:rPr>
          <w:rFonts w:eastAsia="等线"/>
          <w:kern w:val="2"/>
          <w:szCs w:val="22"/>
          <w:lang w:bidi="ar"/>
        </w:rPr>
        <w:t>[12]</w:t>
      </w:r>
      <w:r>
        <w:rPr>
          <w:rFonts w:eastAsia="等线"/>
          <w:kern w:val="2"/>
          <w:szCs w:val="22"/>
          <w:lang w:bidi="ar"/>
        </w:rPr>
      </w:r>
      <w:r>
        <w:rPr>
          <w:kern w:val="2"/>
          <w:szCs w:val="22"/>
          <w:rFonts w:eastAsia="等线"/>
          <w:lang w:bidi="ar"/>
        </w:rPr>
        <w:fldChar w:fldCharType="end"/>
      </w:r>
      <w:bookmarkEnd w:id="7"/>
      <w:r>
        <w:rPr>
          <w:rFonts w:eastAsia="等线"/>
          <w:kern w:val="2"/>
          <w:szCs w:val="22"/>
          <w:lang w:bidi="ar"/>
        </w:rPr>
        <w:t xml:space="preserve">. Hence, the five-leaf stage is considered an optimal stage for investigating the mechanism of sex differentiation in castor. </w:t>
      </w:r>
      <w:r>
        <w:rPr>
          <w:rFonts w:eastAsia="等线"/>
          <w:szCs w:val="22"/>
          <w:lang w:bidi="ar"/>
        </w:rPr>
        <w:t>To dissect the differentiation mechanism of ricin inflorescence, we collected samples at the five-leaf stage for MI, SFI, and BI, and conducted transcriptome experiments to study their molecular mechanisms.</w:t>
      </w:r>
      <w:bookmarkEnd w:id="6"/>
    </w:p>
    <w:p>
      <w:pPr>
        <w:pStyle w:val="Normal"/>
        <w:widowControl w:val="false"/>
        <w:snapToGrid w:val="false"/>
        <w:spacing w:before="0" w:after="0"/>
        <w:ind w:firstLine="480"/>
        <w:rPr>
          <w:rFonts w:eastAsia="MinionPro-Regular"/>
          <w:color w:val="000000"/>
          <w:kern w:val="2"/>
          <w:szCs w:val="22"/>
          <w:lang w:bidi="ar"/>
        </w:rPr>
      </w:pPr>
      <w:r>
        <w:rPr>
          <w:kern w:val="2"/>
          <w:szCs w:val="22"/>
          <w:lang w:bidi="ar"/>
        </w:rPr>
        <w:t xml:space="preserve">The high-throughput RNA-sequencing (RNA-Seq) method based on transcriptome data can detect molecular changes in a wide range of plant species due to its high coverage and low cost </w:t>
      </w:r>
      <w:r>
        <w:fldChar w:fldCharType="begin"/>
      </w:r>
      <w:r>
        <w:rPr>
          <w:kern w:val="2"/>
          <w:szCs w:val="22"/>
          <w:lang w:bidi="ar"/>
        </w:rPr>
        <w:instrText>ADDIN EN.CITE &lt;EndNote&gt;&lt;Cite&gt;&lt;Author&gt;Yu&lt;/Author&gt;&lt;Year&gt;2022&lt;/Year&gt;&lt;RecNum&gt;45&lt;/RecNum&gt;&lt;DisplayText&gt;[13]&lt;/DisplayText&gt;&lt;record&gt;&lt;rec-number&gt;45&lt;/rec-number&gt;&lt;foreign-keys&gt;&lt;key app="EN" db-id="es2vseptt50xdreps0evpxv0xvw0padast9f" timestamp="1665541401"&gt;45&lt;/key&gt;&lt;/foreign-keys&gt;&lt;ref-type name="Journal Article"&gt;17&lt;/ref-type&gt;&lt;contributors&gt;&lt;authors&gt;&lt;author&gt;Yu, Yiming&lt;/author&gt;&lt;author&gt;Zhang, Hong&lt;/author&gt;&lt;author&gt;Long, Yanping&lt;/author&gt;&lt;author&gt;Shu, Yi&lt;/author&gt;&lt;author&gt;Zhai, Jixian&lt;/author&gt;&lt;/authors&gt;&lt;/contributors&gt;&lt;titles&gt;&lt;title&gt;Plant Public RNA-seq Database: a comprehensive online database for expression analysis of similar to 45 000 plant public RNA-Seq libraries&lt;/title&gt;&lt;secondary-title&gt;Plant Biotechnology Journal&lt;/secondary-title&gt;&lt;/titles&gt;&lt;periodical&gt;&lt;full-title&gt;Plant Biotechnology Journal&lt;/full-title&gt;&lt;/periodical&gt;&lt;pages&gt;806-808&lt;/pages&gt;&lt;volume&gt;20&lt;/volume&gt;&lt;number&gt;5&lt;/number&gt;&lt;dates&gt;&lt;year&gt;2022&lt;/year&gt;&lt;pub-dates&gt;&lt;date&gt;May&lt;/date&gt;&lt;/pub-dates&gt;&lt;/dates&gt;&lt;isbn&gt;1467-7644&lt;/isbn&gt;&lt;accession-num&gt;WOS:000765041400001&lt;/accession-num&gt;&lt;urls&gt;&lt;related-urls&gt;&lt;url&gt;&amp;lt;Go to ISI&amp;gt;://WOS:000765041400001&lt;/url&gt;&lt;/related-urls&gt;&lt;/urls&gt;&lt;electronic-resource-num&gt;10.1111/pbi.13798&lt;/electronic-resource-num&gt;&lt;/record&gt;&lt;/Cite&gt;&lt;/EndNote&gt;</w:instrText>
      </w:r>
      <w:r>
        <w:rPr>
          <w:kern w:val="2"/>
          <w:szCs w:val="22"/>
          <w:lang w:bidi="ar"/>
        </w:rPr>
      </w:r>
      <w:r>
        <w:rPr>
          <w:kern w:val="2"/>
          <w:szCs w:val="22"/>
          <w:lang w:bidi="ar"/>
        </w:rPr>
        <w:fldChar w:fldCharType="separate"/>
      </w:r>
      <w:r>
        <w:rPr>
          <w:kern w:val="2"/>
          <w:szCs w:val="22"/>
          <w:lang w:bidi="ar"/>
        </w:rPr>
      </w:r>
      <w:r>
        <w:rPr>
          <w:rFonts w:eastAsia="Charis SIL"/>
          <w:color w:val="000000"/>
          <w:kern w:val="2"/>
          <w:szCs w:val="22"/>
          <w:lang w:bidi="ar"/>
        </w:rPr>
        <w:t>[13]</w:t>
      </w:r>
      <w:r>
        <w:rPr>
          <w:kern w:val="2"/>
          <w:szCs w:val="22"/>
          <w:lang w:bidi="ar"/>
        </w:rPr>
      </w:r>
      <w:r>
        <w:rPr>
          <w:kern w:val="2"/>
          <w:szCs w:val="22"/>
          <w:lang w:bidi="ar"/>
        </w:rPr>
        <w:fldChar w:fldCharType="end"/>
      </w:r>
      <w:r>
        <w:rPr>
          <w:rFonts w:eastAsia="Charis SIL"/>
          <w:color w:val="000000"/>
          <w:kern w:val="2"/>
          <w:szCs w:val="22"/>
          <w:lang w:bidi="ar"/>
        </w:rPr>
        <w:t xml:space="preserve">. Therefore, transcriptome data have been effectively used in recent years to study plant growth and development. The gene expression profile of RNA sequencing reveals the gene expression patterns of different tissues in castor </w:t>
      </w:r>
      <w:r>
        <w:fldChar w:fldCharType="begin"/>
      </w:r>
      <w:r>
        <w:rPr>
          <w:kern w:val="2"/>
          <w:szCs w:val="22"/>
          <w:rFonts w:eastAsia="Charis SIL"/>
          <w:color w:val="000000"/>
          <w:lang w:bidi="ar"/>
        </w:rPr>
        <w:instrText>ADDIN EN.CITE</w:instrText>
      </w:r>
      <w:r>
        <w:rPr>
          <w:rFonts w:eastAsia="Charis SIL"/>
          <w:color w:val="000000"/>
          <w:kern w:val="2"/>
          <w:szCs w:val="22"/>
          <w:lang w:bidi="ar"/>
        </w:rPr>
      </w:r>
      <w:r>
        <w:fldChar w:fldCharType="begin"/>
      </w:r>
      <w:r>
        <w:rPr>
          <w:kern w:val="2"/>
          <w:szCs w:val="22"/>
          <w:rFonts w:eastAsia="Charis SIL"/>
          <w:color w:val="000000"/>
          <w:lang w:bidi="ar"/>
        </w:rPr>
        <w:instrText>ADDIN EN.CITE.DATA</w:instrText>
      </w:r>
      <w:r>
        <w:rPr>
          <w:rFonts w:eastAsia="Charis SIL"/>
          <w:color w:val="000000"/>
          <w:kern w:val="2"/>
          <w:szCs w:val="22"/>
          <w:lang w:bidi="ar"/>
        </w:rPr>
      </w:r>
      <w:r>
        <w:rPr>
          <w:kern w:val="2"/>
          <w:szCs w:val="22"/>
          <w:rFonts w:eastAsia="Charis SIL"/>
          <w:color w:val="000000"/>
          <w:lang w:bidi="ar"/>
        </w:rPr>
        <w:fldChar w:fldCharType="separate"/>
      </w:r>
      <w:r>
        <w:rPr>
          <w:rFonts w:eastAsia="Charis SIL"/>
          <w:color w:val="000000"/>
          <w:kern w:val="2"/>
          <w:szCs w:val="22"/>
          <w:lang w:bidi="ar"/>
        </w:rPr>
      </w:r>
      <w:r>
        <w:rPr>
          <w:rFonts w:eastAsia="Charis SIL"/>
          <w:color w:val="000000"/>
          <w:kern w:val="2"/>
          <w:szCs w:val="22"/>
          <w:lang w:bidi="ar"/>
        </w:rPr>
      </w:r>
      <w:r>
        <w:rPr>
          <w:kern w:val="2"/>
          <w:szCs w:val="22"/>
          <w:rFonts w:eastAsia="Charis SIL"/>
          <w:color w:val="000000"/>
          <w:lang w:bidi="ar"/>
        </w:rPr>
        <w:fldChar w:fldCharType="end"/>
      </w:r>
      <w:r>
        <w:rPr>
          <w:kern w:val="2"/>
          <w:szCs w:val="22"/>
          <w:rFonts w:eastAsia="Charis SIL"/>
          <w:color w:val="000000"/>
          <w:lang w:bidi="ar"/>
        </w:rPr>
        <w:fldChar w:fldCharType="separate"/>
      </w:r>
      <w:r>
        <w:rPr>
          <w:rFonts w:eastAsia="Charis SIL"/>
          <w:color w:val="000000"/>
          <w:kern w:val="2"/>
          <w:szCs w:val="22"/>
          <w:lang w:bidi="ar"/>
        </w:rPr>
        <w:t>[14, 15]</w:t>
      </w:r>
      <w:r>
        <w:rPr>
          <w:rFonts w:eastAsia="Charis SIL"/>
          <w:color w:val="000000"/>
          <w:kern w:val="2"/>
          <w:szCs w:val="22"/>
          <w:lang w:bidi="ar"/>
        </w:rPr>
      </w:r>
      <w:r>
        <w:rPr>
          <w:kern w:val="2"/>
          <w:szCs w:val="22"/>
          <w:rFonts w:eastAsia="Charis SIL"/>
          <w:color w:val="000000"/>
          <w:lang w:bidi="ar"/>
        </w:rPr>
        <w:fldChar w:fldCharType="end"/>
      </w:r>
      <w:r>
        <w:rPr>
          <w:rFonts w:eastAsia="Charis SIL"/>
          <w:color w:val="000000"/>
          <w:kern w:val="2"/>
          <w:szCs w:val="22"/>
          <w:lang w:bidi="ar"/>
        </w:rPr>
        <w:t>. Currently,</w:t>
      </w:r>
      <w:r>
        <w:rPr>
          <w:kern w:val="2"/>
          <w:szCs w:val="22"/>
          <w:lang w:bidi="ar"/>
        </w:rPr>
        <w:t xml:space="preserve"> RNA-Seq is an effective technique for analyzing the mechanisms of castor development </w:t>
      </w:r>
      <w:r>
        <w:fldChar w:fldCharType="begin"/>
      </w:r>
      <w:r>
        <w:rPr>
          <w:kern w:val="2"/>
          <w:szCs w:val="22"/>
          <w:lang w:bidi="ar"/>
        </w:rPr>
        <w:instrText>ADDIN EN.CITE &lt;EndNote&gt;&lt;Cite&gt;&lt;Author&gt;Xiaoyu&lt;/Author&gt;&lt;Year&gt;2022&lt;/Year&gt;&lt;RecNum&gt;242&lt;/RecNum&gt;&lt;DisplayText&gt;[16]&lt;/DisplayText&gt;&lt;record&gt;&lt;rec-number&gt;242&lt;/rec-number&gt;&lt;foreign-keys&gt;&lt;key app="EN" db-id="es2vseptt50xdreps0evpxv0xvw0padast9f" timestamp="1703578388"&gt;242&lt;/key&gt;&lt;/foreign-keys&gt;&lt;ref-type name="Journal Article"&gt;17&lt;/ref-type&gt;&lt;contributors&gt;&lt;authors&gt;&lt;author&gt;Xiaoyu, Wang&lt;/author&gt;&lt;author&gt;Yin, Wu&lt;/author&gt;&lt;author&gt;Min, Sun&lt;/author&gt;&lt;author&gt;Xin, Wei&lt;/author&gt;&lt;author&gt;Hongyan, Huo&lt;/author&gt;&lt;author&gt;Lili, Yu&lt;/author&gt;&lt;author&gt;Jixing, Zhang&lt;/author&gt;&lt;/authors&gt;&lt;/contributors&gt;&lt;titles&gt;&lt;title&gt;Dynamic transcriptome profiling revealed key genes and pathways associated with cold stress in castor (Ricinus communis L.)&lt;/title&gt;&lt;secondary-title&gt;Industrial Crops and Products&lt;/secondary-title&gt;&lt;/titles&gt;&lt;periodical&gt;&lt;full-title&gt;Industrial Crops and Products&lt;/full-title&gt;&lt;/periodical&gt;&lt;pages&gt;114610&lt;/pages&gt;&lt;volume&gt;178&lt;/volume&gt;&lt;dates&gt;&lt;year&gt;2022&lt;/year&gt;&lt;pub-dates&gt;&lt;date&gt;0401&lt;/date&gt;&lt;/pub-dates&gt;&lt;/dates&gt;&lt;isbn&gt;0926-6690&lt;/isbn&gt;&lt;work-type&gt;Article&lt;/work-type&gt;&lt;urls&gt;&lt;/urls&gt;&lt;electronic-resource-num&gt;10.1016/j.indcrop.2022.114610&lt;/electronic-resource-num&gt;&lt;/record&gt;&lt;/Cite&gt;&lt;/EndNote&gt;</w:instrText>
      </w:r>
      <w:r>
        <w:rPr>
          <w:kern w:val="2"/>
          <w:szCs w:val="22"/>
          <w:lang w:bidi="ar"/>
        </w:rPr>
      </w:r>
      <w:r>
        <w:rPr>
          <w:kern w:val="2"/>
          <w:szCs w:val="22"/>
          <w:lang w:bidi="ar"/>
        </w:rPr>
        <w:fldChar w:fldCharType="separate"/>
      </w:r>
      <w:r>
        <w:rPr>
          <w:kern w:val="2"/>
          <w:szCs w:val="22"/>
          <w:lang w:bidi="ar"/>
        </w:rPr>
        <w:t>[16]</w:t>
      </w:r>
      <w:r>
        <w:rPr>
          <w:kern w:val="2"/>
          <w:szCs w:val="22"/>
          <w:lang w:bidi="ar"/>
        </w:rPr>
      </w:r>
      <w:r>
        <w:rPr>
          <w:kern w:val="2"/>
          <w:szCs w:val="22"/>
          <w:lang w:bidi="ar"/>
        </w:rPr>
        <w:fldChar w:fldCharType="end"/>
      </w:r>
      <w:r>
        <w:rPr>
          <w:kern w:val="2"/>
          <w:szCs w:val="22"/>
          <w:lang w:bidi="ar"/>
        </w:rPr>
        <w:t xml:space="preserve">. For example, </w:t>
      </w:r>
      <w:r>
        <w:rPr>
          <w:rFonts w:eastAsia="Corbel-Bold"/>
          <w:bCs/>
          <w:kern w:val="2"/>
          <w:szCs w:val="22"/>
          <w:lang w:bidi="ar"/>
        </w:rPr>
        <w:t>differentially expressed genes, such as male-abundant or female-specific genes, were identified in castor via</w:t>
      </w:r>
      <w:r>
        <w:rPr>
          <w:rFonts w:eastAsia="Corbel-Bold"/>
          <w:b/>
          <w:kern w:val="2"/>
          <w:szCs w:val="22"/>
          <w:lang w:bidi="ar"/>
        </w:rPr>
        <w:t xml:space="preserve"> </w:t>
      </w:r>
      <w:r>
        <w:rPr>
          <w:kern w:val="2"/>
          <w:szCs w:val="22"/>
          <w:lang w:bidi="ar"/>
        </w:rPr>
        <w:t xml:space="preserve">RNA-Seq </w:t>
      </w:r>
      <w:r>
        <w:fldChar w:fldCharType="begin"/>
      </w:r>
      <w:r>
        <w:rPr>
          <w:kern w:val="2"/>
          <w:szCs w:val="22"/>
          <w:lang w:bidi="ar"/>
        </w:rPr>
        <w:instrText>ADDIN EN.CITE &lt;EndNote&gt;&lt;Cite&gt;&lt;Author&gt;Zou&lt;/Author&gt;&lt;Year&gt;2015&lt;/Year&gt;&lt;RecNum&gt;14&lt;/RecNum&gt;&lt;DisplayText&gt;[17]&lt;/DisplayText&gt;&lt;record&gt;&lt;rec-number&gt;14&lt;/rec-number&gt;&lt;foreign-keys&gt;&lt;key app="EN" db-id="es2vseptt50xdreps0evpxv0xvw0padast9f" timestamp="1665359852"&gt;14&lt;/key&gt;&lt;/foreign-keys&gt;&lt;ref-type name="Journal Article"&gt;17&lt;/ref-type&gt;&lt;contributors&gt;&lt;authors&gt;&lt;author&gt;Zou, Z.&lt;/author&gt;&lt;author&gt;Gong, J.&lt;/author&gt;&lt;author&gt;Huang, Q.&lt;/author&gt;&lt;author&gt;Mo, Y.&lt;/author&gt;&lt;author&gt;Yang, L.&lt;/author&gt;&lt;author&gt;Xie, G.&lt;/author&gt;&lt;/authors&gt;&lt;/contributors&gt;&lt;auth-address&gt;Danzhou Investigation &amp;amp; Experiment Station of Tropical Crops, Ministry of Agriculture, Rubber Research Institute, Chinese Academy of Tropical Agricultural Sciences, Danzhou, Hainan, P. R. China.&amp;#xD;Institute of Tropical Biosciences and Biotechnology, Chinese Academy of Tropical Agricultural Sciences, Haikou, Hainan, P. R. China.&lt;/auth-address&gt;&lt;titles&gt;&lt;title&gt;Gene Structures, Evolution, Classification and Expression Profiles of the Aquaporin Gene Family in Castor Bean (Ricinus communis L.)&lt;/title&gt;&lt;secondary-title&gt;PLoS One&lt;/secondary-title&gt;&lt;/titles&gt;&lt;periodical&gt;&lt;full-title&gt;Plos One&lt;/full-title&gt;&lt;/periodical&gt;&lt;pages&gt;e0141022&lt;/pages&gt;&lt;volume&gt;10&lt;/volume&gt;&lt;number&gt;10&lt;/number&gt;&lt;edition&gt;2015/10/29&lt;/edition&gt;&lt;keywords&gt;&lt;keyword&gt;Aquaporins/*genetics/*metabolism&lt;/keyword&gt;&lt;keyword&gt;Castor Bean/genetics/*metabolism&lt;/keyword&gt;&lt;keyword&gt;Gene Expression Regulation, Plant/genetics/physiology&lt;/keyword&gt;&lt;keyword&gt;Plant Proteins/genetics/*metabolism&lt;/keyword&gt;&lt;/keywords&gt;&lt;dates&gt;&lt;year&gt;2015&lt;/year&gt;&lt;pub-dates&gt;&lt;date&gt;Oct 28&lt;/date&gt;&lt;/pub-dates&gt;&lt;/dates&gt;&lt;isbn&gt;1932-6203 (Electronic)&amp;#xD;1932-6203 (Linking)&lt;/isbn&gt;&lt;accession-num&gt;26509832&lt;/accession-num&gt;&lt;urls&gt;&lt;related-urls&gt;&lt;url&gt;https://www.ncbi.nlm.nih.gov/pubmed/26509832&lt;/url&gt;&lt;url&gt;https://www.ncbi.nlm.nih.gov/pmc/articles/PMC4625025/pdf/pone.0141022.pdf&lt;/url&gt;&lt;/related-urls&gt;&lt;/urls&gt;&lt;custom2&gt;PMC4625025&lt;/custom2&gt;&lt;custom7&gt;e0141022&lt;/custom7&gt;&lt;electronic-resource-num&gt;10.1371/journal.pone.0141022&lt;/electronic-resource-num&gt;&lt;/record&gt;&lt;/Cite&gt;&lt;/EndNote&gt;</w:instrText>
      </w:r>
      <w:r>
        <w:rPr>
          <w:kern w:val="2"/>
          <w:szCs w:val="22"/>
          <w:lang w:bidi="ar"/>
        </w:rPr>
      </w:r>
      <w:r>
        <w:rPr>
          <w:kern w:val="2"/>
          <w:szCs w:val="22"/>
          <w:lang w:bidi="ar"/>
        </w:rPr>
        <w:fldChar w:fldCharType="separate"/>
      </w:r>
      <w:r>
        <w:rPr>
          <w:kern w:val="2"/>
          <w:szCs w:val="22"/>
          <w:lang w:bidi="ar"/>
        </w:rPr>
        <w:t>[17]</w:t>
      </w:r>
      <w:r>
        <w:rPr>
          <w:kern w:val="2"/>
          <w:szCs w:val="22"/>
          <w:lang w:bidi="ar"/>
        </w:rPr>
      </w:r>
      <w:r>
        <w:rPr>
          <w:kern w:val="2"/>
          <w:szCs w:val="22"/>
          <w:lang w:bidi="ar"/>
        </w:rPr>
        <w:fldChar w:fldCharType="end"/>
      </w:r>
      <w:r>
        <w:rPr>
          <w:kern w:val="2"/>
          <w:szCs w:val="22"/>
          <w:lang w:bidi="ar"/>
        </w:rPr>
        <w:t xml:space="preserve">. In addition, transcriptome changes were monitored by RNA-Seq under low temperatures in a cold-tolerant castor variety (Tongbi 5) </w:t>
      </w:r>
      <w:r>
        <w:fldChar w:fldCharType="begin"/>
      </w:r>
      <w:r>
        <w:rPr>
          <w:kern w:val="2"/>
          <w:szCs w:val="22"/>
          <w:lang w:bidi="ar"/>
        </w:rPr>
        <w:instrText>ADDIN EN.CITE &lt;EndNote&gt;&lt;Cite&gt;&lt;Author&gt;Fernie&lt;/Author&gt;&lt;Year&gt;1983&lt;/Year&gt;&lt;RecNum&gt;15&lt;/RecNum&gt;&lt;DisplayText&gt;[18]&lt;/DisplayText&gt;&lt;record&gt;&lt;rec-number&gt;15&lt;/rec-number&gt;&lt;foreign-keys&gt;&lt;key app="EN" db-id="es2vseptt50xdreps0evpxv0xvw0padast9f" timestamp="1665359922"&gt;15&lt;/key&gt;&lt;/foreign-keys&gt;&lt;ref-type name="Journal Article"&gt;17&lt;/ref-type&gt;&lt;contributors&gt;&lt;authors&gt;&lt;author&gt;Fernie, G. R.&lt;/author&gt;&lt;author&gt;Jewett, M. A.&lt;/author&gt;&lt;author&gt;Autry, D.&lt;/author&gt;&lt;author&gt;Holliday, P. J.&lt;/author&gt;&lt;author&gt;Zorzitto, M. L.&lt;/author&gt;&lt;/authors&gt;&lt;translated-authors&gt;&lt;author&gt;刘栩铭,&lt;/author&gt;&lt;author&gt;李敏,&lt;/author&gt;&lt;author&gt;段琼,&lt;/author&gt;&lt;author&gt;张洪雨,&lt;/author&gt;&lt;author&gt;孟迪,&lt;/author&gt;&lt;author&gt;张丽雪,&lt;/author&gt;&lt;author&gt;张继星,&lt;/author&gt;&lt;author&gt;王晓宇,&lt;/author&gt;&lt;/translated-authors&gt;&lt;/contributors&gt;&lt;titles&gt;&lt;title&gt;Prevalence of geriatric urinary dysfunction in a chronic care hospital&lt;/title&gt;&lt;secondary-title&gt;Can Med Assoc J&lt;/secondary-title&gt;&lt;translated-title&gt;蓖麻RcHSF基因家族鉴定与冷胁迫下的表达模式分析&lt;/translated-title&gt;&lt;/titles&gt;&lt;pages&gt;1085-6&lt;/pages&gt;&lt;volume&gt;128&lt;/volume&gt;&lt;number&gt;9&lt;/number&gt;&lt;edition&gt;1983/05/01&lt;/edition&gt;&lt;keywords&gt;&lt;keyword&gt;Age Factors&lt;/keyword&gt;&lt;keyword&gt;Aged&lt;/keyword&gt;&lt;keyword&gt;Female&lt;/keyword&gt;&lt;keyword&gt;Hospital Bed Capacity, 300 to 499&lt;/keyword&gt;&lt;keyword&gt;*Hospitals, Chronic Disease&lt;/keyword&gt;&lt;keyword&gt;*Hospitals, Special&lt;/keyword&gt;&lt;keyword&gt;Humans&lt;/keyword&gt;&lt;keyword&gt;Male&lt;/keyword&gt;&lt;keyword&gt;Ontario&lt;/keyword&gt;&lt;keyword&gt;Sex Factors&lt;/keyword&gt;&lt;keyword&gt;Urinary Incontinence/*epidemiology&lt;/keyword&gt;&lt;/keywords&gt;&lt;dates&gt;&lt;year&gt;1983&lt;/year&gt;&lt;pub-dates&gt;&lt;date&gt;May 1&lt;/date&gt;&lt;/pub-dates&gt;&lt;/dates&gt;&lt;isbn&gt;0008-4409 (Print)&amp;#xD;0008-4409 (Linking)&lt;/isbn&gt;&lt;accession-num&gt;6839258&lt;/accession-num&gt;&lt;urls&gt;&lt;related-urls&gt;&lt;url&gt;https://www.ncbi.nlm.nih.gov/pubmed/6839258&lt;/url&gt;&lt;url&gt;https://www.ncbi.nlm.nih.gov/pmc/articles/PMC1874861/pdf/canmedaj01390-0041.pdf&lt;/url&gt;&lt;/related-urls&gt;&lt;/urls&gt;&lt;custom2&gt;PMC1874861&lt;/custom2&gt;&lt;custom7&gt;1000-7091(2020)35:5&amp;lt;62:Bmrjyj&amp;gt;2.0.Tx;2-z&lt;/custom7&gt;&lt;/record&gt;&lt;/Cite&gt;&lt;/EndNote&gt;</w:instrText>
      </w:r>
      <w:r>
        <w:rPr>
          <w:kern w:val="2"/>
          <w:szCs w:val="22"/>
          <w:lang w:bidi="ar"/>
        </w:rPr>
      </w:r>
      <w:r>
        <w:rPr>
          <w:kern w:val="2"/>
          <w:szCs w:val="22"/>
          <w:lang w:bidi="ar"/>
        </w:rPr>
        <w:fldChar w:fldCharType="separate"/>
      </w:r>
      <w:r>
        <w:rPr>
          <w:kern w:val="2"/>
          <w:szCs w:val="22"/>
          <w:lang w:bidi="ar"/>
        </w:rPr>
        <w:t>[18]</w:t>
      </w:r>
      <w:r>
        <w:rPr>
          <w:kern w:val="2"/>
          <w:szCs w:val="22"/>
          <w:lang w:bidi="ar"/>
        </w:rPr>
      </w:r>
      <w:r>
        <w:rPr>
          <w:kern w:val="2"/>
          <w:szCs w:val="22"/>
          <w:lang w:bidi="ar"/>
        </w:rPr>
        <w:fldChar w:fldCharType="end"/>
      </w:r>
      <w:r>
        <w:rPr>
          <w:rFonts w:eastAsia="Charis SIL"/>
          <w:color w:val="000000"/>
          <w:kern w:val="2"/>
          <w:szCs w:val="22"/>
          <w:lang w:bidi="ar"/>
        </w:rPr>
        <w:t xml:space="preserve">. However, in castor, the mechanism of </w:t>
      </w:r>
      <w:r>
        <w:rPr>
          <w:rFonts w:eastAsia="等线"/>
          <w:szCs w:val="22"/>
          <w:lang w:bidi="ar"/>
        </w:rPr>
        <w:t xml:space="preserve">inflorescence </w:t>
      </w:r>
      <w:r>
        <w:rPr>
          <w:rFonts w:eastAsia="MinionPro-Regular"/>
          <w:color w:val="000000"/>
          <w:kern w:val="2"/>
          <w:szCs w:val="22"/>
          <w:lang w:bidi="ar"/>
        </w:rPr>
        <w:t>differentiation</w:t>
      </w:r>
      <w:r>
        <w:rPr>
          <w:rFonts w:eastAsia="Charis SIL"/>
          <w:color w:val="000000"/>
          <w:kern w:val="2"/>
          <w:szCs w:val="22"/>
          <w:lang w:bidi="ar"/>
        </w:rPr>
        <w:t xml:space="preserve"> has not been extensively investigated. </w:t>
      </w:r>
      <w:r>
        <w:rPr>
          <w:rFonts w:eastAsia="MinionPro-Regular"/>
          <w:color w:val="000000"/>
          <w:kern w:val="2"/>
          <w:szCs w:val="22"/>
          <w:lang w:bidi="ar"/>
        </w:rPr>
        <w:t xml:space="preserve">In the present study, we aimed to understand the molecular mechanisms of sex differentiation in castor. At the five-leaf stage of castor, we used RNA-seq to analyze gene expression in the three different inflorescences. </w:t>
      </w:r>
      <w:r>
        <w:rPr>
          <w:color w:val="000000"/>
          <w:kern w:val="2"/>
          <w:szCs w:val="22"/>
          <w:lang w:bidi="ar"/>
        </w:rPr>
        <w:t>The results reveal the genetic mechanism of the sex genotype of castor, providing not only guidance for breeding castor but also a reference for genetic research on other flowering plants.</w:t>
      </w:r>
    </w:p>
    <w:p>
      <w:pPr>
        <w:pStyle w:val="Normal"/>
        <w:widowControl w:val="false"/>
        <w:snapToGrid w:val="false"/>
        <w:spacing w:before="240" w:after="60"/>
        <w:rPr>
          <w:b/>
          <w:b/>
          <w:color w:val="000000" w:themeColor="text1"/>
          <w:szCs w:val="22"/>
        </w:rPr>
      </w:pPr>
      <w:r>
        <w:rPr>
          <w:b/>
          <w:color w:val="000000" w:themeColor="text1"/>
          <w:szCs w:val="22"/>
        </w:rPr>
        <w:t>2 Materials and Methods</w:t>
      </w:r>
      <w:bookmarkStart w:id="8" w:name="OLE_LINK4"/>
      <w:bookmarkEnd w:id="8"/>
    </w:p>
    <w:p>
      <w:pPr>
        <w:pStyle w:val="Normal"/>
        <w:spacing w:before="240" w:after="60"/>
        <w:rPr>
          <w:b/>
          <w:b/>
          <w:i/>
          <w:i/>
          <w:color w:val="000000" w:themeColor="text1"/>
          <w:szCs w:val="22"/>
        </w:rPr>
      </w:pPr>
      <w:r>
        <w:rPr>
          <w:b/>
          <w:i/>
          <w:color w:val="000000" w:themeColor="text1"/>
          <w:szCs w:val="22"/>
        </w:rPr>
        <w:t>2.1 Plant material</w:t>
      </w:r>
    </w:p>
    <w:p>
      <w:pPr>
        <w:pStyle w:val="Normal"/>
        <w:widowControl w:val="false"/>
        <w:snapToGrid w:val="false"/>
        <w:spacing w:before="0" w:after="0"/>
        <w:ind w:firstLine="440"/>
        <w:rPr>
          <w:rFonts w:eastAsia="等线"/>
          <w:kern w:val="2"/>
          <w:szCs w:val="22"/>
          <w:lang w:bidi="ar"/>
        </w:rPr>
      </w:pPr>
      <w:r>
        <w:rPr>
          <w:rFonts w:eastAsia="MinionPro-Regular"/>
          <w:szCs w:val="22"/>
          <w:lang w:bidi="ar"/>
        </w:rPr>
        <w:t>aLmAB2 castor (</w:t>
      </w:r>
      <w:r>
        <w:rPr>
          <w:rFonts w:eastAsia="等线"/>
          <w:i/>
          <w:szCs w:val="22"/>
          <w:lang w:bidi="ar"/>
        </w:rPr>
        <w:t>Ricinus communis</w:t>
      </w:r>
      <w:r>
        <w:rPr>
          <w:rFonts w:eastAsia="等线"/>
          <w:szCs w:val="22"/>
          <w:lang w:bidi="ar"/>
        </w:rPr>
        <w:t xml:space="preserve"> L.</w:t>
      </w:r>
      <w:r>
        <w:rPr>
          <w:rFonts w:eastAsia="MinionPro-Regular"/>
          <w:szCs w:val="22"/>
          <w:lang w:bidi="ar"/>
        </w:rPr>
        <w:t>) plants with a row spacing</w:t>
      </w:r>
      <w:r>
        <w:rPr>
          <w:szCs w:val="22"/>
          <w:lang w:bidi="ar"/>
        </w:rPr>
        <w:t xml:space="preserve"> </w:t>
      </w:r>
      <w:r>
        <w:rPr>
          <w:rFonts w:eastAsia="MinionPro-Regular"/>
          <w:szCs w:val="22"/>
          <w:lang w:bidi="ar"/>
        </w:rPr>
        <w:t>of 80 × 80 cm were grown in the field</w:t>
      </w:r>
      <w:r>
        <w:rPr>
          <w:rFonts w:eastAsia="MinionPro-Regular"/>
          <w:kern w:val="2"/>
          <w:szCs w:val="22"/>
          <w:lang w:bidi="ar"/>
        </w:rPr>
        <w:t xml:space="preserve"> of</w:t>
      </w:r>
      <w:r>
        <w:rPr>
          <w:rFonts w:eastAsia="等线"/>
          <w:kern w:val="2"/>
          <w:szCs w:val="22"/>
          <w:lang w:bidi="ar"/>
        </w:rPr>
        <w:t xml:space="preserve"> the Inner Mongolia Key Laboratory of Castor Breeding</w:t>
      </w:r>
      <w:r>
        <w:rPr>
          <w:rFonts w:eastAsia="MinionPro-Regular"/>
          <w:szCs w:val="22"/>
          <w:lang w:bidi="ar"/>
        </w:rPr>
        <w:t>. Three castor genotypes were photographed according to sex expression type before sample collection.</w:t>
      </w:r>
      <w:r>
        <w:rPr>
          <w:rFonts w:eastAsia="等线"/>
          <w:kern w:val="2"/>
          <w:szCs w:val="22"/>
          <w:lang w:bidi="ar"/>
        </w:rPr>
        <w:t xml:space="preserve"> The three </w:t>
      </w:r>
      <w:r>
        <w:rPr>
          <w:rFonts w:eastAsia="等线"/>
          <w:color w:val="000000"/>
          <w:kern w:val="2"/>
          <w:szCs w:val="22"/>
          <w:lang w:bidi="ar"/>
        </w:rPr>
        <w:t>types MI</w:t>
      </w:r>
      <w:r>
        <w:rPr>
          <w:rFonts w:eastAsia="等线"/>
          <w:szCs w:val="22"/>
          <w:lang w:bidi="ar"/>
        </w:rPr>
        <w:t>, SFI, and BI,</w:t>
      </w:r>
      <w:r>
        <w:rPr>
          <w:rFonts w:eastAsia="等线"/>
          <w:kern w:val="2"/>
          <w:szCs w:val="22"/>
          <w:lang w:bidi="ar"/>
        </w:rPr>
        <w:t xml:space="preserve"> were harvested at the five-leaf stage. Three biological replicates were carried out for each </w:t>
      </w:r>
      <w:r>
        <w:rPr>
          <w:rFonts w:eastAsia="等线"/>
          <w:color w:val="000000"/>
          <w:szCs w:val="22"/>
          <w:lang w:bidi="ar"/>
        </w:rPr>
        <w:t>inflorescence</w:t>
      </w:r>
      <w:r>
        <w:rPr>
          <w:rFonts w:eastAsia="等线"/>
          <w:color w:val="000000"/>
          <w:kern w:val="2"/>
          <w:szCs w:val="22"/>
          <w:lang w:bidi="ar"/>
        </w:rPr>
        <w:t xml:space="preserve"> type</w:t>
      </w:r>
      <w:r>
        <w:rPr>
          <w:rFonts w:eastAsia="等线"/>
          <w:kern w:val="2"/>
          <w:szCs w:val="22"/>
          <w:lang w:bidi="ar"/>
        </w:rPr>
        <w:t xml:space="preserve">. Nine samples were frozen in liquid nitrogen and stored at -80°C for RNA sequencing. </w:t>
      </w:r>
      <w:bookmarkStart w:id="9" w:name="OLE_LINK17"/>
      <w:bookmarkEnd w:id="9"/>
    </w:p>
    <w:p>
      <w:pPr>
        <w:pStyle w:val="Normal"/>
        <w:spacing w:before="240" w:after="60"/>
        <w:rPr>
          <w:b/>
          <w:b/>
          <w:i/>
          <w:i/>
          <w:color w:val="000000" w:themeColor="text1"/>
          <w:szCs w:val="22"/>
        </w:rPr>
      </w:pPr>
      <w:r>
        <w:rPr>
          <w:b/>
          <w:i/>
          <w:color w:val="000000" w:themeColor="text1"/>
          <w:szCs w:val="22"/>
        </w:rPr>
        <w:t>2.2 RNA extraction and cDNA library preparation</w:t>
      </w:r>
    </w:p>
    <w:p>
      <w:pPr>
        <w:pStyle w:val="Pa9"/>
        <w:widowControl/>
        <w:snapToGrid w:val="false"/>
        <w:spacing w:lineRule="auto" w:line="240"/>
        <w:ind w:firstLine="440"/>
        <w:jc w:val="both"/>
        <w:rPr>
          <w:rFonts w:ascii="Times New Roman" w:hAnsi="Times New Roman" w:eastAsia="等线"/>
          <w:color w:val="auto"/>
          <w:kern w:val="2"/>
          <w:sz w:val="22"/>
          <w:szCs w:val="22"/>
        </w:rPr>
      </w:pPr>
      <w:r>
        <w:rPr>
          <w:rFonts w:eastAsia="等线" w:ascii="Times New Roman" w:hAnsi="Times New Roman"/>
          <w:color w:val="auto"/>
          <w:kern w:val="2"/>
          <w:sz w:val="22"/>
          <w:szCs w:val="22"/>
        </w:rPr>
        <w:t>The total RNA of the inflorescences was extracted using a Plant RNA Kit (Beijing Zoman Biotechnology, Co., Ltd.). To degrade residual genomic DNA, DNase I (Qiagen, Manchester, UK) was added to the RNA. We used a microplate reader to determine the concentration of RNA. cDNA was synthesized from total RNA by using Takara cDNA kit (Code no. 6215A).</w:t>
      </w:r>
    </w:p>
    <w:p>
      <w:pPr>
        <w:pStyle w:val="Normal"/>
        <w:spacing w:before="240" w:after="60"/>
        <w:rPr>
          <w:b/>
          <w:b/>
          <w:i/>
          <w:i/>
          <w:color w:val="000000" w:themeColor="text1"/>
          <w:szCs w:val="22"/>
        </w:rPr>
      </w:pPr>
      <w:r>
        <w:rPr>
          <w:b/>
          <w:i/>
          <w:color w:val="000000" w:themeColor="text1"/>
          <w:szCs w:val="22"/>
        </w:rPr>
        <w:t>2.3 Raw read filtering, assembly, gene annotation, and DEG analysis</w:t>
      </w:r>
    </w:p>
    <w:p>
      <w:pPr>
        <w:pStyle w:val="Normal"/>
        <w:widowControl w:val="false"/>
        <w:snapToGrid w:val="false"/>
        <w:spacing w:before="0" w:after="0"/>
        <w:ind w:firstLine="440"/>
        <w:rPr>
          <w:rFonts w:eastAsia="等线"/>
          <w:kern w:val="2"/>
          <w:szCs w:val="22"/>
          <w:lang w:bidi="ar"/>
        </w:rPr>
      </w:pPr>
      <w:r>
        <w:rPr>
          <w:rFonts w:eastAsia="等线"/>
          <w:kern w:val="2"/>
          <w:szCs w:val="22"/>
          <w:lang w:bidi="ar"/>
        </w:rPr>
        <w:t>RNA-Seq library preparation and sequencing were performed by Baiqu Biotechnology Co., Ltd., Shanghai, China. All libraries were sequenced using the Sanger method on the Illumina 1.9 platform. The raw sequencing data were converted into sequence data through base calling. To ensure data quality, clean reads were filtered to obtain high-quality clean reads for subsequent analysis. The filtering conditions were as follows: (1) removal of reads containing adapters; (2) removal of reads containing &gt;10% N; and (3) removal of low-quality reads (more than 50% of the entire read for bases with a quality value of Q ≤ 20). In addition, we used the short-read matching tool Bowtie to match high-quality clean reads to the ribosome database, removing the reads from the matched ribosomes and using the retained data for transcriptome assembly and analysis. TopHat2 software was used to match reads to the NCBI castor genome (ASM1957865v1), and Cufflinks software was used to assemble the data. Cuffmerge was used to combine and filter the assembly results of multiple samples. |Log2FC (fold change) | ≥ 1 and p value &lt;0.05 were used as the thresholds to screen DEGs.</w:t>
      </w:r>
    </w:p>
    <w:p>
      <w:pPr>
        <w:pStyle w:val="Normal"/>
        <w:spacing w:before="240" w:after="60"/>
        <w:rPr>
          <w:b/>
          <w:b/>
          <w:i/>
          <w:i/>
          <w:color w:val="000000" w:themeColor="text1"/>
          <w:szCs w:val="22"/>
        </w:rPr>
      </w:pPr>
      <w:r>
        <w:rPr>
          <w:b/>
          <w:i/>
          <w:color w:val="000000" w:themeColor="text1"/>
          <w:szCs w:val="22"/>
        </w:rPr>
        <w:t>2.4 Functional annotation and gene ontology analysis</w:t>
      </w:r>
    </w:p>
    <w:p>
      <w:pPr>
        <w:pStyle w:val="Normal"/>
        <w:snapToGrid w:val="false"/>
        <w:spacing w:before="0" w:after="0"/>
        <w:ind w:firstLine="440"/>
        <w:rPr>
          <w:szCs w:val="22"/>
        </w:rPr>
      </w:pPr>
      <w:bookmarkStart w:id="10" w:name="OLE_LINK18"/>
      <w:bookmarkEnd w:id="10"/>
      <w:r>
        <w:rPr>
          <w:rFonts w:eastAsia="等线"/>
          <w:kern w:val="2"/>
          <w:szCs w:val="22"/>
          <w:lang w:bidi="ar"/>
        </w:rPr>
        <w:t xml:space="preserve">Based on the castor genome database, the </w:t>
      </w:r>
      <w:r>
        <w:rPr>
          <w:color w:val="131413"/>
          <w:kern w:val="2"/>
          <w:szCs w:val="22"/>
          <w:lang w:bidi="ar"/>
        </w:rPr>
        <w:t>f</w:t>
      </w:r>
      <w:r>
        <w:rPr>
          <w:rFonts w:eastAsia="BjsplyAdvTT3713a231"/>
          <w:color w:val="131413"/>
          <w:kern w:val="2"/>
          <w:szCs w:val="22"/>
          <w:lang w:bidi="ar"/>
        </w:rPr>
        <w:t xml:space="preserve">unctional annotations of the differentially expressed </w:t>
      </w:r>
      <w:r>
        <w:rPr>
          <w:color w:val="131413"/>
          <w:kern w:val="2"/>
          <w:szCs w:val="22"/>
          <w:lang w:bidi="ar"/>
        </w:rPr>
        <w:t xml:space="preserve">genes </w:t>
      </w:r>
      <w:r>
        <w:rPr>
          <w:rFonts w:eastAsia="BjsplyAdvTT3713a231"/>
          <w:color w:val="131413"/>
          <w:kern w:val="2"/>
          <w:szCs w:val="22"/>
          <w:lang w:bidi="ar"/>
        </w:rPr>
        <w:t xml:space="preserve">(with a fold change </w:t>
      </w:r>
      <w:r>
        <w:rPr>
          <w:rFonts w:eastAsia="YmggsxAdvTT3713a231 22"/>
          <w:color w:val="131413"/>
          <w:kern w:val="2"/>
          <w:szCs w:val="22"/>
          <w:lang w:bidi="ar"/>
        </w:rPr>
        <w:t xml:space="preserve">≥ </w:t>
      </w:r>
      <w:r>
        <w:rPr>
          <w:rFonts w:eastAsia="BjsplyAdvTT3713a231"/>
          <w:color w:val="131413"/>
          <w:kern w:val="2"/>
          <w:szCs w:val="22"/>
          <w:lang w:bidi="ar"/>
        </w:rPr>
        <w:t>2) were</w:t>
      </w:r>
      <w:r>
        <w:rPr>
          <w:color w:val="131413"/>
          <w:kern w:val="2"/>
          <w:szCs w:val="22"/>
          <w:lang w:bidi="ar"/>
        </w:rPr>
        <w:t xml:space="preserve"> </w:t>
      </w:r>
      <w:r>
        <w:rPr>
          <w:rFonts w:eastAsia="serif"/>
          <w:kern w:val="2"/>
          <w:szCs w:val="22"/>
          <w:lang w:bidi="ar"/>
        </w:rPr>
        <w:t>compared</w:t>
      </w:r>
      <w:r>
        <w:rPr>
          <w:kern w:val="2"/>
          <w:szCs w:val="22"/>
          <w:lang w:bidi="ar"/>
        </w:rPr>
        <w:t xml:space="preserve"> </w:t>
      </w:r>
      <w:r>
        <w:rPr>
          <w:rFonts w:eastAsia="serif"/>
          <w:kern w:val="2"/>
          <w:szCs w:val="22"/>
          <w:lang w:bidi="ar"/>
        </w:rPr>
        <w:t>using the BLAST</w:t>
      </w:r>
      <w:r>
        <w:rPr>
          <w:kern w:val="2"/>
          <w:szCs w:val="22"/>
          <w:lang w:bidi="ar"/>
        </w:rPr>
        <w:t xml:space="preserve"> </w:t>
      </w:r>
      <w:r>
        <w:rPr>
          <w:rFonts w:eastAsia="serif"/>
          <w:kern w:val="2"/>
          <w:szCs w:val="22"/>
          <w:lang w:bidi="ar"/>
        </w:rPr>
        <w:t>program</w:t>
      </w:r>
      <w:r>
        <w:rPr>
          <w:kern w:val="2"/>
          <w:szCs w:val="22"/>
          <w:lang w:bidi="ar"/>
        </w:rPr>
        <w:t xml:space="preserve"> </w:t>
      </w:r>
      <w:r>
        <w:rPr>
          <w:rFonts w:eastAsia="等线"/>
          <w:kern w:val="2"/>
          <w:szCs w:val="22"/>
          <w:lang w:bidi="ar"/>
        </w:rPr>
        <w:t>(</w:t>
      </w:r>
      <w:r>
        <w:rPr>
          <w:rFonts w:eastAsia="等线"/>
          <w:color w:val="000000"/>
          <w:kern w:val="2"/>
          <w:szCs w:val="22"/>
          <w:lang w:bidi="ar"/>
        </w:rPr>
        <w:t>http://eggnog5.embl.de/#/app/emapper</w:t>
      </w:r>
      <w:r>
        <w:rPr>
          <w:rFonts w:eastAsia="等线"/>
          <w:kern w:val="2"/>
          <w:szCs w:val="22"/>
          <w:lang w:bidi="ar"/>
        </w:rPr>
        <w:t>). The enrichment analysis of GO terms and KEGG annotations was evaluated by Cluster software (</w:t>
      </w:r>
      <w:r>
        <w:rPr>
          <w:rFonts w:eastAsia="MinionProRegular"/>
          <w:color w:val="131413"/>
          <w:szCs w:val="22"/>
          <w:lang w:bidi="ar"/>
        </w:rPr>
        <w:t>v8.0.27</w:t>
      </w:r>
      <w:r>
        <w:rPr>
          <w:rFonts w:eastAsia="等线"/>
          <w:kern w:val="2"/>
          <w:szCs w:val="22"/>
          <w:lang w:bidi="ar"/>
        </w:rPr>
        <w:t>).</w:t>
      </w:r>
    </w:p>
    <w:p>
      <w:pPr>
        <w:pStyle w:val="Normal"/>
        <w:spacing w:before="240" w:after="60"/>
        <w:rPr>
          <w:b/>
          <w:b/>
          <w:i/>
          <w:i/>
          <w:color w:val="000000" w:themeColor="text1"/>
          <w:szCs w:val="22"/>
        </w:rPr>
      </w:pPr>
      <w:bookmarkStart w:id="11" w:name="OLE_LINK181"/>
      <w:bookmarkEnd w:id="11"/>
      <w:r>
        <w:rPr>
          <w:b/>
          <w:i/>
          <w:color w:val="000000" w:themeColor="text1"/>
          <w:szCs w:val="22"/>
        </w:rPr>
        <w:t>2.5 Real-time quantitative PCR analysis</w:t>
      </w:r>
      <w:bookmarkStart w:id="12" w:name="OLE_LINK5"/>
      <w:bookmarkEnd w:id="12"/>
    </w:p>
    <w:p>
      <w:pPr>
        <w:pStyle w:val="Normal"/>
        <w:widowControl w:val="false"/>
        <w:snapToGrid w:val="false"/>
        <w:spacing w:before="240" w:after="60"/>
        <w:rPr>
          <w:rFonts w:eastAsia="等线"/>
          <w:kern w:val="2"/>
          <w:szCs w:val="22"/>
          <w:lang w:bidi="ar"/>
        </w:rPr>
      </w:pPr>
      <w:r>
        <w:rPr>
          <w:rFonts w:eastAsia="等线"/>
          <w:kern w:val="2"/>
          <w:szCs w:val="22"/>
          <w:lang w:bidi="ar"/>
        </w:rPr>
        <w:t xml:space="preserve">qPCR was performed in an ABI 7500 Fast real-time PCR system using SYBR Premix Ex Taq (Takara, Beijing, China). mRNA was extracted from three samples of the different inflorescence types and reverse transcribed to synthesize cDNA. Three biological replicates were performed for each inflorescence type. We used the following conditions for PCR: 95°C for 30 s, 40 cycles of 95°C for 5 s, and 60°C for 34 s. The primers for the selected qPCR genes are shown in </w:t>
      </w:r>
      <w:r>
        <w:rPr>
          <w:rFonts w:eastAsia="等线"/>
          <w:color w:val="000000" w:themeColor="text1"/>
          <w:kern w:val="2"/>
          <w:szCs w:val="22"/>
          <w:lang w:bidi="ar"/>
        </w:rPr>
        <w:t>Table S1</w:t>
      </w:r>
      <w:r>
        <w:rPr>
          <w:rFonts w:eastAsia="等线"/>
          <w:kern w:val="2"/>
          <w:szCs w:val="22"/>
          <w:lang w:bidi="ar"/>
        </w:rPr>
        <w:t>. 18S was used as an internal reference gene, and the relative quantitative method (2</w:t>
      </w:r>
      <w:r>
        <w:rPr>
          <w:rFonts w:eastAsia="等线"/>
          <w:kern w:val="2"/>
          <w:szCs w:val="22"/>
          <w:vertAlign w:val="superscript"/>
          <w:lang w:bidi="ar"/>
        </w:rPr>
        <w:t>−</w:t>
      </w:r>
      <w:r>
        <w:rPr>
          <w:kern w:val="2"/>
          <w:szCs w:val="22"/>
          <w:vertAlign w:val="superscript"/>
          <w:lang w:bidi="ar"/>
        </w:rPr>
        <w:t>△△</w:t>
      </w:r>
      <w:r>
        <w:rPr>
          <w:rFonts w:eastAsia="等线"/>
          <w:kern w:val="2"/>
          <w:szCs w:val="22"/>
          <w:vertAlign w:val="superscript"/>
          <w:lang w:bidi="ar"/>
        </w:rPr>
        <w:t>CT</w:t>
      </w:r>
      <w:r>
        <w:rPr>
          <w:rFonts w:eastAsia="等线"/>
          <w:kern w:val="2"/>
          <w:szCs w:val="22"/>
          <w:lang w:bidi="ar"/>
        </w:rPr>
        <w:t>) was used to determine gene expression.</w:t>
      </w:r>
    </w:p>
    <w:p>
      <w:pPr>
        <w:pStyle w:val="Normal"/>
        <w:widowControl w:val="false"/>
        <w:snapToGrid w:val="false"/>
        <w:spacing w:before="240" w:after="60"/>
        <w:rPr>
          <w:b/>
          <w:b/>
          <w:color w:val="000000" w:themeColor="text1"/>
          <w:szCs w:val="22"/>
        </w:rPr>
      </w:pPr>
      <w:r>
        <w:rPr>
          <w:b/>
          <w:color w:val="000000" w:themeColor="text1"/>
          <w:szCs w:val="22"/>
        </w:rPr>
        <w:t>3 Results</w:t>
      </w:r>
    </w:p>
    <w:p>
      <w:pPr>
        <w:pStyle w:val="Normal"/>
        <w:spacing w:before="240" w:after="60"/>
        <w:rPr>
          <w:b/>
          <w:b/>
          <w:i/>
          <w:i/>
          <w:color w:val="000000" w:themeColor="text1"/>
          <w:szCs w:val="22"/>
        </w:rPr>
      </w:pPr>
      <w:r>
        <w:rPr>
          <w:b/>
          <w:i/>
          <w:color w:val="000000" w:themeColor="text1"/>
          <w:szCs w:val="22"/>
        </w:rPr>
        <w:t>3.1 Morphological observation of inflorescence phenotypes</w:t>
      </w:r>
    </w:p>
    <w:p>
      <w:pPr>
        <w:pStyle w:val="Normal"/>
        <w:widowControl w:val="false"/>
        <w:snapToGrid w:val="false"/>
        <w:spacing w:before="0" w:after="0"/>
        <w:ind w:firstLine="440"/>
        <w:rPr>
          <w:rFonts w:eastAsia="等线"/>
          <w:color w:val="000000"/>
          <w:szCs w:val="22"/>
          <w:lang w:bidi="ar"/>
        </w:rPr>
      </w:pPr>
      <w:r>
        <w:rPr>
          <w:rFonts w:eastAsia="等线"/>
          <w:color w:val="000000"/>
          <w:szCs w:val="22"/>
          <w:lang w:bidi="ar"/>
        </w:rPr>
        <w:t>One generation of aLmAB2 castor with three female inflorescence types was used in this study.</w:t>
      </w:r>
      <w:r>
        <w:rPr>
          <w:color w:val="000000"/>
          <w:kern w:val="2"/>
          <w:szCs w:val="22"/>
          <w:lang w:bidi="ar"/>
        </w:rPr>
        <w:t xml:space="preserve"> </w:t>
      </w:r>
      <w:r>
        <w:rPr>
          <w:rFonts w:eastAsia="等线"/>
          <w:color w:val="000000"/>
          <w:szCs w:val="22"/>
          <w:lang w:bidi="ar"/>
        </w:rPr>
        <w:t xml:space="preserve">Among the three castor inflorescences, MI had only female flowers without willow-shaped functional leaves, and SFI developed only female flowers with willow-shaped functional leaves (Fig 1a and b). Compared with the MI and SFI types, BI had male and female flowers simultaneously (Fig 1c). </w:t>
      </w:r>
    </w:p>
    <w:p>
      <w:pPr>
        <w:pStyle w:val="Normal"/>
        <w:widowControl w:val="false"/>
        <w:snapToGrid w:val="false"/>
        <w:spacing w:before="0" w:after="0"/>
        <w:jc w:val="center"/>
        <w:rPr>
          <w:rFonts w:eastAsia="等线"/>
          <w:color w:val="000000"/>
          <w:szCs w:val="22"/>
          <w:lang w:bidi="ar"/>
        </w:rPr>
      </w:pPr>
      <w:r>
        <w:rPr/>
        <w:drawing>
          <wp:inline distT="0" distB="0" distL="0" distR="0">
            <wp:extent cx="3848100" cy="2660650"/>
            <wp:effectExtent l="0" t="0" r="0" b="0"/>
            <wp:docPr id="3" name="图片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descr=""/>
                    <pic:cNvPicPr>
                      <a:picLocks noChangeAspect="1" noChangeArrowheads="1"/>
                    </pic:cNvPicPr>
                  </pic:nvPicPr>
                  <pic:blipFill>
                    <a:blip r:embed="rId5"/>
                    <a:stretch>
                      <a:fillRect/>
                    </a:stretch>
                  </pic:blipFill>
                  <pic:spPr bwMode="auto">
                    <a:xfrm>
                      <a:off x="0" y="0"/>
                      <a:ext cx="3848100" cy="2660650"/>
                    </a:xfrm>
                    <a:prstGeom prst="rect">
                      <a:avLst/>
                    </a:prstGeom>
                  </pic:spPr>
                </pic:pic>
              </a:graphicData>
            </a:graphic>
          </wp:inline>
        </w:drawing>
      </w:r>
    </w:p>
    <w:p>
      <w:pPr>
        <w:pStyle w:val="Normal"/>
        <w:widowControl w:val="false"/>
        <w:snapToGrid w:val="false"/>
        <w:spacing w:before="0" w:after="0"/>
        <w:rPr>
          <w:rFonts w:eastAsia="等线"/>
          <w:color w:val="000000"/>
          <w:szCs w:val="22"/>
          <w:lang w:bidi="ar"/>
        </w:rPr>
      </w:pPr>
      <w:r>
        <w:rPr>
          <w:rFonts w:eastAsia="等线"/>
          <w:b/>
          <w:bCs/>
          <w:color w:val="000000" w:themeColor="text1"/>
          <w:szCs w:val="22"/>
          <w:lang w:bidi="ar"/>
        </w:rPr>
        <w:t>Figure 1</w:t>
      </w:r>
      <w:r>
        <w:rPr>
          <w:rFonts w:eastAsia="等线"/>
          <w:color w:val="000000"/>
          <w:szCs w:val="22"/>
          <w:lang w:bidi="ar"/>
        </w:rPr>
        <w:t xml:space="preserve">: Images of three inflorescence types of </w:t>
      </w:r>
      <w:r>
        <w:rPr>
          <w:rFonts w:eastAsia="等线"/>
          <w:i/>
          <w:iCs/>
          <w:color w:val="000000"/>
          <w:szCs w:val="22"/>
          <w:lang w:bidi="ar"/>
        </w:rPr>
        <w:t>Ricinus communis</w:t>
      </w:r>
      <w:r>
        <w:rPr>
          <w:rFonts w:eastAsia="等线"/>
          <w:color w:val="000000"/>
          <w:szCs w:val="22"/>
          <w:lang w:bidi="ar"/>
        </w:rPr>
        <w:t xml:space="preserve"> L. a, Complete pistil without willow leaves (MI). b, Complete pistil with willow leaves (SFI). c, Monoecious inflorescence (BI).  </w:t>
      </w:r>
    </w:p>
    <w:p>
      <w:pPr>
        <w:pStyle w:val="Normal"/>
        <w:spacing w:before="240" w:after="60"/>
        <w:rPr>
          <w:b/>
          <w:b/>
          <w:i/>
          <w:i/>
          <w:color w:val="000000" w:themeColor="text1"/>
          <w:szCs w:val="22"/>
        </w:rPr>
      </w:pPr>
      <w:r>
        <w:rPr>
          <w:b/>
          <w:i/>
          <w:color w:val="000000" w:themeColor="text1"/>
          <w:szCs w:val="22"/>
        </w:rPr>
        <w:t>3.2 Quality verification of the transcriptome sequencing data</w:t>
      </w:r>
    </w:p>
    <w:p>
      <w:pPr>
        <w:pStyle w:val="Normal"/>
        <w:shd w:val="clear" w:color="auto" w:fill="FFFFFF"/>
        <w:snapToGrid w:val="false"/>
        <w:spacing w:before="0" w:after="0"/>
        <w:ind w:firstLine="482"/>
        <w:rPr>
          <w:color w:val="222222"/>
          <w:szCs w:val="22"/>
          <w:highlight w:val="white"/>
          <w:lang w:bidi="ar"/>
        </w:rPr>
      </w:pPr>
      <w:r>
        <w:rPr>
          <w:rFonts w:eastAsia="等线"/>
          <w:kern w:val="2"/>
          <w:szCs w:val="22"/>
          <w:shd w:fill="FFFFFF" w:val="clear"/>
          <w:lang w:bidi="ar"/>
        </w:rPr>
        <w:t xml:space="preserve">To study the systematic regulatory mechanism of transcriptional responses in the three castor inflorescence types at the </w:t>
      </w:r>
      <w:r>
        <w:rPr>
          <w:rFonts w:eastAsia="等线"/>
          <w:color w:val="000000" w:themeColor="text1"/>
          <w:kern w:val="2"/>
          <w:szCs w:val="22"/>
          <w:shd w:fill="FFFFFF" w:val="clear"/>
          <w:lang w:bidi="ar"/>
        </w:rPr>
        <w:t>five-leaf stage</w:t>
      </w:r>
      <w:r>
        <w:rPr>
          <w:rFonts w:eastAsia="等线"/>
          <w:kern w:val="2"/>
          <w:szCs w:val="22"/>
          <w:shd w:fill="FFFFFF" w:val="clear"/>
          <w:lang w:bidi="ar"/>
        </w:rPr>
        <w:t xml:space="preserve">, RNA-Seq experiments were performed in this study. We filtered out the adapters and low-quality reads. Through Illumina high-throughput sequencing, a total of 9 libraries were sequenced. RNA-Seq of 9 castor inflorescence samples yielded 4.4–6.6 million clean reads. The clean reads were filtered to obtain more than 98.58% of the high-quality clean reads (Table 1). </w:t>
      </w:r>
      <w:r>
        <w:rPr>
          <w:color w:val="000000"/>
          <w:szCs w:val="22"/>
          <w:shd w:fill="FFFFFF" w:val="clear"/>
          <w:lang w:bidi="ar"/>
        </w:rPr>
        <w:t>In</w:t>
      </w:r>
      <w:r>
        <w:rPr>
          <w:color w:val="000000" w:themeColor="text1"/>
          <w:szCs w:val="22"/>
          <w:shd w:fill="FFFFFF" w:val="clear"/>
          <w:lang w:bidi="ar"/>
        </w:rPr>
        <w:t xml:space="preserve"> </w:t>
      </w:r>
      <w:r>
        <w:fldChar w:fldCharType="begin"/>
      </w:r>
      <w:r>
        <w:rPr>
          <w:rStyle w:val="InternetLink"/>
          <w:u w:val="none"/>
          <w:szCs w:val="22"/>
          <w:bCs/>
          <w:highlight w:val="white"/>
          <w:color w:val="000000"/>
        </w:rPr>
        <w:instrText> HYPERLINK "https://www.mdpi.com/1422-0067/22/15/8128/htm" \l "table_body_display_ijms-22-08128-t001"</w:instrText>
      </w:r>
      <w:r>
        <w:rPr>
          <w:rStyle w:val="InternetLink"/>
          <w:u w:val="none"/>
          <w:szCs w:val="22"/>
          <w:bCs/>
          <w:highlight w:val="white"/>
          <w:color w:val="000000"/>
        </w:rPr>
        <w:fldChar w:fldCharType="separate"/>
      </w:r>
      <w:r>
        <w:rPr>
          <w:rStyle w:val="InternetLink"/>
          <w:bCs/>
          <w:color w:val="000000" w:themeColor="text1"/>
          <w:szCs w:val="22"/>
          <w:highlight w:val="white"/>
          <w:u w:val="none"/>
        </w:rPr>
        <w:t>Table 1</w:t>
      </w:r>
      <w:r>
        <w:rPr>
          <w:rStyle w:val="InternetLink"/>
          <w:u w:val="none"/>
          <w:szCs w:val="22"/>
          <w:bCs/>
          <w:highlight w:val="white"/>
          <w:color w:val="000000"/>
        </w:rPr>
        <w:fldChar w:fldCharType="end"/>
      </w:r>
      <w:r>
        <w:rPr>
          <w:color w:val="000000"/>
          <w:szCs w:val="22"/>
          <w:shd w:fill="FFFFFF" w:val="clear"/>
          <w:lang w:bidi="ar"/>
        </w:rPr>
        <w:t xml:space="preserve">, 683–971 </w:t>
      </w:r>
      <w:r>
        <w:rPr>
          <w:color w:val="222222"/>
          <w:szCs w:val="22"/>
          <w:shd w:fill="FFFFFF" w:val="clear"/>
          <w:lang w:bidi="ar"/>
        </w:rPr>
        <w:t xml:space="preserve">million clean reads were obtained, and more than 97% of the reads showed high-quality values (≥ Q20). The Q30 base distribution percentage ranged from 96.79% to 96.94%. </w:t>
      </w:r>
      <w:r>
        <w:rPr>
          <w:rFonts w:eastAsia="MinionPro-Regular"/>
          <w:color w:val="000000"/>
          <w:szCs w:val="22"/>
          <w:shd w:fill="FFFFFF" w:val="clear"/>
          <w:lang w:bidi="ar"/>
        </w:rPr>
        <w:t>The GC content was above 43%. These data indicated that the quality of the transcriptome sequencing data</w:t>
      </w:r>
      <w:r>
        <w:rPr>
          <w:color w:val="000000"/>
          <w:szCs w:val="22"/>
          <w:shd w:fill="FFFFFF" w:val="clear"/>
          <w:lang w:bidi="ar"/>
        </w:rPr>
        <w:t xml:space="preserve"> </w:t>
      </w:r>
      <w:r>
        <w:rPr>
          <w:rFonts w:eastAsia="MinionPro-Regular"/>
          <w:color w:val="000000"/>
          <w:szCs w:val="22"/>
          <w:shd w:fill="FFFFFF" w:val="clear"/>
          <w:lang w:bidi="ar"/>
        </w:rPr>
        <w:t>was relatively high and reliable for further analysis</w:t>
      </w:r>
      <w:r>
        <w:rPr>
          <w:color w:val="222222"/>
          <w:szCs w:val="22"/>
          <w:shd w:fill="FFFFFF" w:val="clear"/>
          <w:lang w:bidi="ar"/>
        </w:rPr>
        <w:t>.</w:t>
      </w:r>
    </w:p>
    <w:p>
      <w:pPr>
        <w:pStyle w:val="Normal"/>
        <w:spacing w:before="240" w:after="60"/>
        <w:rPr>
          <w:b/>
          <w:b/>
          <w:i/>
          <w:i/>
          <w:color w:val="000000" w:themeColor="text1"/>
          <w:szCs w:val="22"/>
        </w:rPr>
      </w:pPr>
      <w:r>
        <w:rPr>
          <w:b/>
          <w:i/>
          <w:color w:val="000000" w:themeColor="text1"/>
          <w:szCs w:val="22"/>
        </w:rPr>
        <w:t>3.3 Differential gene expression analysis</w:t>
      </w:r>
    </w:p>
    <w:p>
      <w:pPr>
        <w:pStyle w:val="Normal"/>
        <w:snapToGrid w:val="false"/>
        <w:spacing w:before="0" w:after="0"/>
        <w:ind w:firstLine="440"/>
        <w:rPr>
          <w:color w:val="222222"/>
          <w:szCs w:val="22"/>
        </w:rPr>
      </w:pPr>
      <w:r>
        <w:rPr>
          <w:color w:val="222222"/>
          <w:szCs w:val="22"/>
          <w:lang w:bidi="ar"/>
        </w:rPr>
        <w:t>According to the transcriptome data obtained for the three inflorescence types, a total of 378 genes were detected according to</w:t>
      </w:r>
      <w:r>
        <w:rPr>
          <w:color w:val="000000"/>
          <w:szCs w:val="22"/>
          <w:lang w:bidi="ar"/>
        </w:rPr>
        <w:t xml:space="preserve"> log</w:t>
      </w:r>
      <w:r>
        <w:rPr>
          <w:color w:val="000000"/>
          <w:szCs w:val="22"/>
          <w:vertAlign w:val="subscript"/>
          <w:lang w:bidi="ar"/>
        </w:rPr>
        <w:t>2</w:t>
      </w:r>
      <w:r>
        <w:rPr>
          <w:color w:val="000000"/>
          <w:szCs w:val="22"/>
          <w:lang w:bidi="ar"/>
        </w:rPr>
        <w:t>fold change &gt; 1 and FDR &lt; 0.05 (</w:t>
      </w:r>
      <w:r>
        <w:fldChar w:fldCharType="begin"/>
      </w:r>
      <w:r>
        <w:rPr>
          <w:rStyle w:val="InternetLink"/>
          <w:u w:val="none"/>
          <w:szCs w:val="22"/>
          <w:color w:val="000000"/>
        </w:rPr>
        <w:instrText> HYPERLINK "https://www.mdpi.com/1422-0067/22/15/8128/htm" \l "table_body_display_ijms-22-08128-t002"</w:instrText>
      </w:r>
      <w:r>
        <w:rPr>
          <w:rStyle w:val="InternetLink"/>
          <w:u w:val="none"/>
          <w:szCs w:val="22"/>
          <w:color w:val="000000"/>
        </w:rPr>
        <w:fldChar w:fldCharType="separate"/>
      </w:r>
      <w:r>
        <w:rPr>
          <w:rStyle w:val="InternetLink"/>
          <w:color w:val="000000" w:themeColor="text1"/>
          <w:szCs w:val="22"/>
          <w:u w:val="none"/>
        </w:rPr>
        <w:t>Table S2</w:t>
      </w:r>
      <w:r>
        <w:rPr>
          <w:rStyle w:val="InternetLink"/>
          <w:u w:val="none"/>
          <w:szCs w:val="22"/>
          <w:color w:val="000000"/>
        </w:rPr>
        <w:fldChar w:fldCharType="end"/>
      </w:r>
      <w:r>
        <w:rPr>
          <w:color w:val="000000"/>
          <w:szCs w:val="22"/>
          <w:lang w:bidi="ar"/>
        </w:rPr>
        <w:t xml:space="preserve"> and Fig 2). </w:t>
      </w:r>
      <w:r>
        <w:rPr>
          <w:rFonts w:eastAsia="等线"/>
          <w:szCs w:val="22"/>
          <w:lang w:bidi="ar"/>
        </w:rPr>
        <w:t>A total of 290 and 89 differentially expressed genes (DEGs) were found in the SFI and BI, respectively, compared to the MI</w:t>
      </w:r>
      <w:r>
        <w:rPr>
          <w:color w:val="222222"/>
          <w:szCs w:val="22"/>
          <w:lang w:bidi="ar"/>
        </w:rPr>
        <w:t xml:space="preserve">. Among them, 104 and 88 DEGs were upregulated in the </w:t>
      </w:r>
      <w:r>
        <w:rPr>
          <w:rFonts w:eastAsia="等线"/>
          <w:szCs w:val="22"/>
          <w:lang w:bidi="ar"/>
        </w:rPr>
        <w:t xml:space="preserve">SFI and </w:t>
      </w:r>
      <w:r>
        <w:rPr>
          <w:color w:val="222222"/>
          <w:szCs w:val="22"/>
          <w:lang w:bidi="ar"/>
        </w:rPr>
        <w:t xml:space="preserve">the </w:t>
      </w:r>
      <w:r>
        <w:rPr>
          <w:rFonts w:eastAsia="等线"/>
          <w:szCs w:val="22"/>
          <w:lang w:bidi="ar"/>
        </w:rPr>
        <w:t>BI, respectively,</w:t>
      </w:r>
      <w:r>
        <w:rPr>
          <w:color w:val="222222"/>
          <w:szCs w:val="22"/>
          <w:lang w:bidi="ar"/>
        </w:rPr>
        <w:t xml:space="preserve"> compared to the </w:t>
      </w:r>
      <w:r>
        <w:rPr>
          <w:rFonts w:eastAsia="等线"/>
          <w:szCs w:val="22"/>
          <w:lang w:bidi="ar"/>
        </w:rPr>
        <w:t xml:space="preserve">MI. </w:t>
      </w:r>
      <w:r>
        <w:rPr>
          <w:color w:val="222222"/>
          <w:szCs w:val="22"/>
          <w:lang w:bidi="ar"/>
        </w:rPr>
        <w:t xml:space="preserve">In addition, 186 DEGs and 1 DEG were downregulated in the </w:t>
      </w:r>
      <w:r>
        <w:rPr>
          <w:rFonts w:eastAsia="等线"/>
          <w:szCs w:val="22"/>
          <w:lang w:bidi="ar"/>
        </w:rPr>
        <w:t>SFI and BI groups</w:t>
      </w:r>
      <w:r>
        <w:rPr>
          <w:color w:val="222222"/>
          <w:szCs w:val="22"/>
          <w:lang w:bidi="ar"/>
        </w:rPr>
        <w:t xml:space="preserve"> compared to the </w:t>
      </w:r>
      <w:r>
        <w:rPr>
          <w:rFonts w:eastAsia="等线"/>
          <w:szCs w:val="22"/>
          <w:lang w:bidi="ar"/>
        </w:rPr>
        <w:t>MI groups</w:t>
      </w:r>
      <w:r>
        <w:rPr>
          <w:color w:val="222222"/>
          <w:szCs w:val="22"/>
          <w:lang w:bidi="ar"/>
        </w:rPr>
        <w:t>. The number of DEGs identified in the overlapping relationships among the three groups is listed in the Venn diagram of the DEGs (Fig 2).</w:t>
      </w:r>
    </w:p>
    <w:p>
      <w:pPr>
        <w:pStyle w:val="Normal"/>
        <w:spacing w:before="240" w:after="60"/>
        <w:rPr>
          <w:bCs/>
          <w:iCs/>
          <w:color w:val="000000" w:themeColor="text1"/>
          <w:szCs w:val="22"/>
        </w:rPr>
      </w:pPr>
      <w:r>
        <w:rPr>
          <w:b/>
          <w:iCs/>
          <w:color w:val="000000" w:themeColor="text1"/>
          <w:szCs w:val="22"/>
        </w:rPr>
        <w:t xml:space="preserve">Table 1: </w:t>
      </w:r>
      <w:r>
        <w:rPr>
          <w:bCs/>
          <w:iCs/>
          <w:color w:val="000000" w:themeColor="text1"/>
          <w:szCs w:val="22"/>
        </w:rPr>
        <w:t>The quality statistics of the filtered reads</w:t>
      </w:r>
    </w:p>
    <w:tbl>
      <w:tblPr>
        <w:tblStyle w:val="ab"/>
        <w:tblW w:w="9493" w:type="dxa"/>
        <w:jc w:val="center"/>
        <w:tblInd w:w="0" w:type="dxa"/>
        <w:tblCellMar>
          <w:top w:w="0" w:type="dxa"/>
          <w:left w:w="108" w:type="dxa"/>
          <w:bottom w:w="0" w:type="dxa"/>
          <w:right w:w="108" w:type="dxa"/>
        </w:tblCellMar>
        <w:tblLook w:val="04a0" w:noHBand="0" w:noVBand="1" w:firstColumn="1" w:lastRow="0" w:lastColumn="0" w:firstRow="1"/>
      </w:tblPr>
      <w:tblGrid>
        <w:gridCol w:w="880"/>
        <w:gridCol w:w="1666"/>
        <w:gridCol w:w="2288"/>
        <w:gridCol w:w="2260"/>
        <w:gridCol w:w="2399"/>
      </w:tblGrid>
      <w:tr>
        <w:trPr>
          <w:trHeight w:val="488" w:hRule="atLeast"/>
        </w:trPr>
        <w:tc>
          <w:tcPr>
            <w:tcW w:w="880" w:type="dxa"/>
            <w:tcBorders>
              <w:left w:val="nil"/>
              <w:right w:val="nil"/>
            </w:tcBorders>
            <w:vAlign w:val="center"/>
          </w:tcPr>
          <w:p>
            <w:pPr>
              <w:pStyle w:val="Normal"/>
              <w:spacing w:before="0" w:after="60"/>
              <w:jc w:val="center"/>
              <w:rPr>
                <w:rFonts w:eastAsia="MinionPro-Bold"/>
                <w:sz w:val="21"/>
              </w:rPr>
            </w:pPr>
            <w:r>
              <w:rPr>
                <w:rFonts w:eastAsia="MinionPro-Bold"/>
              </w:rPr>
              <w:t>Sample</w:t>
            </w:r>
          </w:p>
        </w:tc>
        <w:tc>
          <w:tcPr>
            <w:tcW w:w="1666" w:type="dxa"/>
            <w:tcBorders>
              <w:left w:val="nil"/>
              <w:right w:val="nil"/>
            </w:tcBorders>
            <w:vAlign w:val="center"/>
          </w:tcPr>
          <w:p>
            <w:pPr>
              <w:pStyle w:val="Normal"/>
              <w:spacing w:before="0" w:after="60"/>
              <w:jc w:val="center"/>
              <w:rPr>
                <w:rFonts w:eastAsia="MinionPro-Bold"/>
              </w:rPr>
            </w:pPr>
            <w:r>
              <w:rPr>
                <w:rFonts w:eastAsia="MinionPro-Bold"/>
              </w:rPr>
              <w:t>Clean data (bp)</w:t>
            </w:r>
          </w:p>
        </w:tc>
        <w:tc>
          <w:tcPr>
            <w:tcW w:w="2288" w:type="dxa"/>
            <w:tcBorders>
              <w:left w:val="nil"/>
              <w:right w:val="nil"/>
            </w:tcBorders>
            <w:vAlign w:val="center"/>
          </w:tcPr>
          <w:p>
            <w:pPr>
              <w:pStyle w:val="Normal"/>
              <w:spacing w:before="0" w:after="60"/>
              <w:jc w:val="center"/>
              <w:rPr>
                <w:rFonts w:eastAsia="MinionPro-Bold"/>
              </w:rPr>
            </w:pPr>
            <w:r>
              <w:rPr>
                <w:rFonts w:eastAsia="MinionPro-Bold"/>
              </w:rPr>
              <w:t>Q20 (%)</w:t>
            </w:r>
          </w:p>
        </w:tc>
        <w:tc>
          <w:tcPr>
            <w:tcW w:w="2260" w:type="dxa"/>
            <w:tcBorders>
              <w:left w:val="nil"/>
              <w:right w:val="nil"/>
            </w:tcBorders>
            <w:vAlign w:val="center"/>
          </w:tcPr>
          <w:p>
            <w:pPr>
              <w:pStyle w:val="Normal"/>
              <w:spacing w:before="0" w:after="60"/>
              <w:jc w:val="center"/>
              <w:rPr>
                <w:rFonts w:eastAsia="MinionPro-Bold"/>
              </w:rPr>
            </w:pPr>
            <w:r>
              <w:rPr>
                <w:rFonts w:eastAsia="MinionPro-Bold"/>
              </w:rPr>
              <w:t>Q30 (%)</w:t>
            </w:r>
          </w:p>
        </w:tc>
        <w:tc>
          <w:tcPr>
            <w:tcW w:w="2399" w:type="dxa"/>
            <w:tcBorders>
              <w:left w:val="nil"/>
              <w:right w:val="nil"/>
            </w:tcBorders>
            <w:vAlign w:val="center"/>
          </w:tcPr>
          <w:p>
            <w:pPr>
              <w:pStyle w:val="Normal"/>
              <w:spacing w:before="0" w:after="60"/>
              <w:jc w:val="center"/>
              <w:rPr>
                <w:rFonts w:eastAsia="MinionPro-Bold"/>
              </w:rPr>
            </w:pPr>
            <w:r>
              <w:rPr>
                <w:rFonts w:eastAsia="MinionPro-Bold"/>
              </w:rPr>
              <w:t>GC (%)</w:t>
            </w:r>
          </w:p>
        </w:tc>
      </w:tr>
      <w:tr>
        <w:trPr/>
        <w:tc>
          <w:tcPr>
            <w:tcW w:w="880" w:type="dxa"/>
            <w:tcBorders>
              <w:left w:val="nil"/>
              <w:bottom w:val="nil"/>
              <w:right w:val="nil"/>
            </w:tcBorders>
          </w:tcPr>
          <w:p>
            <w:pPr>
              <w:pStyle w:val="Normal"/>
              <w:snapToGrid w:val="false"/>
              <w:spacing w:lineRule="auto" w:line="360" w:before="0" w:after="60"/>
              <w:rPr>
                <w:rFonts w:eastAsia="MinionPro-Bold"/>
                <w:bCs/>
              </w:rPr>
            </w:pPr>
            <w:r>
              <w:rPr>
                <w:rFonts w:eastAsia="Times New Roman"/>
                <w:bCs/>
              </w:rPr>
              <w:t>S</w:t>
            </w:r>
            <w:r>
              <w:rPr>
                <w:rFonts w:eastAsia="MinionPro-Bold"/>
                <w:bCs/>
              </w:rPr>
              <w:t>FI-1</w:t>
            </w:r>
          </w:p>
        </w:tc>
        <w:tc>
          <w:tcPr>
            <w:tcW w:w="1666" w:type="dxa"/>
            <w:tcBorders>
              <w:left w:val="nil"/>
              <w:bottom w:val="nil"/>
              <w:right w:val="nil"/>
            </w:tcBorders>
          </w:tcPr>
          <w:p>
            <w:pPr>
              <w:pStyle w:val="Normal"/>
              <w:snapToGrid w:val="false"/>
              <w:spacing w:lineRule="auto" w:line="360" w:before="0" w:after="60"/>
              <w:rPr>
                <w:rFonts w:eastAsia="MinionPro-Bold"/>
                <w:bCs/>
              </w:rPr>
            </w:pPr>
            <w:r>
              <w:rPr>
                <w:rFonts w:eastAsia="MinionPro-Bold"/>
                <w:bCs/>
              </w:rPr>
              <w:t>7834861379</w:t>
            </w:r>
          </w:p>
        </w:tc>
        <w:tc>
          <w:tcPr>
            <w:tcW w:w="2288" w:type="dxa"/>
            <w:tcBorders>
              <w:left w:val="nil"/>
              <w:bottom w:val="nil"/>
              <w:right w:val="nil"/>
            </w:tcBorders>
          </w:tcPr>
          <w:p>
            <w:pPr>
              <w:pStyle w:val="Normal"/>
              <w:snapToGrid w:val="false"/>
              <w:spacing w:lineRule="auto" w:line="360" w:before="0" w:after="60"/>
              <w:rPr>
                <w:rFonts w:eastAsia="MinionPro-Bold"/>
                <w:bCs/>
              </w:rPr>
            </w:pPr>
            <w:r>
              <w:rPr>
                <w:rFonts w:eastAsia="MinionPro-Bold"/>
                <w:bCs/>
              </w:rPr>
              <w:t>7752322090 (98.95%)</w:t>
            </w:r>
          </w:p>
        </w:tc>
        <w:tc>
          <w:tcPr>
            <w:tcW w:w="2260" w:type="dxa"/>
            <w:tcBorders>
              <w:left w:val="nil"/>
              <w:bottom w:val="nil"/>
              <w:right w:val="nil"/>
            </w:tcBorders>
          </w:tcPr>
          <w:p>
            <w:pPr>
              <w:pStyle w:val="Normal"/>
              <w:snapToGrid w:val="false"/>
              <w:spacing w:lineRule="auto" w:line="360" w:before="0" w:after="60"/>
              <w:rPr>
                <w:rFonts w:eastAsia="MinionPro-Bold"/>
                <w:bCs/>
              </w:rPr>
            </w:pPr>
            <w:r>
              <w:rPr>
                <w:rFonts w:eastAsia="MinionPro-Bold"/>
                <w:bCs/>
              </w:rPr>
              <w:t>7583418113 (96.79%)</w:t>
            </w:r>
          </w:p>
        </w:tc>
        <w:tc>
          <w:tcPr>
            <w:tcW w:w="2399" w:type="dxa"/>
            <w:tcBorders>
              <w:left w:val="nil"/>
              <w:bottom w:val="nil"/>
              <w:right w:val="nil"/>
            </w:tcBorders>
          </w:tcPr>
          <w:p>
            <w:pPr>
              <w:pStyle w:val="Normal"/>
              <w:snapToGrid w:val="false"/>
              <w:spacing w:lineRule="auto" w:line="360" w:before="0" w:after="60"/>
              <w:rPr>
                <w:rFonts w:eastAsia="MinionPro-Bold"/>
                <w:bCs/>
              </w:rPr>
            </w:pPr>
            <w:r>
              <w:rPr>
                <w:rFonts w:eastAsia="MinionPro-Bold"/>
                <w:bCs/>
              </w:rPr>
              <w:t>3448080233 (44.01%)</w:t>
            </w:r>
          </w:p>
        </w:tc>
      </w:tr>
      <w:tr>
        <w:trPr/>
        <w:tc>
          <w:tcPr>
            <w:tcW w:w="880" w:type="dxa"/>
            <w:tcBorders>
              <w:top w:val="nil"/>
              <w:left w:val="nil"/>
              <w:bottom w:val="nil"/>
              <w:right w:val="nil"/>
            </w:tcBorders>
          </w:tcPr>
          <w:p>
            <w:pPr>
              <w:pStyle w:val="Normal"/>
              <w:snapToGrid w:val="false"/>
              <w:spacing w:lineRule="auto" w:line="360" w:before="0" w:after="60"/>
              <w:rPr>
                <w:rFonts w:eastAsia="MinionPro-Bold"/>
                <w:bCs/>
              </w:rPr>
            </w:pPr>
            <w:r>
              <w:rPr>
                <w:rFonts w:eastAsia="Times New Roman"/>
                <w:bCs/>
              </w:rPr>
              <w:t>S</w:t>
            </w:r>
            <w:r>
              <w:rPr>
                <w:rFonts w:eastAsia="MinionPro-Bold"/>
                <w:bCs/>
              </w:rPr>
              <w:t>FI-2</w:t>
            </w:r>
          </w:p>
        </w:tc>
        <w:tc>
          <w:tcPr>
            <w:tcW w:w="1666" w:type="dxa"/>
            <w:tcBorders>
              <w:top w:val="nil"/>
              <w:left w:val="nil"/>
              <w:bottom w:val="nil"/>
              <w:right w:val="nil"/>
            </w:tcBorders>
          </w:tcPr>
          <w:p>
            <w:pPr>
              <w:pStyle w:val="Normal"/>
              <w:snapToGrid w:val="false"/>
              <w:spacing w:lineRule="auto" w:line="360" w:before="0" w:after="60"/>
              <w:rPr>
                <w:rFonts w:eastAsia="MinionPro-Bold"/>
                <w:bCs/>
              </w:rPr>
            </w:pPr>
            <w:r>
              <w:rPr>
                <w:rFonts w:eastAsia="MinionPro-Bold"/>
                <w:bCs/>
              </w:rPr>
              <w:t>6834688505</w:t>
            </w:r>
          </w:p>
        </w:tc>
        <w:tc>
          <w:tcPr>
            <w:tcW w:w="2288" w:type="dxa"/>
            <w:tcBorders>
              <w:top w:val="nil"/>
              <w:left w:val="nil"/>
              <w:bottom w:val="nil"/>
              <w:right w:val="nil"/>
            </w:tcBorders>
          </w:tcPr>
          <w:p>
            <w:pPr>
              <w:pStyle w:val="Normal"/>
              <w:snapToGrid w:val="false"/>
              <w:spacing w:lineRule="auto" w:line="360" w:before="0" w:after="60"/>
              <w:rPr>
                <w:rFonts w:eastAsia="MinionPro-Bold"/>
                <w:bCs/>
              </w:rPr>
            </w:pPr>
            <w:r>
              <w:rPr>
                <w:rFonts w:eastAsia="MinionPro-Bold"/>
                <w:bCs/>
              </w:rPr>
              <w:t>6766587589 (99.00%)</w:t>
            </w:r>
          </w:p>
        </w:tc>
        <w:tc>
          <w:tcPr>
            <w:tcW w:w="2260" w:type="dxa"/>
            <w:tcBorders>
              <w:top w:val="nil"/>
              <w:left w:val="nil"/>
              <w:bottom w:val="nil"/>
              <w:right w:val="nil"/>
            </w:tcBorders>
          </w:tcPr>
          <w:p>
            <w:pPr>
              <w:pStyle w:val="Normal"/>
              <w:snapToGrid w:val="false"/>
              <w:spacing w:lineRule="auto" w:line="360" w:before="0" w:after="60"/>
              <w:rPr>
                <w:rFonts w:eastAsia="MinionPro-Bold"/>
                <w:bCs/>
              </w:rPr>
            </w:pPr>
            <w:r>
              <w:rPr>
                <w:rFonts w:eastAsia="MinionPro-Bold"/>
                <w:bCs/>
              </w:rPr>
              <w:t>6624706889 (96.93%)</w:t>
            </w:r>
          </w:p>
        </w:tc>
        <w:tc>
          <w:tcPr>
            <w:tcW w:w="2399" w:type="dxa"/>
            <w:tcBorders>
              <w:top w:val="nil"/>
              <w:left w:val="nil"/>
              <w:bottom w:val="nil"/>
              <w:right w:val="nil"/>
            </w:tcBorders>
          </w:tcPr>
          <w:p>
            <w:pPr>
              <w:pStyle w:val="Normal"/>
              <w:snapToGrid w:val="false"/>
              <w:spacing w:lineRule="auto" w:line="360" w:before="0" w:after="60"/>
              <w:rPr>
                <w:rFonts w:eastAsia="MinionPro-Bold"/>
                <w:bCs/>
              </w:rPr>
            </w:pPr>
            <w:r>
              <w:rPr>
                <w:rFonts w:eastAsia="MinionPro-Bold"/>
                <w:bCs/>
              </w:rPr>
              <w:t>2988443403 (43.72%)</w:t>
            </w:r>
          </w:p>
        </w:tc>
      </w:tr>
      <w:tr>
        <w:trPr/>
        <w:tc>
          <w:tcPr>
            <w:tcW w:w="880" w:type="dxa"/>
            <w:tcBorders>
              <w:top w:val="nil"/>
              <w:left w:val="nil"/>
              <w:bottom w:val="nil"/>
              <w:right w:val="nil"/>
            </w:tcBorders>
          </w:tcPr>
          <w:p>
            <w:pPr>
              <w:pStyle w:val="Normal"/>
              <w:snapToGrid w:val="false"/>
              <w:spacing w:lineRule="auto" w:line="360" w:before="0" w:after="60"/>
              <w:rPr>
                <w:rFonts w:eastAsia="MinionPro-Bold"/>
                <w:bCs/>
              </w:rPr>
            </w:pPr>
            <w:r>
              <w:rPr>
                <w:rFonts w:eastAsia="Times New Roman"/>
                <w:bCs/>
              </w:rPr>
              <w:t>S</w:t>
            </w:r>
            <w:r>
              <w:rPr>
                <w:rFonts w:eastAsia="MinionPro-Bold"/>
                <w:bCs/>
              </w:rPr>
              <w:t>FI-3</w:t>
            </w:r>
          </w:p>
        </w:tc>
        <w:tc>
          <w:tcPr>
            <w:tcW w:w="1666" w:type="dxa"/>
            <w:tcBorders>
              <w:top w:val="nil"/>
              <w:left w:val="nil"/>
              <w:bottom w:val="nil"/>
              <w:right w:val="nil"/>
            </w:tcBorders>
          </w:tcPr>
          <w:p>
            <w:pPr>
              <w:pStyle w:val="Normal"/>
              <w:snapToGrid w:val="false"/>
              <w:spacing w:lineRule="auto" w:line="360" w:before="0" w:after="60"/>
              <w:rPr>
                <w:rFonts w:eastAsia="MinionPro-Bold"/>
                <w:bCs/>
              </w:rPr>
            </w:pPr>
            <w:r>
              <w:rPr>
                <w:rFonts w:eastAsia="MinionPro-Bold"/>
                <w:bCs/>
              </w:rPr>
              <w:t>7953699784</w:t>
            </w:r>
          </w:p>
        </w:tc>
        <w:tc>
          <w:tcPr>
            <w:tcW w:w="2288" w:type="dxa"/>
            <w:tcBorders>
              <w:top w:val="nil"/>
              <w:left w:val="nil"/>
              <w:bottom w:val="nil"/>
              <w:right w:val="nil"/>
            </w:tcBorders>
          </w:tcPr>
          <w:p>
            <w:pPr>
              <w:pStyle w:val="Normal"/>
              <w:snapToGrid w:val="false"/>
              <w:spacing w:lineRule="auto" w:line="360" w:before="0" w:after="60"/>
              <w:rPr>
                <w:rFonts w:eastAsia="MinionPro-Bold"/>
                <w:bCs/>
              </w:rPr>
            </w:pPr>
            <w:r>
              <w:rPr>
                <w:rFonts w:eastAsia="MinionPro-Bold"/>
                <w:bCs/>
              </w:rPr>
              <w:t>7873710219 (98.99%)</w:t>
            </w:r>
          </w:p>
        </w:tc>
        <w:tc>
          <w:tcPr>
            <w:tcW w:w="2260" w:type="dxa"/>
            <w:tcBorders>
              <w:top w:val="nil"/>
              <w:left w:val="nil"/>
              <w:bottom w:val="nil"/>
              <w:right w:val="nil"/>
            </w:tcBorders>
          </w:tcPr>
          <w:p>
            <w:pPr>
              <w:pStyle w:val="Normal"/>
              <w:snapToGrid w:val="false"/>
              <w:spacing w:lineRule="auto" w:line="360" w:before="0" w:after="60"/>
              <w:rPr>
                <w:rFonts w:eastAsia="MinionPro-Bold"/>
                <w:bCs/>
              </w:rPr>
            </w:pPr>
            <w:r>
              <w:rPr>
                <w:rFonts w:eastAsia="MinionPro-Bold"/>
                <w:bCs/>
              </w:rPr>
              <w:t>7708009285 (96.91%)</w:t>
            </w:r>
          </w:p>
        </w:tc>
        <w:tc>
          <w:tcPr>
            <w:tcW w:w="2399" w:type="dxa"/>
            <w:tcBorders>
              <w:top w:val="nil"/>
              <w:left w:val="nil"/>
              <w:bottom w:val="nil"/>
              <w:right w:val="nil"/>
            </w:tcBorders>
          </w:tcPr>
          <w:p>
            <w:pPr>
              <w:pStyle w:val="Normal"/>
              <w:snapToGrid w:val="false"/>
              <w:spacing w:lineRule="auto" w:line="360" w:before="0" w:after="60"/>
              <w:rPr>
                <w:rFonts w:eastAsia="MinionPro-Bold"/>
                <w:bCs/>
              </w:rPr>
            </w:pPr>
            <w:r>
              <w:rPr>
                <w:rFonts w:eastAsia="MinionPro-Bold"/>
                <w:bCs/>
              </w:rPr>
              <w:t>3494572349 (43.94%)</w:t>
            </w:r>
          </w:p>
        </w:tc>
      </w:tr>
      <w:tr>
        <w:trPr/>
        <w:tc>
          <w:tcPr>
            <w:tcW w:w="880" w:type="dxa"/>
            <w:tcBorders>
              <w:top w:val="nil"/>
              <w:left w:val="nil"/>
              <w:bottom w:val="nil"/>
              <w:right w:val="nil"/>
            </w:tcBorders>
          </w:tcPr>
          <w:p>
            <w:pPr>
              <w:pStyle w:val="Normal"/>
              <w:snapToGrid w:val="false"/>
              <w:spacing w:lineRule="auto" w:line="360" w:before="0" w:after="60"/>
              <w:rPr>
                <w:rFonts w:eastAsia="MinionPro-Bold"/>
                <w:bCs/>
              </w:rPr>
            </w:pPr>
            <w:r>
              <w:rPr>
                <w:rFonts w:eastAsia="Times New Roman"/>
                <w:bCs/>
              </w:rPr>
              <w:t>M</w:t>
            </w:r>
            <w:r>
              <w:rPr>
                <w:rFonts w:eastAsia="MinionPro-Bold"/>
                <w:bCs/>
              </w:rPr>
              <w:t>I-1</w:t>
            </w:r>
          </w:p>
        </w:tc>
        <w:tc>
          <w:tcPr>
            <w:tcW w:w="1666" w:type="dxa"/>
            <w:tcBorders>
              <w:top w:val="nil"/>
              <w:left w:val="nil"/>
              <w:bottom w:val="nil"/>
              <w:right w:val="nil"/>
            </w:tcBorders>
          </w:tcPr>
          <w:p>
            <w:pPr>
              <w:pStyle w:val="Normal"/>
              <w:snapToGrid w:val="false"/>
              <w:spacing w:lineRule="auto" w:line="360" w:before="0" w:after="60"/>
              <w:rPr>
                <w:rFonts w:eastAsia="MinionPro-Bold"/>
                <w:bCs/>
              </w:rPr>
            </w:pPr>
            <w:r>
              <w:rPr>
                <w:rFonts w:eastAsia="MinionPro-Bold"/>
                <w:bCs/>
              </w:rPr>
              <w:t>7183662927</w:t>
            </w:r>
          </w:p>
        </w:tc>
        <w:tc>
          <w:tcPr>
            <w:tcW w:w="2288" w:type="dxa"/>
            <w:tcBorders>
              <w:top w:val="nil"/>
              <w:left w:val="nil"/>
              <w:bottom w:val="nil"/>
              <w:right w:val="nil"/>
            </w:tcBorders>
          </w:tcPr>
          <w:p>
            <w:pPr>
              <w:pStyle w:val="Normal"/>
              <w:snapToGrid w:val="false"/>
              <w:spacing w:lineRule="auto" w:line="360" w:before="0" w:after="60"/>
              <w:rPr>
                <w:rFonts w:eastAsia="MinionPro-Bold"/>
                <w:bCs/>
              </w:rPr>
            </w:pPr>
            <w:r>
              <w:rPr>
                <w:rFonts w:eastAsia="MinionPro-Bold"/>
                <w:bCs/>
              </w:rPr>
              <w:t>7111410642 (98.99%)</w:t>
            </w:r>
          </w:p>
        </w:tc>
        <w:tc>
          <w:tcPr>
            <w:tcW w:w="2260" w:type="dxa"/>
            <w:tcBorders>
              <w:top w:val="nil"/>
              <w:left w:val="nil"/>
              <w:bottom w:val="nil"/>
              <w:right w:val="nil"/>
            </w:tcBorders>
          </w:tcPr>
          <w:p>
            <w:pPr>
              <w:pStyle w:val="Normal"/>
              <w:snapToGrid w:val="false"/>
              <w:spacing w:lineRule="auto" w:line="360" w:before="0" w:after="60"/>
              <w:rPr>
                <w:rFonts w:eastAsia="MinionPro-Bold"/>
                <w:bCs/>
              </w:rPr>
            </w:pPr>
            <w:r>
              <w:rPr>
                <w:rFonts w:eastAsia="MinionPro-Bold"/>
                <w:bCs/>
              </w:rPr>
              <w:t>6961268016 (96.90%)</w:t>
            </w:r>
          </w:p>
        </w:tc>
        <w:tc>
          <w:tcPr>
            <w:tcW w:w="2399" w:type="dxa"/>
            <w:tcBorders>
              <w:top w:val="nil"/>
              <w:left w:val="nil"/>
              <w:bottom w:val="nil"/>
              <w:right w:val="nil"/>
            </w:tcBorders>
          </w:tcPr>
          <w:p>
            <w:pPr>
              <w:pStyle w:val="Normal"/>
              <w:snapToGrid w:val="false"/>
              <w:spacing w:lineRule="auto" w:line="360" w:before="0" w:after="60"/>
              <w:rPr>
                <w:rFonts w:eastAsia="MinionPro-Bold"/>
                <w:bCs/>
              </w:rPr>
            </w:pPr>
            <w:r>
              <w:rPr>
                <w:rFonts w:eastAsia="MinionPro-Bold"/>
                <w:bCs/>
              </w:rPr>
              <w:t>3150777811 (43.86%)</w:t>
            </w:r>
          </w:p>
        </w:tc>
      </w:tr>
      <w:tr>
        <w:trPr/>
        <w:tc>
          <w:tcPr>
            <w:tcW w:w="880" w:type="dxa"/>
            <w:tcBorders>
              <w:top w:val="nil"/>
              <w:left w:val="nil"/>
              <w:bottom w:val="nil"/>
              <w:right w:val="nil"/>
            </w:tcBorders>
          </w:tcPr>
          <w:p>
            <w:pPr>
              <w:pStyle w:val="Normal"/>
              <w:snapToGrid w:val="false"/>
              <w:spacing w:lineRule="auto" w:line="360" w:before="0" w:after="60"/>
              <w:rPr>
                <w:rFonts w:eastAsia="MinionPro-Bold"/>
                <w:bCs/>
              </w:rPr>
            </w:pPr>
            <w:r>
              <w:rPr>
                <w:rFonts w:eastAsia="Times New Roman"/>
                <w:bCs/>
              </w:rPr>
              <w:t>M</w:t>
            </w:r>
            <w:r>
              <w:rPr>
                <w:rFonts w:eastAsia="MinionPro-Bold"/>
                <w:bCs/>
              </w:rPr>
              <w:t>I</w:t>
            </w:r>
            <w:r>
              <w:rPr>
                <w:rFonts w:eastAsia="Times New Roman"/>
                <w:bCs/>
              </w:rPr>
              <w:t>-2</w:t>
            </w:r>
          </w:p>
        </w:tc>
        <w:tc>
          <w:tcPr>
            <w:tcW w:w="1666" w:type="dxa"/>
            <w:tcBorders>
              <w:top w:val="nil"/>
              <w:left w:val="nil"/>
              <w:bottom w:val="nil"/>
              <w:right w:val="nil"/>
            </w:tcBorders>
          </w:tcPr>
          <w:p>
            <w:pPr>
              <w:pStyle w:val="Normal"/>
              <w:snapToGrid w:val="false"/>
              <w:spacing w:lineRule="auto" w:line="360" w:before="0" w:after="60"/>
              <w:rPr>
                <w:rFonts w:eastAsia="MinionPro-Bold"/>
                <w:bCs/>
              </w:rPr>
            </w:pPr>
            <w:r>
              <w:rPr>
                <w:rFonts w:eastAsia="MinionPro-Bold"/>
                <w:bCs/>
              </w:rPr>
              <w:t>9716294776</w:t>
            </w:r>
          </w:p>
        </w:tc>
        <w:tc>
          <w:tcPr>
            <w:tcW w:w="2288" w:type="dxa"/>
            <w:tcBorders>
              <w:top w:val="nil"/>
              <w:left w:val="nil"/>
              <w:bottom w:val="nil"/>
              <w:right w:val="nil"/>
            </w:tcBorders>
          </w:tcPr>
          <w:p>
            <w:pPr>
              <w:pStyle w:val="Normal"/>
              <w:snapToGrid w:val="false"/>
              <w:spacing w:lineRule="auto" w:line="360" w:before="0" w:after="60"/>
              <w:rPr>
                <w:rFonts w:eastAsia="MinionPro-Bold"/>
                <w:bCs/>
              </w:rPr>
            </w:pPr>
            <w:r>
              <w:rPr>
                <w:rFonts w:eastAsia="MinionPro-Bold"/>
                <w:bCs/>
              </w:rPr>
              <w:t>9618681888 (99.00%)</w:t>
            </w:r>
          </w:p>
        </w:tc>
        <w:tc>
          <w:tcPr>
            <w:tcW w:w="2260" w:type="dxa"/>
            <w:tcBorders>
              <w:top w:val="nil"/>
              <w:left w:val="nil"/>
              <w:bottom w:val="nil"/>
              <w:right w:val="nil"/>
            </w:tcBorders>
          </w:tcPr>
          <w:p>
            <w:pPr>
              <w:pStyle w:val="Normal"/>
              <w:snapToGrid w:val="false"/>
              <w:spacing w:lineRule="auto" w:line="360" w:before="0" w:after="60"/>
              <w:rPr>
                <w:rFonts w:eastAsia="MinionPro-Bold"/>
                <w:bCs/>
              </w:rPr>
            </w:pPr>
            <w:r>
              <w:rPr>
                <w:rFonts w:eastAsia="MinionPro-Bold"/>
                <w:bCs/>
              </w:rPr>
              <w:t>9417838773 (96.93%)</w:t>
            </w:r>
          </w:p>
        </w:tc>
        <w:tc>
          <w:tcPr>
            <w:tcW w:w="2399" w:type="dxa"/>
            <w:tcBorders>
              <w:top w:val="nil"/>
              <w:left w:val="nil"/>
              <w:bottom w:val="nil"/>
              <w:right w:val="nil"/>
            </w:tcBorders>
          </w:tcPr>
          <w:p>
            <w:pPr>
              <w:pStyle w:val="Normal"/>
              <w:snapToGrid w:val="false"/>
              <w:spacing w:lineRule="auto" w:line="360" w:before="0" w:after="60"/>
              <w:rPr>
                <w:rFonts w:eastAsia="MinionPro-Bold"/>
                <w:bCs/>
              </w:rPr>
            </w:pPr>
            <w:r>
              <w:rPr>
                <w:rFonts w:eastAsia="MinionPro-Bold"/>
                <w:bCs/>
              </w:rPr>
              <w:t>4201145905 (43.24%)</w:t>
            </w:r>
          </w:p>
        </w:tc>
      </w:tr>
      <w:tr>
        <w:trPr/>
        <w:tc>
          <w:tcPr>
            <w:tcW w:w="880" w:type="dxa"/>
            <w:tcBorders>
              <w:top w:val="nil"/>
              <w:left w:val="nil"/>
              <w:bottom w:val="nil"/>
              <w:right w:val="nil"/>
            </w:tcBorders>
          </w:tcPr>
          <w:p>
            <w:pPr>
              <w:pStyle w:val="Normal"/>
              <w:snapToGrid w:val="false"/>
              <w:spacing w:lineRule="auto" w:line="360" w:before="0" w:after="60"/>
              <w:rPr>
                <w:rFonts w:eastAsia="MinionPro-Bold"/>
                <w:bCs/>
              </w:rPr>
            </w:pPr>
            <w:r>
              <w:rPr>
                <w:rFonts w:eastAsia="MinionPro-Bold"/>
                <w:bCs/>
              </w:rPr>
              <w:t>MI-3</w:t>
            </w:r>
          </w:p>
        </w:tc>
        <w:tc>
          <w:tcPr>
            <w:tcW w:w="1666" w:type="dxa"/>
            <w:tcBorders>
              <w:top w:val="nil"/>
              <w:left w:val="nil"/>
              <w:bottom w:val="nil"/>
              <w:right w:val="nil"/>
            </w:tcBorders>
          </w:tcPr>
          <w:p>
            <w:pPr>
              <w:pStyle w:val="Normal"/>
              <w:snapToGrid w:val="false"/>
              <w:spacing w:lineRule="auto" w:line="360" w:before="0" w:after="60"/>
              <w:rPr>
                <w:rFonts w:eastAsia="MinionPro-Bold"/>
                <w:bCs/>
              </w:rPr>
            </w:pPr>
            <w:r>
              <w:rPr>
                <w:rFonts w:eastAsia="MinionPro-Bold"/>
                <w:bCs/>
              </w:rPr>
              <w:t>6466062156</w:t>
            </w:r>
          </w:p>
        </w:tc>
        <w:tc>
          <w:tcPr>
            <w:tcW w:w="2288" w:type="dxa"/>
            <w:tcBorders>
              <w:top w:val="nil"/>
              <w:left w:val="nil"/>
              <w:bottom w:val="nil"/>
              <w:right w:val="nil"/>
            </w:tcBorders>
          </w:tcPr>
          <w:p>
            <w:pPr>
              <w:pStyle w:val="Normal"/>
              <w:snapToGrid w:val="false"/>
              <w:spacing w:lineRule="auto" w:line="360" w:before="0" w:after="60"/>
              <w:rPr>
                <w:rFonts w:eastAsia="MinionPro-Bold"/>
                <w:bCs/>
              </w:rPr>
            </w:pPr>
            <w:r>
              <w:rPr>
                <w:rFonts w:eastAsia="MinionPro-Bold"/>
                <w:bCs/>
              </w:rPr>
              <w:t>6402168521 (99.01%)</w:t>
            </w:r>
          </w:p>
        </w:tc>
        <w:tc>
          <w:tcPr>
            <w:tcW w:w="2260" w:type="dxa"/>
            <w:tcBorders>
              <w:top w:val="nil"/>
              <w:left w:val="nil"/>
              <w:bottom w:val="nil"/>
              <w:right w:val="nil"/>
            </w:tcBorders>
          </w:tcPr>
          <w:p>
            <w:pPr>
              <w:pStyle w:val="Normal"/>
              <w:snapToGrid w:val="false"/>
              <w:spacing w:lineRule="auto" w:line="360" w:before="0" w:after="60"/>
              <w:rPr>
                <w:rFonts w:eastAsia="MinionPro-Bold"/>
                <w:bCs/>
              </w:rPr>
            </w:pPr>
            <w:r>
              <w:rPr>
                <w:rFonts w:eastAsia="MinionPro-Bold"/>
                <w:bCs/>
              </w:rPr>
              <w:t>6268486375 (96.94%)</w:t>
            </w:r>
          </w:p>
        </w:tc>
        <w:tc>
          <w:tcPr>
            <w:tcW w:w="2399" w:type="dxa"/>
            <w:tcBorders>
              <w:top w:val="nil"/>
              <w:left w:val="nil"/>
              <w:bottom w:val="nil"/>
              <w:right w:val="nil"/>
            </w:tcBorders>
          </w:tcPr>
          <w:p>
            <w:pPr>
              <w:pStyle w:val="Normal"/>
              <w:snapToGrid w:val="false"/>
              <w:spacing w:lineRule="auto" w:line="360" w:before="0" w:after="60"/>
              <w:rPr>
                <w:rFonts w:eastAsia="MinionPro-Bold"/>
                <w:bCs/>
              </w:rPr>
            </w:pPr>
            <w:r>
              <w:rPr>
                <w:rFonts w:eastAsia="MinionPro-Bold"/>
                <w:bCs/>
              </w:rPr>
              <w:t>2824088069 (43.68%)</w:t>
            </w:r>
          </w:p>
        </w:tc>
      </w:tr>
      <w:tr>
        <w:trPr/>
        <w:tc>
          <w:tcPr>
            <w:tcW w:w="880" w:type="dxa"/>
            <w:tcBorders>
              <w:top w:val="nil"/>
              <w:left w:val="nil"/>
              <w:bottom w:val="nil"/>
              <w:right w:val="nil"/>
            </w:tcBorders>
          </w:tcPr>
          <w:p>
            <w:pPr>
              <w:pStyle w:val="Normal"/>
              <w:snapToGrid w:val="false"/>
              <w:spacing w:lineRule="auto" w:line="360" w:before="0" w:after="60"/>
              <w:rPr>
                <w:rFonts w:eastAsia="MinionPro-Bold"/>
                <w:bCs/>
              </w:rPr>
            </w:pPr>
            <w:r>
              <w:rPr>
                <w:rFonts w:eastAsia="MinionPro-Bold"/>
                <w:bCs/>
              </w:rPr>
              <w:t>BI-1</w:t>
            </w:r>
          </w:p>
        </w:tc>
        <w:tc>
          <w:tcPr>
            <w:tcW w:w="1666" w:type="dxa"/>
            <w:tcBorders>
              <w:top w:val="nil"/>
              <w:left w:val="nil"/>
              <w:bottom w:val="nil"/>
              <w:right w:val="nil"/>
            </w:tcBorders>
          </w:tcPr>
          <w:p>
            <w:pPr>
              <w:pStyle w:val="Normal"/>
              <w:snapToGrid w:val="false"/>
              <w:spacing w:lineRule="auto" w:line="360" w:before="0" w:after="60"/>
              <w:rPr>
                <w:rFonts w:eastAsia="MinionPro-Bold"/>
                <w:bCs/>
              </w:rPr>
            </w:pPr>
            <w:r>
              <w:rPr>
                <w:rFonts w:eastAsia="MinionPro-Bold"/>
                <w:bCs/>
              </w:rPr>
              <w:t>8615494660</w:t>
            </w:r>
          </w:p>
        </w:tc>
        <w:tc>
          <w:tcPr>
            <w:tcW w:w="2288" w:type="dxa"/>
            <w:tcBorders>
              <w:top w:val="nil"/>
              <w:left w:val="nil"/>
              <w:bottom w:val="nil"/>
              <w:right w:val="nil"/>
            </w:tcBorders>
          </w:tcPr>
          <w:p>
            <w:pPr>
              <w:pStyle w:val="Normal"/>
              <w:snapToGrid w:val="false"/>
              <w:spacing w:lineRule="auto" w:line="360" w:before="0" w:after="60"/>
              <w:rPr>
                <w:rFonts w:eastAsia="MinionPro-Bold"/>
                <w:bCs/>
              </w:rPr>
            </w:pPr>
            <w:r>
              <w:rPr>
                <w:rFonts w:eastAsia="MinionPro-Bold"/>
                <w:bCs/>
              </w:rPr>
              <w:t>8529038802 (99.00%)</w:t>
            </w:r>
          </w:p>
        </w:tc>
        <w:tc>
          <w:tcPr>
            <w:tcW w:w="2260" w:type="dxa"/>
            <w:tcBorders>
              <w:top w:val="nil"/>
              <w:left w:val="nil"/>
              <w:bottom w:val="nil"/>
              <w:right w:val="nil"/>
            </w:tcBorders>
          </w:tcPr>
          <w:p>
            <w:pPr>
              <w:pStyle w:val="Normal"/>
              <w:snapToGrid w:val="false"/>
              <w:spacing w:lineRule="auto" w:line="360" w:before="0" w:after="60"/>
              <w:rPr>
                <w:rFonts w:eastAsia="MinionPro-Bold"/>
                <w:bCs/>
              </w:rPr>
            </w:pPr>
            <w:r>
              <w:rPr>
                <w:rFonts w:eastAsia="MinionPro-Bold"/>
                <w:bCs/>
              </w:rPr>
              <w:t>8349670692 (96.91%)</w:t>
            </w:r>
          </w:p>
        </w:tc>
        <w:tc>
          <w:tcPr>
            <w:tcW w:w="2399" w:type="dxa"/>
            <w:tcBorders>
              <w:top w:val="nil"/>
              <w:left w:val="nil"/>
              <w:bottom w:val="nil"/>
              <w:right w:val="nil"/>
            </w:tcBorders>
          </w:tcPr>
          <w:p>
            <w:pPr>
              <w:pStyle w:val="Normal"/>
              <w:snapToGrid w:val="false"/>
              <w:spacing w:lineRule="auto" w:line="360" w:before="0" w:after="60"/>
              <w:rPr>
                <w:rFonts w:eastAsia="MinionPro-Bold"/>
                <w:bCs/>
              </w:rPr>
            </w:pPr>
            <w:r>
              <w:rPr>
                <w:rFonts w:eastAsia="MinionPro-Bold"/>
                <w:bCs/>
              </w:rPr>
              <w:t>3744415353 (43.46%)</w:t>
            </w:r>
          </w:p>
        </w:tc>
      </w:tr>
      <w:tr>
        <w:trPr/>
        <w:tc>
          <w:tcPr>
            <w:tcW w:w="880" w:type="dxa"/>
            <w:tcBorders>
              <w:top w:val="nil"/>
              <w:left w:val="nil"/>
              <w:bottom w:val="nil"/>
              <w:right w:val="nil"/>
            </w:tcBorders>
          </w:tcPr>
          <w:p>
            <w:pPr>
              <w:pStyle w:val="Normal"/>
              <w:snapToGrid w:val="false"/>
              <w:spacing w:lineRule="auto" w:line="360" w:before="0" w:after="60"/>
              <w:rPr>
                <w:rFonts w:eastAsia="MinionPro-Bold"/>
                <w:bCs/>
              </w:rPr>
            </w:pPr>
            <w:r>
              <w:rPr>
                <w:rFonts w:eastAsia="MinionPro-Bold"/>
                <w:bCs/>
              </w:rPr>
              <w:t>BI-2</w:t>
            </w:r>
          </w:p>
        </w:tc>
        <w:tc>
          <w:tcPr>
            <w:tcW w:w="1666" w:type="dxa"/>
            <w:tcBorders>
              <w:top w:val="nil"/>
              <w:left w:val="nil"/>
              <w:bottom w:val="nil"/>
              <w:right w:val="nil"/>
            </w:tcBorders>
          </w:tcPr>
          <w:p>
            <w:pPr>
              <w:pStyle w:val="Normal"/>
              <w:snapToGrid w:val="false"/>
              <w:spacing w:lineRule="auto" w:line="360" w:before="0" w:after="60"/>
              <w:rPr>
                <w:rFonts w:eastAsia="MinionPro-Bold"/>
                <w:bCs/>
              </w:rPr>
            </w:pPr>
            <w:r>
              <w:rPr>
                <w:rFonts w:eastAsia="MinionPro-Bold"/>
                <w:bCs/>
              </w:rPr>
              <w:t>9024858355</w:t>
            </w:r>
          </w:p>
        </w:tc>
        <w:tc>
          <w:tcPr>
            <w:tcW w:w="2288" w:type="dxa"/>
            <w:tcBorders>
              <w:top w:val="nil"/>
              <w:left w:val="nil"/>
              <w:bottom w:val="nil"/>
              <w:right w:val="nil"/>
            </w:tcBorders>
          </w:tcPr>
          <w:p>
            <w:pPr>
              <w:pStyle w:val="Normal"/>
              <w:snapToGrid w:val="false"/>
              <w:spacing w:lineRule="auto" w:line="360" w:before="0" w:after="60"/>
              <w:rPr>
                <w:rFonts w:eastAsia="MinionPro-Bold"/>
                <w:bCs/>
              </w:rPr>
            </w:pPr>
            <w:r>
              <w:rPr>
                <w:rFonts w:eastAsia="MinionPro-Bold"/>
                <w:bCs/>
              </w:rPr>
              <w:t>8933406945 (98.99%)</w:t>
            </w:r>
          </w:p>
        </w:tc>
        <w:tc>
          <w:tcPr>
            <w:tcW w:w="2260" w:type="dxa"/>
            <w:tcBorders>
              <w:top w:val="nil"/>
              <w:left w:val="nil"/>
              <w:bottom w:val="nil"/>
              <w:right w:val="nil"/>
            </w:tcBorders>
          </w:tcPr>
          <w:p>
            <w:pPr>
              <w:pStyle w:val="Normal"/>
              <w:snapToGrid w:val="false"/>
              <w:spacing w:lineRule="auto" w:line="360" w:before="0" w:after="60"/>
              <w:rPr>
                <w:rFonts w:eastAsia="MinionPro-Bold"/>
                <w:bCs/>
              </w:rPr>
            </w:pPr>
            <w:r>
              <w:rPr>
                <w:rFonts w:eastAsia="MinionPro-Bold"/>
                <w:bCs/>
              </w:rPr>
              <w:t>8741684726 (96.86%)</w:t>
            </w:r>
          </w:p>
        </w:tc>
        <w:tc>
          <w:tcPr>
            <w:tcW w:w="2399" w:type="dxa"/>
            <w:tcBorders>
              <w:top w:val="nil"/>
              <w:left w:val="nil"/>
              <w:bottom w:val="nil"/>
              <w:right w:val="nil"/>
            </w:tcBorders>
          </w:tcPr>
          <w:p>
            <w:pPr>
              <w:pStyle w:val="Normal"/>
              <w:snapToGrid w:val="false"/>
              <w:spacing w:lineRule="auto" w:line="360" w:before="0" w:after="60"/>
              <w:rPr>
                <w:rFonts w:eastAsia="MinionPro-Bold"/>
                <w:bCs/>
              </w:rPr>
            </w:pPr>
            <w:r>
              <w:rPr>
                <w:rFonts w:eastAsia="MinionPro-Bold"/>
                <w:bCs/>
              </w:rPr>
              <w:t>4025801231 (44.61%)</w:t>
            </w:r>
          </w:p>
        </w:tc>
      </w:tr>
      <w:tr>
        <w:trPr/>
        <w:tc>
          <w:tcPr>
            <w:tcW w:w="880" w:type="dxa"/>
            <w:tcBorders>
              <w:top w:val="nil"/>
              <w:left w:val="nil"/>
              <w:right w:val="nil"/>
            </w:tcBorders>
          </w:tcPr>
          <w:p>
            <w:pPr>
              <w:pStyle w:val="Normal"/>
              <w:snapToGrid w:val="false"/>
              <w:spacing w:lineRule="auto" w:line="360" w:before="0" w:after="60"/>
              <w:rPr>
                <w:rFonts w:eastAsia="MinionPro-Bold"/>
                <w:bCs/>
              </w:rPr>
            </w:pPr>
            <w:r>
              <w:rPr>
                <w:rFonts w:eastAsia="MinionPro-Bold"/>
                <w:bCs/>
              </w:rPr>
              <w:t>BI-3</w:t>
            </w:r>
          </w:p>
        </w:tc>
        <w:tc>
          <w:tcPr>
            <w:tcW w:w="1666" w:type="dxa"/>
            <w:tcBorders>
              <w:top w:val="nil"/>
              <w:left w:val="nil"/>
              <w:right w:val="nil"/>
            </w:tcBorders>
          </w:tcPr>
          <w:p>
            <w:pPr>
              <w:pStyle w:val="Normal"/>
              <w:snapToGrid w:val="false"/>
              <w:spacing w:lineRule="auto" w:line="360" w:before="0" w:after="60"/>
              <w:rPr>
                <w:rFonts w:eastAsia="MinionPro-Bold"/>
                <w:bCs/>
              </w:rPr>
            </w:pPr>
            <w:r>
              <w:rPr>
                <w:rFonts w:eastAsia="MinionPro-Bold"/>
                <w:bCs/>
              </w:rPr>
              <w:t>7268571813</w:t>
            </w:r>
          </w:p>
        </w:tc>
        <w:tc>
          <w:tcPr>
            <w:tcW w:w="2288" w:type="dxa"/>
            <w:tcBorders>
              <w:top w:val="nil"/>
              <w:left w:val="nil"/>
              <w:right w:val="nil"/>
            </w:tcBorders>
          </w:tcPr>
          <w:p>
            <w:pPr>
              <w:pStyle w:val="Normal"/>
              <w:snapToGrid w:val="false"/>
              <w:spacing w:lineRule="auto" w:line="360" w:before="0" w:after="60"/>
              <w:rPr>
                <w:rFonts w:eastAsia="MinionPro-Bold"/>
                <w:bCs/>
              </w:rPr>
            </w:pPr>
            <w:r>
              <w:rPr>
                <w:rFonts w:eastAsia="MinionPro-Bold"/>
                <w:bCs/>
              </w:rPr>
              <w:t>7193939293 (98.97%)</w:t>
            </w:r>
          </w:p>
        </w:tc>
        <w:tc>
          <w:tcPr>
            <w:tcW w:w="2260" w:type="dxa"/>
            <w:tcBorders>
              <w:top w:val="nil"/>
              <w:left w:val="nil"/>
              <w:right w:val="nil"/>
            </w:tcBorders>
          </w:tcPr>
          <w:p>
            <w:pPr>
              <w:pStyle w:val="Normal"/>
              <w:snapToGrid w:val="false"/>
              <w:spacing w:lineRule="auto" w:line="360" w:before="0" w:after="60"/>
              <w:rPr>
                <w:rFonts w:eastAsia="MinionPro-Bold"/>
                <w:bCs/>
              </w:rPr>
            </w:pPr>
            <w:r>
              <w:rPr>
                <w:rFonts w:eastAsia="MinionPro-Bold"/>
                <w:bCs/>
              </w:rPr>
              <w:t>7038307689 (96.83%)</w:t>
            </w:r>
          </w:p>
        </w:tc>
        <w:tc>
          <w:tcPr>
            <w:tcW w:w="2399" w:type="dxa"/>
            <w:tcBorders>
              <w:top w:val="nil"/>
              <w:left w:val="nil"/>
              <w:right w:val="nil"/>
            </w:tcBorders>
          </w:tcPr>
          <w:p>
            <w:pPr>
              <w:pStyle w:val="Normal"/>
              <w:snapToGrid w:val="false"/>
              <w:spacing w:lineRule="auto" w:line="360" w:before="0" w:after="60"/>
              <w:rPr>
                <w:rFonts w:eastAsia="MinionPro-Bold"/>
                <w:bCs/>
              </w:rPr>
            </w:pPr>
            <w:r>
              <w:rPr>
                <w:rFonts w:eastAsia="MinionPro-Bold"/>
                <w:bCs/>
              </w:rPr>
              <w:t>3256512675 (44.80%)</w:t>
            </w:r>
          </w:p>
        </w:tc>
      </w:tr>
    </w:tbl>
    <w:p>
      <w:pPr>
        <w:pStyle w:val="Normal"/>
        <w:spacing w:before="240" w:after="60"/>
        <w:rPr>
          <w:bCs/>
          <w:iCs/>
          <w:color w:val="000000" w:themeColor="text1"/>
          <w:szCs w:val="22"/>
        </w:rPr>
      </w:pPr>
      <w:r>
        <w:rPr/>
        <w:drawing>
          <wp:inline distT="0" distB="0" distL="0" distR="0">
            <wp:extent cx="5274310" cy="2922905"/>
            <wp:effectExtent l="0" t="0" r="0" b="0"/>
            <wp:docPr id="4"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 descr=""/>
                    <pic:cNvPicPr>
                      <a:picLocks noChangeAspect="1" noChangeArrowheads="1"/>
                    </pic:cNvPicPr>
                  </pic:nvPicPr>
                  <pic:blipFill>
                    <a:blip r:embed="rId6"/>
                    <a:stretch>
                      <a:fillRect/>
                    </a:stretch>
                  </pic:blipFill>
                  <pic:spPr bwMode="auto">
                    <a:xfrm>
                      <a:off x="0" y="0"/>
                      <a:ext cx="5274310" cy="2922905"/>
                    </a:xfrm>
                    <a:prstGeom prst="rect">
                      <a:avLst/>
                    </a:prstGeom>
                  </pic:spPr>
                </pic:pic>
              </a:graphicData>
            </a:graphic>
          </wp:inline>
        </w:drawing>
      </w:r>
    </w:p>
    <w:p>
      <w:pPr>
        <w:pStyle w:val="Normal"/>
        <w:rPr>
          <w:szCs w:val="22"/>
        </w:rPr>
      </w:pPr>
      <w:r>
        <w:rPr>
          <w:b/>
          <w:bCs/>
          <w:color w:val="222222"/>
          <w:szCs w:val="22"/>
        </w:rPr>
        <w:t xml:space="preserve">Figure 2: </w:t>
      </w:r>
      <w:r>
        <w:rPr>
          <w:color w:val="222222"/>
          <w:szCs w:val="22"/>
        </w:rPr>
        <w:t>The number of DEGs in the MI, SFI, and BI groups. a, Venn diagram of all DEGs in the three inflorescence types; b and c, Venn diagram of upregulated and downregulated DEGs in the three inflorescence types; d, SFI-vs.-MI volcano map; e, BI-vs.-MI volcano map.</w:t>
      </w:r>
      <w:r>
        <w:rPr>
          <w:szCs w:val="22"/>
        </w:rPr>
        <w:t xml:space="preserve"> </w:t>
      </w:r>
    </w:p>
    <w:p>
      <w:pPr>
        <w:pStyle w:val="Normal"/>
        <w:spacing w:before="240" w:after="60"/>
        <w:rPr>
          <w:b/>
          <w:b/>
          <w:i/>
          <w:i/>
          <w:color w:val="000000" w:themeColor="text1"/>
          <w:szCs w:val="22"/>
        </w:rPr>
      </w:pPr>
      <w:r>
        <w:rPr>
          <w:b/>
          <w:i/>
          <w:color w:val="000000" w:themeColor="text1"/>
          <w:szCs w:val="22"/>
        </w:rPr>
        <w:t>3.4 GO and KEGG enrichment analyses of DEGs</w:t>
      </w:r>
    </w:p>
    <w:p>
      <w:pPr>
        <w:pStyle w:val="Normal"/>
        <w:shd w:val="clear" w:color="auto" w:fill="FFFFFF"/>
        <w:snapToGrid w:val="false"/>
        <w:spacing w:before="0" w:after="0"/>
        <w:ind w:firstLine="440"/>
        <w:rPr>
          <w:color w:val="000000"/>
          <w:szCs w:val="22"/>
          <w:highlight w:val="white"/>
          <w:lang w:bidi="ar"/>
        </w:rPr>
      </w:pPr>
      <w:r>
        <w:rPr>
          <w:color w:val="222222"/>
          <w:szCs w:val="22"/>
          <w:shd w:fill="FFFFFF" w:val="clear"/>
          <w:lang w:bidi="ar"/>
        </w:rPr>
        <w:t>To describe gene functions, the DEGs from the three groups (</w:t>
      </w:r>
      <w:r>
        <w:rPr>
          <w:rFonts w:eastAsia="等线"/>
          <w:szCs w:val="22"/>
          <w:shd w:fill="FFFFFF" w:val="clear"/>
          <w:lang w:bidi="ar"/>
        </w:rPr>
        <w:t>MI, SFI, and BI</w:t>
      </w:r>
      <w:r>
        <w:rPr>
          <w:color w:val="222222"/>
          <w:szCs w:val="22"/>
          <w:shd w:fill="FFFFFF" w:val="clear"/>
          <w:lang w:bidi="ar"/>
        </w:rPr>
        <w:t xml:space="preserve">) were analyzed using GO enrichment (Fig 3 and Table S3). </w:t>
      </w:r>
    </w:p>
    <w:p>
      <w:pPr>
        <w:pStyle w:val="Normal"/>
        <w:shd w:val="clear" w:color="auto" w:fill="FFFFFF"/>
        <w:snapToGrid w:val="false"/>
        <w:spacing w:before="0" w:after="0"/>
        <w:ind w:firstLine="440"/>
        <w:rPr>
          <w:color w:val="000000"/>
          <w:szCs w:val="22"/>
          <w:highlight w:val="white"/>
          <w:lang w:bidi="ar"/>
        </w:rPr>
      </w:pPr>
      <w:r>
        <w:rPr/>
        <w:drawing>
          <wp:inline distT="0" distB="0" distL="0" distR="0">
            <wp:extent cx="4909185" cy="2594610"/>
            <wp:effectExtent l="0" t="0" r="0" b="0"/>
            <wp:docPr id="5" name="图片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descr=""/>
                    <pic:cNvPicPr>
                      <a:picLocks noChangeAspect="1" noChangeArrowheads="1"/>
                    </pic:cNvPicPr>
                  </pic:nvPicPr>
                  <pic:blipFill>
                    <a:blip r:embed="rId7"/>
                    <a:stretch>
                      <a:fillRect/>
                    </a:stretch>
                  </pic:blipFill>
                  <pic:spPr bwMode="auto">
                    <a:xfrm>
                      <a:off x="0" y="0"/>
                      <a:ext cx="4909185" cy="2594610"/>
                    </a:xfrm>
                    <a:prstGeom prst="rect">
                      <a:avLst/>
                    </a:prstGeom>
                  </pic:spPr>
                </pic:pic>
              </a:graphicData>
            </a:graphic>
          </wp:inline>
        </w:drawing>
      </w:r>
    </w:p>
    <w:p>
      <w:pPr>
        <w:pStyle w:val="Normal"/>
        <w:rPr>
          <w:rFonts w:eastAsia="黑体"/>
          <w:szCs w:val="22"/>
        </w:rPr>
      </w:pPr>
      <w:r>
        <w:rPr>
          <w:b/>
          <w:bCs/>
          <w:color w:val="222222"/>
          <w:szCs w:val="22"/>
        </w:rPr>
        <w:t xml:space="preserve">Figure 3: </w:t>
      </w:r>
      <w:r>
        <w:rPr>
          <w:rFonts w:eastAsia="黑体"/>
          <w:color w:val="222222"/>
          <w:szCs w:val="22"/>
          <w:shd w:fill="FFFFFF" w:val="clear"/>
        </w:rPr>
        <w:t>The number of enriched GO terms for the three inflorescence types at the five-leaf stage. a, GO analysis of DEGs in the SFI-vs.-MI group; b, GO analysis of DEGs in the BI-vs.-MI group.</w:t>
      </w:r>
      <w:r>
        <w:rPr>
          <w:rFonts w:eastAsia="黑体"/>
          <w:szCs w:val="22"/>
        </w:rPr>
        <w:t xml:space="preserve"> </w:t>
      </w:r>
    </w:p>
    <w:p>
      <w:pPr>
        <w:pStyle w:val="Normal"/>
        <w:shd w:val="clear" w:color="auto" w:fill="FFFFFF"/>
        <w:snapToGrid w:val="false"/>
        <w:spacing w:before="0" w:after="0"/>
        <w:ind w:firstLine="330"/>
        <w:rPr>
          <w:color w:val="000000"/>
          <w:szCs w:val="22"/>
          <w:highlight w:val="white"/>
        </w:rPr>
      </w:pPr>
      <w:r>
        <w:rPr>
          <w:rFonts w:eastAsia="等线"/>
          <w:color w:val="000000"/>
          <w:kern w:val="2"/>
          <w:szCs w:val="22"/>
          <w:shd w:fill="FFFFFF" w:val="clear"/>
          <w:lang w:bidi="ar"/>
        </w:rPr>
        <w:t xml:space="preserve">In the </w:t>
      </w:r>
      <w:r>
        <w:rPr>
          <w:color w:val="000000"/>
          <w:szCs w:val="22"/>
          <w:shd w:fill="FFFFFF" w:val="clear"/>
          <w:lang w:bidi="ar"/>
        </w:rPr>
        <w:t>SFI-vs.-MI</w:t>
      </w:r>
      <w:r>
        <w:rPr>
          <w:rFonts w:eastAsia="等线"/>
          <w:color w:val="000000"/>
          <w:kern w:val="2"/>
          <w:szCs w:val="22"/>
          <w:shd w:fill="FFFFFF" w:val="clear"/>
          <w:lang w:bidi="ar"/>
        </w:rPr>
        <w:t xml:space="preserve"> </w:t>
      </w:r>
      <w:r>
        <w:rPr>
          <w:rFonts w:eastAsia="等线"/>
          <w:kern w:val="2"/>
          <w:szCs w:val="22"/>
          <w:shd w:fill="FFFFFF" w:val="clear"/>
          <w:lang w:bidi="ar"/>
        </w:rPr>
        <w:t xml:space="preserve">comparison </w:t>
      </w:r>
      <w:r>
        <w:rPr>
          <w:rFonts w:eastAsia="等线"/>
          <w:color w:val="000000"/>
          <w:kern w:val="2"/>
          <w:szCs w:val="22"/>
          <w:shd w:fill="FFFFFF" w:val="clear"/>
          <w:lang w:bidi="ar"/>
        </w:rPr>
        <w:t>group,</w:t>
      </w:r>
      <w:r>
        <w:rPr>
          <w:color w:val="000000"/>
          <w:szCs w:val="22"/>
          <w:shd w:fill="FFFFFF" w:val="clear"/>
          <w:lang w:bidi="ar"/>
        </w:rPr>
        <w:t xml:space="preserve"> the DEGs enriched in the “single-multicellular organism process” pathway were the most abundant in the term “biological processes”. For molecular functions, transition metal ion binding oxidoreductase activity was most enriched in DEGs. In the cell component category, the DEGs were enriched in five branches, namely the cell wall, cell junction, cell periphery, and external encapsulating structure (</w:t>
      </w:r>
      <w:r>
        <w:rPr>
          <w:color w:val="000000" w:themeColor="text1"/>
          <w:szCs w:val="22"/>
          <w:shd w:fill="FFFFFF" w:val="clear"/>
          <w:lang w:bidi="ar"/>
        </w:rPr>
        <w:t>Table S3</w:t>
      </w:r>
      <w:r>
        <w:rPr>
          <w:color w:val="000000"/>
          <w:szCs w:val="22"/>
          <w:shd w:fill="FFFFFF" w:val="clear"/>
          <w:lang w:bidi="ar"/>
        </w:rPr>
        <w:t xml:space="preserve">). </w:t>
      </w:r>
      <w:r>
        <w:rPr>
          <w:rFonts w:eastAsia="等线"/>
          <w:color w:val="000000"/>
          <w:kern w:val="2"/>
          <w:szCs w:val="22"/>
          <w:shd w:fill="FFFFFF" w:val="clear"/>
          <w:lang w:bidi="ar"/>
        </w:rPr>
        <w:t xml:space="preserve">In the </w:t>
      </w:r>
      <w:r>
        <w:rPr>
          <w:color w:val="000000"/>
          <w:szCs w:val="22"/>
          <w:shd w:fill="FFFFFF" w:val="clear"/>
          <w:lang w:bidi="ar"/>
        </w:rPr>
        <w:t>BI-vs.-MI</w:t>
      </w:r>
      <w:r>
        <w:rPr>
          <w:rFonts w:eastAsia="等线"/>
          <w:color w:val="000000"/>
          <w:kern w:val="2"/>
          <w:szCs w:val="22"/>
          <w:shd w:fill="FFFFFF" w:val="clear"/>
          <w:lang w:bidi="ar"/>
        </w:rPr>
        <w:t xml:space="preserve"> </w:t>
      </w:r>
      <w:r>
        <w:rPr>
          <w:rFonts w:eastAsia="等线"/>
          <w:kern w:val="2"/>
          <w:szCs w:val="22"/>
          <w:shd w:fill="FFFFFF" w:val="clear"/>
          <w:lang w:bidi="ar"/>
        </w:rPr>
        <w:t xml:space="preserve">comparison </w:t>
      </w:r>
      <w:r>
        <w:rPr>
          <w:rFonts w:eastAsia="等线"/>
          <w:color w:val="000000"/>
          <w:kern w:val="2"/>
          <w:szCs w:val="22"/>
          <w:shd w:fill="FFFFFF" w:val="clear"/>
          <w:lang w:bidi="ar"/>
        </w:rPr>
        <w:t>group,</w:t>
      </w:r>
      <w:r>
        <w:rPr>
          <w:color w:val="000000"/>
          <w:szCs w:val="22"/>
          <w:shd w:fill="FFFFFF" w:val="clear"/>
          <w:lang w:bidi="ar"/>
        </w:rPr>
        <w:t xml:space="preserve"> the functional pathway most enriched in DEGs was the aromatic compound biosynthetic process biological process category. In the molecular function category, nucleic acid binding transcription factor activity was enriched in DEGs. In addition, the GO classification showed that the DEGs associated with the cellular component category were mainly related to membrane-bound organelles and intracellular membrane-bound organelles (</w:t>
      </w:r>
      <w:r>
        <w:rPr>
          <w:color w:val="000000" w:themeColor="text1"/>
          <w:szCs w:val="22"/>
          <w:shd w:fill="FFFFFF" w:val="clear"/>
          <w:lang w:bidi="ar"/>
        </w:rPr>
        <w:t>Table S3</w:t>
      </w:r>
      <w:r>
        <w:rPr>
          <w:color w:val="000000"/>
          <w:szCs w:val="22"/>
          <w:shd w:fill="FFFFFF" w:val="clear"/>
          <w:lang w:bidi="ar"/>
        </w:rPr>
        <w:t>). Compared to the MI, the SFI and BI had the following functional branches enriched in DEGs: pollen wall assembly, pollen development, and cellular component assembly involved in morphogenesis.</w:t>
      </w:r>
    </w:p>
    <w:p>
      <w:pPr>
        <w:pStyle w:val="Normal"/>
        <w:widowControl w:val="false"/>
        <w:snapToGrid w:val="false"/>
        <w:spacing w:before="0" w:after="0"/>
        <w:ind w:firstLine="440"/>
        <w:rPr>
          <w:rFonts w:eastAsia="等线"/>
          <w:color w:val="000000"/>
          <w:kern w:val="2"/>
          <w:szCs w:val="22"/>
          <w:highlight w:val="white"/>
          <w:lang w:bidi="ar"/>
        </w:rPr>
      </w:pPr>
      <w:r>
        <w:rPr>
          <w:rFonts w:eastAsia="等线"/>
          <w:color w:val="000000"/>
          <w:kern w:val="2"/>
          <w:szCs w:val="22"/>
          <w:shd w:fill="FFFFFF" w:val="clear"/>
          <w:lang w:bidi="ar"/>
        </w:rPr>
        <w:t xml:space="preserve">Based on the KEGG pathway data, the biological functions of the genes were determined. As shown in </w:t>
      </w:r>
      <w:r>
        <w:rPr>
          <w:rFonts w:eastAsia="等线"/>
          <w:bCs/>
          <w:kern w:val="2"/>
          <w:szCs w:val="22"/>
          <w:shd w:fill="FFFFFF" w:val="clear"/>
          <w:lang w:bidi="ar"/>
        </w:rPr>
        <w:t xml:space="preserve">Fig 4a and </w:t>
      </w:r>
      <w:r>
        <w:rPr>
          <w:rFonts w:eastAsia="等线"/>
          <w:bCs/>
          <w:color w:val="000000" w:themeColor="text1"/>
          <w:kern w:val="2"/>
          <w:szCs w:val="22"/>
          <w:shd w:fill="FFFFFF" w:val="clear"/>
          <w:lang w:bidi="ar"/>
        </w:rPr>
        <w:t>Table S4</w:t>
      </w:r>
      <w:r>
        <w:rPr>
          <w:rFonts w:eastAsia="等线"/>
          <w:color w:val="000000"/>
          <w:kern w:val="2"/>
          <w:szCs w:val="22"/>
          <w:shd w:fill="FFFFFF" w:val="clear"/>
          <w:lang w:bidi="ar"/>
        </w:rPr>
        <w:t>, functions with a Q value ≤ 0.05 were considered significantly enriched. In the SFI-vs.-MI group, some genes were significantly enriched in the biosynthesis of secondary metabolites (ko01110), protein processing in the endoplasmic reticulum (ko04141), and phenylpropanoid biosynthesis (ko00940) (</w:t>
      </w:r>
      <w:r>
        <w:rPr>
          <w:rFonts w:eastAsia="等线"/>
          <w:bCs/>
          <w:kern w:val="2"/>
          <w:szCs w:val="22"/>
          <w:shd w:fill="FFFFFF" w:val="clear"/>
          <w:lang w:bidi="ar"/>
        </w:rPr>
        <w:t>Fig</w:t>
      </w:r>
      <w:r>
        <w:rPr>
          <w:rFonts w:eastAsia="等线"/>
          <w:bCs/>
          <w:kern w:val="2"/>
          <w:szCs w:val="22"/>
          <w:lang w:bidi="ar"/>
        </w:rPr>
        <w:t xml:space="preserve"> </w:t>
      </w:r>
      <w:r>
        <w:rPr>
          <w:rFonts w:eastAsia="等线"/>
          <w:bCs/>
          <w:kern w:val="2"/>
          <w:szCs w:val="22"/>
          <w:shd w:fill="FFFFFF" w:val="clear"/>
          <w:lang w:bidi="ar"/>
        </w:rPr>
        <w:t>4b</w:t>
      </w:r>
      <w:r>
        <w:rPr>
          <w:rFonts w:eastAsia="等线"/>
          <w:color w:val="000000"/>
          <w:kern w:val="2"/>
          <w:szCs w:val="22"/>
          <w:shd w:fill="FFFFFF" w:val="clear"/>
          <w:lang w:bidi="ar"/>
        </w:rPr>
        <w:t xml:space="preserve"> and </w:t>
      </w:r>
      <w:r>
        <w:rPr>
          <w:rFonts w:eastAsia="等线"/>
          <w:bCs/>
          <w:color w:val="000000" w:themeColor="text1"/>
          <w:kern w:val="2"/>
          <w:szCs w:val="22"/>
          <w:shd w:fill="FFFFFF" w:val="clear"/>
          <w:lang w:bidi="ar"/>
        </w:rPr>
        <w:t xml:space="preserve">Table </w:t>
      </w:r>
      <w:r>
        <w:fldChar w:fldCharType="begin"/>
      </w:r>
      <w:r>
        <w:rPr>
          <w:rStyle w:val="InternetLink"/>
          <w:u w:val="none"/>
          <w:szCs w:val="22"/>
          <w:bCs/>
          <w:highlight w:val="white"/>
          <w:color w:val="000000"/>
        </w:rPr>
        <w:instrText> HYPERLINK "https://www.mdpi.com/1422-0067/22/15/8128/htm" \l "app1-ijms-22-08128"</w:instrText>
      </w:r>
      <w:r>
        <w:rPr>
          <w:rStyle w:val="InternetLink"/>
          <w:u w:val="none"/>
          <w:szCs w:val="22"/>
          <w:bCs/>
          <w:highlight w:val="white"/>
          <w:color w:val="000000"/>
        </w:rPr>
        <w:fldChar w:fldCharType="separate"/>
      </w:r>
      <w:r>
        <w:rPr>
          <w:rStyle w:val="InternetLink"/>
          <w:bCs/>
          <w:color w:val="000000" w:themeColor="text1"/>
          <w:szCs w:val="22"/>
          <w:highlight w:val="white"/>
          <w:u w:val="none"/>
        </w:rPr>
        <w:t>S4</w:t>
      </w:r>
      <w:r>
        <w:rPr>
          <w:rStyle w:val="InternetLink"/>
          <w:u w:val="none"/>
          <w:szCs w:val="22"/>
          <w:bCs/>
          <w:highlight w:val="white"/>
          <w:color w:val="000000"/>
        </w:rPr>
        <w:fldChar w:fldCharType="end"/>
      </w:r>
      <w:r>
        <w:rPr>
          <w:rFonts w:eastAsia="等线"/>
          <w:color w:val="000000"/>
          <w:kern w:val="2"/>
          <w:szCs w:val="22"/>
          <w:shd w:fill="FFFFFF" w:val="clear"/>
          <w:lang w:bidi="ar"/>
        </w:rPr>
        <w:t>). In the comparison of BI-vs.-MI, the greatest accumulation of DEGs was found in pathways such as metabolic pathways (ko01100) and biosynthesis of secondary metabolites (ko01110).</w:t>
      </w:r>
    </w:p>
    <w:p>
      <w:pPr>
        <w:pStyle w:val="Normal"/>
        <w:spacing w:before="240" w:after="60"/>
        <w:rPr>
          <w:b/>
          <w:b/>
          <w:i/>
          <w:i/>
          <w:color w:val="000000" w:themeColor="text1"/>
          <w:szCs w:val="22"/>
        </w:rPr>
      </w:pPr>
      <w:r>
        <w:rPr>
          <w:b/>
          <w:i/>
          <w:color w:val="000000" w:themeColor="text1"/>
          <w:szCs w:val="22"/>
        </w:rPr>
        <w:t xml:space="preserve">3.5 </w:t>
      </w:r>
      <w:r>
        <w:rPr>
          <w:b/>
          <w:i/>
          <w:color w:val="000000"/>
          <w:szCs w:val="22"/>
          <w:lang w:bidi="ar"/>
        </w:rPr>
        <w:t>RT‒qPCR analyses</w:t>
      </w:r>
      <w:r>
        <w:rPr>
          <w:b/>
          <w:i/>
          <w:color w:val="000000"/>
          <w:lang w:bidi="ar"/>
        </w:rPr>
        <w:t xml:space="preserve"> </w:t>
      </w:r>
      <w:r>
        <w:rPr>
          <w:b/>
          <w:i/>
          <w:color w:val="000000" w:themeColor="text1"/>
          <w:szCs w:val="22"/>
        </w:rPr>
        <w:t>of DEGs</w:t>
      </w:r>
    </w:p>
    <w:p>
      <w:pPr>
        <w:pStyle w:val="Normal"/>
        <w:widowControl w:val="false"/>
        <w:snapToGrid w:val="false"/>
        <w:spacing w:before="0" w:after="0"/>
        <w:ind w:firstLine="440"/>
        <w:rPr>
          <w:rFonts w:eastAsia="等线"/>
          <w:color w:val="000000"/>
          <w:kern w:val="2"/>
          <w:szCs w:val="22"/>
          <w:highlight w:val="white"/>
          <w:lang w:bidi="ar"/>
        </w:rPr>
      </w:pPr>
      <w:r>
        <w:rPr>
          <w:rFonts w:eastAsia="等线"/>
          <w:color w:val="000000"/>
          <w:kern w:val="2"/>
          <w:szCs w:val="22"/>
          <w:shd w:fill="FFFFFF" w:val="clear"/>
          <w:lang w:bidi="ar"/>
        </w:rPr>
        <w:t xml:space="preserve">To validate the transcriptomic sequencing results, we selected eight differentially expressed genes for </w:t>
      </w:r>
      <w:r>
        <w:rPr>
          <w:color w:val="000000"/>
          <w:kern w:val="2"/>
          <w:lang w:bidi="ar"/>
        </w:rPr>
        <w:t>qRT‒PCR</w:t>
      </w:r>
      <w:r>
        <w:rPr>
          <w:rFonts w:eastAsia="等线"/>
          <w:color w:val="000000"/>
          <w:kern w:val="2"/>
          <w:szCs w:val="22"/>
          <w:shd w:fill="FFFFFF" w:val="clear"/>
          <w:lang w:bidi="ar"/>
        </w:rPr>
        <w:t xml:space="preserve"> analysis. Among these eight differentially expressed genes, RADL5 (ncbi_8269992) is a member of the MYB family, and ERF11 (ncbi_8288577), ERF92 (ncbi_8258360), ABAH1 (ncbi_8275341), and G2OX (ncbi_8264113) belonged are hormone response factors. NAC72 (ncbi_8263571), NAC56 (ncbi_8268675), and NAC29 (ncbi_8281834) are members of the NAC family of transcription factors. The eight </w:t>
      </w:r>
      <w:r>
        <w:rPr>
          <w:rFonts w:eastAsia="等线"/>
          <w:color w:val="000000"/>
          <w:kern w:val="2"/>
          <w:szCs w:val="22"/>
          <w:lang w:bidi="ar"/>
        </w:rPr>
        <w:t>DEG</w:t>
      </w:r>
      <w:r>
        <w:rPr>
          <w:rFonts w:eastAsia="等线"/>
          <w:color w:val="000000"/>
          <w:kern w:val="2"/>
          <w:szCs w:val="22"/>
          <w:shd w:fill="FFFFFF" w:val="clear"/>
          <w:lang w:bidi="ar"/>
        </w:rPr>
        <w:t xml:space="preserve"> expression trends were consistent with the transcriptome results, confirming the reliability of our overall transcriptome data, as shown in Fig 5. RADL5 (protein RADIALIS-like 5), ERF11 (ethylene-responsive transcription factor 1), ERF92 (ethylene-responsive transcription factor 1B), and G2OX (gibberellin 2-beta-dioxygenase) were expressed at high levels in the MI but at low levels in the SFI. In the SFI, ABAH1 (abscisic acid 8-hydroxylase 1) expression was high but was low in the BI. </w:t>
      </w:r>
      <w:bookmarkStart w:id="13" w:name="_Hlk154510204"/>
      <w:r>
        <w:rPr>
          <w:rFonts w:eastAsia="等线"/>
          <w:color w:val="000000"/>
          <w:kern w:val="2"/>
          <w:szCs w:val="22"/>
          <w:shd w:fill="FFFFFF" w:val="clear"/>
          <w:lang w:bidi="ar"/>
        </w:rPr>
        <w:t>The expression of NAC72, NAC56, and NAC29</w:t>
      </w:r>
      <w:bookmarkEnd w:id="13"/>
      <w:r>
        <w:rPr>
          <w:rFonts w:eastAsia="等线"/>
          <w:color w:val="000000"/>
          <w:kern w:val="2"/>
          <w:szCs w:val="22"/>
          <w:shd w:fill="FFFFFF" w:val="clear"/>
          <w:lang w:bidi="ar"/>
        </w:rPr>
        <w:t xml:space="preserve"> decreased in the SFI. These genes may play important </w:t>
      </w:r>
      <w:r>
        <w:rPr>
          <w:rFonts w:eastAsia="等线"/>
          <w:color w:val="000000"/>
          <w:kern w:val="2"/>
          <w:szCs w:val="22"/>
          <w:lang w:bidi="ar"/>
        </w:rPr>
        <w:t>roles</w:t>
      </w:r>
      <w:r>
        <w:rPr>
          <w:rFonts w:eastAsia="等线"/>
          <w:color w:val="000000"/>
          <w:kern w:val="2"/>
          <w:szCs w:val="22"/>
          <w:shd w:fill="FFFFFF" w:val="clear"/>
          <w:lang w:bidi="ar"/>
        </w:rPr>
        <w:t xml:space="preserve"> in the differentiation of castor inflorescences.</w:t>
      </w:r>
    </w:p>
    <w:p>
      <w:pPr>
        <w:pStyle w:val="Normal"/>
        <w:widowControl w:val="false"/>
        <w:snapToGrid w:val="false"/>
        <w:spacing w:before="0" w:after="0"/>
        <w:jc w:val="center"/>
        <w:rPr>
          <w:rFonts w:eastAsia="等线"/>
          <w:color w:val="000000"/>
          <w:kern w:val="2"/>
          <w:szCs w:val="22"/>
          <w:highlight w:val="white"/>
          <w:lang w:bidi="ar"/>
        </w:rPr>
      </w:pPr>
      <w:r>
        <w:rPr/>
        <w:drawing>
          <wp:inline distT="0" distB="0" distL="0" distR="0">
            <wp:extent cx="5274310" cy="2378710"/>
            <wp:effectExtent l="0" t="0" r="0" b="0"/>
            <wp:docPr id="6" name="图片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descr=""/>
                    <pic:cNvPicPr>
                      <a:picLocks noChangeAspect="1" noChangeArrowheads="1"/>
                    </pic:cNvPicPr>
                  </pic:nvPicPr>
                  <pic:blipFill>
                    <a:blip r:embed="rId8"/>
                    <a:stretch>
                      <a:fillRect/>
                    </a:stretch>
                  </pic:blipFill>
                  <pic:spPr bwMode="auto">
                    <a:xfrm>
                      <a:off x="0" y="0"/>
                      <a:ext cx="5274310" cy="2378710"/>
                    </a:xfrm>
                    <a:prstGeom prst="rect">
                      <a:avLst/>
                    </a:prstGeom>
                  </pic:spPr>
                </pic:pic>
              </a:graphicData>
            </a:graphic>
          </wp:inline>
        </w:drawing>
      </w:r>
    </w:p>
    <w:p>
      <w:pPr>
        <w:pStyle w:val="Normal"/>
        <w:rPr>
          <w:bCs/>
          <w:szCs w:val="22"/>
        </w:rPr>
      </w:pPr>
      <w:r>
        <w:rPr>
          <w:b/>
          <w:szCs w:val="22"/>
          <w:shd w:fill="FFFFFF" w:val="clear"/>
        </w:rPr>
        <w:t xml:space="preserve">Figure 4: </w:t>
      </w:r>
      <w:r>
        <w:rPr>
          <w:bCs/>
          <w:szCs w:val="22"/>
        </w:rPr>
        <w:t>KEGG pathway analysis of DEGs</w:t>
      </w:r>
      <w:r>
        <w:rPr>
          <w:b/>
          <w:szCs w:val="22"/>
        </w:rPr>
        <w:t>.</w:t>
      </w:r>
      <w:r>
        <w:rPr>
          <w:szCs w:val="22"/>
        </w:rPr>
        <w:t xml:space="preserve"> </w:t>
      </w:r>
      <w:r>
        <w:rPr>
          <w:bCs/>
          <w:szCs w:val="22"/>
        </w:rPr>
        <w:t xml:space="preserve">a, KEGG enrichment analysis of DEGs in the SFI-vs.-MI group; b, KEGG enrichment analysis of DEGs in the BI-vs.-MI group. </w:t>
      </w:r>
    </w:p>
    <w:p>
      <w:pPr>
        <w:pStyle w:val="Normal"/>
        <w:widowControl w:val="false"/>
        <w:snapToGrid w:val="false"/>
        <w:spacing w:before="0" w:after="0"/>
        <w:rPr>
          <w:rFonts w:eastAsia="等线"/>
          <w:color w:val="000000"/>
          <w:kern w:val="2"/>
          <w:szCs w:val="22"/>
          <w:highlight w:val="white"/>
          <w:lang w:bidi="ar"/>
        </w:rPr>
      </w:pPr>
      <w:r>
        <w:rPr/>
        <w:drawing>
          <wp:inline distT="0" distB="0" distL="0" distR="0">
            <wp:extent cx="5274310" cy="2414270"/>
            <wp:effectExtent l="0" t="0" r="0" b="0"/>
            <wp:docPr id="7"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2" descr=""/>
                    <pic:cNvPicPr>
                      <a:picLocks noChangeAspect="1" noChangeArrowheads="1"/>
                    </pic:cNvPicPr>
                  </pic:nvPicPr>
                  <pic:blipFill>
                    <a:blip r:embed="rId9"/>
                    <a:stretch>
                      <a:fillRect/>
                    </a:stretch>
                  </pic:blipFill>
                  <pic:spPr bwMode="auto">
                    <a:xfrm>
                      <a:off x="0" y="0"/>
                      <a:ext cx="5274310" cy="2414270"/>
                    </a:xfrm>
                    <a:prstGeom prst="rect">
                      <a:avLst/>
                    </a:prstGeom>
                  </pic:spPr>
                </pic:pic>
              </a:graphicData>
            </a:graphic>
          </wp:inline>
        </w:drawing>
      </w:r>
    </w:p>
    <w:p>
      <w:pPr>
        <w:pStyle w:val="Normal"/>
        <w:rPr>
          <w:sz w:val="21"/>
        </w:rPr>
      </w:pPr>
      <w:r>
        <w:rPr>
          <w:b/>
          <w:bCs/>
        </w:rPr>
        <w:t>Figure 5</w:t>
      </w:r>
      <w:r>
        <w:rPr/>
        <w:t xml:space="preserve"> </w:t>
      </w:r>
      <w:r>
        <w:rPr>
          <w:lang w:bidi="ar"/>
        </w:rPr>
        <w:t>RT‒qPCR</w:t>
      </w:r>
      <w:r>
        <w:rPr/>
        <w:t xml:space="preserve"> analysis of DEGs. MI: complete pistil without willow leaves, SFI: complete pistil with willow leaves, BI: monoecious inflorescence. RADL5: protein RADIALIS-like, ERF11: ethylene-responsive transcription factor 1, ERF92: ethylene-responsive transcription factor 1B, G2OX: gibberellin 2-beta-dioxygenase, ABAH1: abscisic acid 8-hydroxylase 1. NAC72, NAC56, and NAC29 are NAC transcription factors.</w:t>
      </w:r>
    </w:p>
    <w:p>
      <w:pPr>
        <w:pStyle w:val="Normal"/>
        <w:widowControl w:val="false"/>
        <w:snapToGrid w:val="false"/>
        <w:spacing w:before="240" w:after="60"/>
        <w:rPr>
          <w:b/>
          <w:b/>
          <w:color w:val="000000" w:themeColor="text1"/>
          <w:szCs w:val="22"/>
        </w:rPr>
      </w:pPr>
      <w:r>
        <w:rPr>
          <w:b/>
          <w:color w:val="000000" w:themeColor="text1"/>
          <w:szCs w:val="22"/>
        </w:rPr>
        <w:t>4 Discussion</w:t>
      </w:r>
    </w:p>
    <w:p>
      <w:pPr>
        <w:pStyle w:val="Normal"/>
        <w:widowControl w:val="false"/>
        <w:snapToGrid w:val="false"/>
        <w:spacing w:before="0" w:after="0"/>
        <w:ind w:firstLine="440"/>
        <w:rPr>
          <w:szCs w:val="22"/>
        </w:rPr>
      </w:pPr>
      <w:r>
        <w:rPr>
          <w:szCs w:val="22"/>
          <w:lang w:bidi="ar"/>
        </w:rPr>
        <w:t xml:space="preserve">Generally, the transcriptome sequencing method has been widely applied to analyze the key mechanism of growth and development of many plant species </w:t>
      </w:r>
      <w:r>
        <w:fldChar w:fldCharType="begin"/>
      </w:r>
      <w:r>
        <w:rPr>
          <w:szCs w:val="22"/>
          <w:lang w:bidi="ar"/>
        </w:rPr>
        <w:instrText>ADDIN EN.CITE &lt;EndNote&gt;&lt;Cite&gt;&lt;Author&gt;Yu&lt;/Author&gt;&lt;Year&gt;2022&lt;/Year&gt;&lt;RecNum&gt;16&lt;/RecNum&gt;&lt;DisplayText&gt;[13]&lt;/DisplayText&gt;&lt;record&gt;&lt;rec-number&gt;16&lt;/rec-number&gt;&lt;foreign-keys&gt;&lt;key app="EN" db-id="es2vseptt50xdreps0evpxv0xvw0padast9f" timestamp="1665384577"&gt;16&lt;/key&gt;&lt;/foreign-keys&gt;&lt;ref-type name="Journal Article"&gt;17&lt;/ref-type&gt;&lt;contributors&gt;&lt;authors&gt;&lt;author&gt;Yu, Yiming&lt;/author&gt;&lt;author&gt;Zhang, Hong&lt;/author&gt;&lt;author&gt;Long, Yanping&lt;/author&gt;&lt;author&gt;Shu, Yi&lt;/author&gt;&lt;author&gt;Zhai, Jixian&lt;/author&gt;&lt;/authors&gt;&lt;/contributors&gt;&lt;titles&gt;&lt;title&gt;Plant Public RNA-seq Database: a comprehensive online database for expression analysis of similar to 45 000 plant public RNA-Seq libraries&lt;/title&gt;&lt;secondary-title&gt;Plant Biotechnology Journal&lt;/secondary-title&gt;&lt;/titles&gt;&lt;periodical&gt;&lt;full-title&gt;Plant Biotechnology Journal&lt;/full-title&gt;&lt;/periodical&gt;&lt;pages&gt;806-808&lt;/pages&gt;&lt;volume&gt;20&lt;/volume&gt;&lt;number&gt;5&lt;/number&gt;&lt;dates&gt;&lt;year&gt;2022&lt;/year&gt;&lt;pub-dates&gt;&lt;date&gt;May&lt;/date&gt;&lt;/pub-dates&gt;&lt;/dates&gt;&lt;isbn&gt;1467-7644&lt;/isbn&gt;&lt;accession-num&gt;WOS:000765041400001&lt;/accession-num&gt;&lt;urls&gt;&lt;related-urls&gt;&lt;url&gt;&amp;lt;Go to ISI&amp;gt;://WOS:000765041400001&lt;/url&gt;&lt;/related-urls&gt;&lt;/urls&gt;&lt;electronic-resource-num&gt;10.1111/pbi.13798&lt;/electronic-resource-num&gt;&lt;/record&gt;&lt;/Cite&gt;&lt;/EndNote&gt;</w:instrText>
      </w:r>
      <w:r>
        <w:rPr>
          <w:szCs w:val="22"/>
          <w:lang w:bidi="ar"/>
        </w:rPr>
      </w:r>
      <w:r>
        <w:rPr>
          <w:szCs w:val="22"/>
          <w:lang w:bidi="ar"/>
        </w:rPr>
        <w:fldChar w:fldCharType="separate"/>
      </w:r>
      <w:r>
        <w:rPr>
          <w:szCs w:val="22"/>
          <w:lang w:bidi="ar"/>
        </w:rPr>
        <w:t>[13]</w:t>
      </w:r>
      <w:r>
        <w:rPr>
          <w:szCs w:val="22"/>
          <w:lang w:bidi="ar"/>
        </w:rPr>
      </w:r>
      <w:r>
        <w:rPr>
          <w:szCs w:val="22"/>
          <w:lang w:bidi="ar"/>
        </w:rPr>
        <w:fldChar w:fldCharType="end"/>
      </w:r>
      <w:r>
        <w:rPr>
          <w:szCs w:val="22"/>
          <w:lang w:bidi="ar"/>
        </w:rPr>
        <w:t>. To date, transcriptome information on</w:t>
      </w:r>
      <w:r>
        <w:rPr>
          <w:rFonts w:eastAsia="等线"/>
          <w:i/>
          <w:szCs w:val="22"/>
          <w:lang w:bidi="ar"/>
        </w:rPr>
        <w:t xml:space="preserve"> Ricinus communis</w:t>
      </w:r>
      <w:r>
        <w:rPr>
          <w:rFonts w:eastAsia="等线"/>
          <w:szCs w:val="22"/>
          <w:lang w:bidi="ar"/>
        </w:rPr>
        <w:t xml:space="preserve"> </w:t>
      </w:r>
      <w:r>
        <w:rPr>
          <w:szCs w:val="22"/>
          <w:lang w:bidi="ar"/>
        </w:rPr>
        <w:t xml:space="preserve">is limited </w:t>
      </w:r>
      <w:r>
        <w:fldChar w:fldCharType="begin"/>
      </w:r>
      <w:r>
        <w:rPr>
          <w:szCs w:val="22"/>
          <w:lang w:bidi="ar"/>
        </w:rPr>
        <w:instrText>ADDIN EN.CITE &lt;EndNote&gt;&lt;Cite&gt;&lt;Author&gt;Wang&lt;/Author&gt;&lt;Year&gt;2012&lt;/Year&gt;&lt;RecNum&gt;17&lt;/RecNum&gt;&lt;DisplayText&gt;[19]&lt;/DisplayText&gt;&lt;record&gt;&lt;rec-number&gt;17&lt;/rec-number&gt;&lt;foreign-keys&gt;&lt;key app="EN" db-id="es2vseptt50xdreps0evpxv0xvw0padast9f" timestamp="1665384655"&gt;17&lt;/key&gt;&lt;/foreign-keys&gt;&lt;ref-type name="Journal Article"&gt;17&lt;/ref-type&gt;&lt;contributors&gt;&lt;authors&gt;&lt;author&gt;Wang, Lei&lt;/author&gt;&lt;author&gt;Tan, Meilian&lt;/author&gt;&lt;author&gt;Yan, Mingfang&lt;/author&gt;&lt;author&gt;Wang, Lijun&lt;/author&gt;&lt;author&gt;Yan, Xingchu&lt;/author&gt;&lt;/authors&gt;&lt;translated-authors&gt;&lt;author&gt;汪磊,&lt;/author&gt;&lt;author&gt;谭美莲,&lt;/author&gt;&lt;author&gt;严明芳,&lt;/author&gt;&lt;author&gt;王力军,&lt;/author&gt;&lt;author&gt;严兴初,&lt;/author&gt;&lt;/translated-authors&gt;&lt;/contributors&gt;&lt;titles&gt;&lt;title&gt;Initial research on inflorescence characteristics and flower bud differentiation of Ricinus communis L&lt;/title&gt;&lt;secondary-title&gt;Chinese Journal of Oil Crop Sciences&lt;/secondary-title&gt;&lt;translated-title&gt;蓖麻花序特征及花芽分化的初步研究&lt;/translated-title&gt;&lt;/titles&gt;&lt;periodical&gt;&lt;full-title&gt;Chinese Journal of Oil Crop Sciences&lt;/full-title&gt;&lt;/periodical&gt;&lt;pages&gt;544-550&lt;/pages&gt;&lt;volume&gt;34&lt;/volume&gt;&lt;number&gt;5&lt;/number&gt;&lt;dates&gt;&lt;year&gt;2012&lt;/year&gt;&lt;pub-dates&gt;&lt;date&gt;2012&lt;/date&gt;&lt;/pub-dates&gt;&lt;/dates&gt;&lt;isbn&gt;1007-9084&lt;/isbn&gt;&lt;accession-num&gt;CSCD:4658845&lt;/accession-num&gt;&lt;urls&gt;&lt;related-urls&gt;&lt;url&gt;&amp;lt;Go to ISI&amp;gt;://CSCD:4658845&lt;/url&gt;&lt;/related-urls&gt;&lt;/urls&gt;&lt;custom7&gt;1007-9084(2012)34:5&amp;lt;544:Bmhxtz&amp;gt;2.0.Tx;2-z&lt;/custom7&gt;&lt;/record&gt;&lt;/Cite&gt;&lt;/EndNote&gt;</w:instrText>
      </w:r>
      <w:r>
        <w:rPr>
          <w:szCs w:val="22"/>
          <w:lang w:bidi="ar"/>
        </w:rPr>
      </w:r>
      <w:r>
        <w:rPr>
          <w:szCs w:val="22"/>
          <w:lang w:bidi="ar"/>
        </w:rPr>
        <w:fldChar w:fldCharType="separate"/>
      </w:r>
      <w:r>
        <w:rPr>
          <w:szCs w:val="22"/>
          <w:lang w:bidi="ar"/>
        </w:rPr>
        <w:t>[19]</w:t>
      </w:r>
      <w:r>
        <w:rPr>
          <w:szCs w:val="22"/>
          <w:lang w:bidi="ar"/>
        </w:rPr>
      </w:r>
      <w:r>
        <w:rPr>
          <w:szCs w:val="22"/>
          <w:lang w:bidi="ar"/>
        </w:rPr>
        <w:fldChar w:fldCharType="end"/>
      </w:r>
      <w:r>
        <w:rPr>
          <w:szCs w:val="22"/>
          <w:lang w:bidi="ar"/>
        </w:rPr>
        <w:t xml:space="preserve">. In this study, we compared transcriptome data from three </w:t>
      </w:r>
      <w:r>
        <w:rPr>
          <w:rFonts w:eastAsia="Palatino Linotype"/>
          <w:color w:val="000000"/>
          <w:szCs w:val="22"/>
          <w:lang w:bidi="ar"/>
        </w:rPr>
        <w:t>inflorescence types</w:t>
      </w:r>
      <w:r>
        <w:rPr>
          <w:rFonts w:eastAsia="等线"/>
          <w:szCs w:val="22"/>
          <w:lang w:bidi="ar"/>
        </w:rPr>
        <w:t xml:space="preserve"> at the five-leaf stage</w:t>
      </w:r>
      <w:r>
        <w:rPr>
          <w:szCs w:val="22"/>
          <w:lang w:bidi="ar"/>
        </w:rPr>
        <w:t xml:space="preserve"> in </w:t>
      </w:r>
      <w:r>
        <w:rPr>
          <w:rFonts w:eastAsia="等线"/>
          <w:iCs/>
          <w:szCs w:val="22"/>
          <w:lang w:bidi="ar"/>
        </w:rPr>
        <w:t>castor</w:t>
      </w:r>
      <w:r>
        <w:rPr>
          <w:szCs w:val="22"/>
          <w:lang w:bidi="ar"/>
        </w:rPr>
        <w:t xml:space="preserve">. Here, </w:t>
      </w:r>
      <w:r>
        <w:rPr>
          <w:color w:val="222222"/>
          <w:szCs w:val="22"/>
          <w:lang w:bidi="ar"/>
        </w:rPr>
        <w:t>683-971 million clean reads were obtained, and more than 97% of the reads showed high-quality values</w:t>
      </w:r>
      <w:r>
        <w:rPr>
          <w:szCs w:val="22"/>
          <w:lang w:bidi="ar"/>
        </w:rPr>
        <w:t xml:space="preserve"> (Table 1). In addition, 21,886 unigenes were successfully and correctly annotated in previous data and in the genome of </w:t>
      </w:r>
      <w:r>
        <w:rPr>
          <w:rFonts w:eastAsia="等线"/>
          <w:i/>
          <w:szCs w:val="22"/>
          <w:lang w:bidi="ar"/>
        </w:rPr>
        <w:t>R. communis</w:t>
      </w:r>
      <w:r>
        <w:rPr>
          <w:szCs w:val="22"/>
          <w:lang w:bidi="ar"/>
        </w:rPr>
        <w:t xml:space="preserve"> (</w:t>
      </w:r>
      <w:r>
        <w:rPr>
          <w:rFonts w:eastAsia="等线"/>
          <w:color w:val="000000" w:themeColor="text1"/>
          <w:kern w:val="2"/>
          <w:szCs w:val="22"/>
          <w:lang w:bidi="ar"/>
        </w:rPr>
        <w:t>Table S5</w:t>
      </w:r>
      <w:r>
        <w:rPr>
          <w:szCs w:val="22"/>
          <w:lang w:bidi="ar"/>
        </w:rPr>
        <w:t>). Accordingly, these results also suggested that the assembly of the transcriptome was reliable for the castor materials in this study. Therefore, these data can be used to analyze the mechanism of in</w:t>
      </w:r>
      <w:r>
        <w:rPr>
          <w:rFonts w:eastAsia="AdvOT596495f2 fb"/>
          <w:szCs w:val="22"/>
          <w:lang w:bidi="ar"/>
        </w:rPr>
        <w:t>fl</w:t>
      </w:r>
      <w:r>
        <w:rPr>
          <w:szCs w:val="22"/>
          <w:lang w:bidi="ar"/>
        </w:rPr>
        <w:t xml:space="preserve">orescence development in </w:t>
      </w:r>
      <w:r>
        <w:rPr>
          <w:rFonts w:eastAsia="等线"/>
          <w:i/>
          <w:szCs w:val="22"/>
          <w:lang w:bidi="ar"/>
        </w:rPr>
        <w:t>R. communis</w:t>
      </w:r>
      <w:r>
        <w:rPr>
          <w:szCs w:val="22"/>
          <w:lang w:bidi="ar"/>
        </w:rPr>
        <w:t>. Moreover, the results also provide information for selecting key genes involved in in</w:t>
      </w:r>
      <w:r>
        <w:rPr>
          <w:rFonts w:eastAsia="AdvOT596495f2 fb"/>
          <w:szCs w:val="22"/>
          <w:lang w:bidi="ar"/>
        </w:rPr>
        <w:t>fl</w:t>
      </w:r>
      <w:r>
        <w:rPr>
          <w:szCs w:val="22"/>
          <w:lang w:bidi="ar"/>
        </w:rPr>
        <w:t>orescence sex determination in castor.</w:t>
      </w:r>
    </w:p>
    <w:p>
      <w:pPr>
        <w:pStyle w:val="Normal"/>
        <w:widowControl w:val="false"/>
        <w:snapToGrid w:val="false"/>
        <w:spacing w:before="0" w:after="0"/>
        <w:ind w:firstLine="480"/>
        <w:rPr>
          <w:rFonts w:eastAsia="等线"/>
          <w:kern w:val="2"/>
          <w:szCs w:val="22"/>
          <w:lang w:bidi="ar"/>
        </w:rPr>
      </w:pPr>
      <w:r>
        <w:rPr>
          <w:szCs w:val="22"/>
          <w:lang w:bidi="ar"/>
        </w:rPr>
        <w:t xml:space="preserve">Many </w:t>
      </w:r>
      <w:r>
        <w:rPr>
          <w:rFonts w:eastAsia="等线"/>
          <w:kern w:val="2"/>
          <w:szCs w:val="22"/>
          <w:lang w:bidi="ar"/>
        </w:rPr>
        <w:t>transcription factors</w:t>
      </w:r>
      <w:r>
        <w:rPr>
          <w:szCs w:val="22"/>
          <w:lang w:bidi="ar"/>
        </w:rPr>
        <w:t xml:space="preserve"> (TFs) in plants play important roles in </w:t>
      </w:r>
      <w:r>
        <w:rPr>
          <w:rFonts w:eastAsia="AdvOT596495f2 fb"/>
          <w:szCs w:val="22"/>
          <w:lang w:bidi="ar"/>
        </w:rPr>
        <w:t>fl</w:t>
      </w:r>
      <w:r>
        <w:rPr>
          <w:szCs w:val="22"/>
          <w:lang w:bidi="ar"/>
        </w:rPr>
        <w:t>ower sex di</w:t>
      </w:r>
      <w:r>
        <w:rPr>
          <w:rFonts w:eastAsia="AdvOT596495f2 fb"/>
          <w:szCs w:val="22"/>
          <w:lang w:bidi="ar"/>
        </w:rPr>
        <w:t>ff</w:t>
      </w:r>
      <w:r>
        <w:rPr>
          <w:szCs w:val="22"/>
          <w:lang w:bidi="ar"/>
        </w:rPr>
        <w:t>erentiation. For example, the MADS-box family of TF genes governs the sex di</w:t>
      </w:r>
      <w:r>
        <w:rPr>
          <w:rFonts w:eastAsia="AdvOT596495f2 fb"/>
          <w:szCs w:val="22"/>
          <w:lang w:bidi="ar"/>
        </w:rPr>
        <w:t>ff</w:t>
      </w:r>
      <w:r>
        <w:rPr>
          <w:szCs w:val="22"/>
          <w:lang w:bidi="ar"/>
        </w:rPr>
        <w:t xml:space="preserve">erentiation of male and female </w:t>
      </w:r>
      <w:r>
        <w:rPr>
          <w:rFonts w:eastAsia="AdvOT596495f2 fb"/>
          <w:szCs w:val="22"/>
          <w:lang w:bidi="ar"/>
        </w:rPr>
        <w:t>fl</w:t>
      </w:r>
      <w:r>
        <w:rPr>
          <w:szCs w:val="22"/>
          <w:lang w:bidi="ar"/>
        </w:rPr>
        <w:t xml:space="preserve">owers in unisexual plants </w:t>
      </w:r>
      <w:r>
        <w:fldChar w:fldCharType="begin"/>
      </w:r>
      <w:r>
        <w:rPr>
          <w:szCs w:val="22"/>
          <w:lang w:bidi="ar"/>
        </w:rPr>
        <w:instrText>ADDIN EN.CITE &lt;EndNote&gt;&lt;Cite&gt;&lt;Author&gt;Fu&lt;/Author&gt;&lt;Year&gt;2018&lt;/Year&gt;&lt;RecNum&gt;18&lt;/RecNum&gt;&lt;DisplayText&gt;[20]&lt;/DisplayText&gt;&lt;record&gt;&lt;rec-number&gt;18&lt;/rec-number&gt;&lt;foreign-keys&gt;&lt;key app="EN" db-id="es2vseptt50xdreps0evpxv0xvw0padast9f" timestamp="1665384722"&gt;18&lt;/key&gt;&lt;/foreign-keys&gt;&lt;ref-type name="Journal Article"&gt;17&lt;/ref-type&gt;&lt;contributors&gt;&lt;authors&gt;&lt;author&gt;Fu, Qiantang&lt;/author&gt;&lt;author&gt;Niu, Longjian&lt;/author&gt;&lt;author&gt;Chen, Mao-Sheng&lt;/author&gt;&lt;author&gt;Tao, Yan-Bin&lt;/author&gt;&lt;author&gt;Wang, Xiulan&lt;/author&gt;&lt;author&gt;He, Huiying&lt;/author&gt;&lt;author&gt;Pan, Bang-Zhen&lt;/author&gt;&lt;author&gt;Xu, Zeng-Fu&lt;/author&gt;&lt;/authors&gt;&lt;/contributors&gt;&lt;titles&gt;&lt;title&gt;De novo transcriptome assembly and comparative analysis between male and benzyladenine-induced female inflorescence buds of Plukenetia volubilis&lt;/title&gt;&lt;secondary-title&gt;Journal of Plant Physiology&lt;/secondary-title&gt;&lt;/titles&gt;&lt;periodical&gt;&lt;full-title&gt;Journal of Plant Physiology&lt;/full-title&gt;&lt;/periodical&gt;&lt;pages&gt;107-118&lt;/pages&gt;&lt;volume&gt;221&lt;/volume&gt;&lt;dates&gt;&lt;year&gt;2018&lt;/year&gt;&lt;pub-dates&gt;&lt;date&gt;Feb&lt;/date&gt;&lt;/pub-dates&gt;&lt;/dates&gt;&lt;isbn&gt;0176-1617&lt;/isbn&gt;&lt;accession-num&gt;WOS:000424760300014&lt;/accession-num&gt;&lt;urls&gt;&lt;related-urls&gt;&lt;url&gt;&amp;lt;Go to ISI&amp;gt;://WOS:000424760300014&lt;/url&gt;&lt;/related-urls&gt;&lt;/urls&gt;&lt;electronic-resource-num&gt;10.1016/j.jplph.2017.12.006&lt;/electronic-resource-num&gt;&lt;/record&gt;&lt;/Cite&gt;&lt;/EndNote&gt;</w:instrText>
      </w:r>
      <w:r>
        <w:rPr>
          <w:szCs w:val="22"/>
          <w:lang w:bidi="ar"/>
        </w:rPr>
      </w:r>
      <w:r>
        <w:rPr>
          <w:szCs w:val="22"/>
          <w:lang w:bidi="ar"/>
        </w:rPr>
        <w:fldChar w:fldCharType="separate"/>
      </w:r>
      <w:r>
        <w:rPr>
          <w:szCs w:val="22"/>
          <w:lang w:bidi="ar"/>
        </w:rPr>
        <w:t>[20]</w:t>
      </w:r>
      <w:r>
        <w:rPr>
          <w:szCs w:val="22"/>
          <w:lang w:bidi="ar"/>
        </w:rPr>
      </w:r>
      <w:r>
        <w:rPr>
          <w:szCs w:val="22"/>
          <w:lang w:bidi="ar"/>
        </w:rPr>
        <w:fldChar w:fldCharType="end"/>
      </w:r>
      <w:r>
        <w:rPr>
          <w:szCs w:val="22"/>
          <w:lang w:bidi="ar"/>
        </w:rPr>
        <w:t xml:space="preserve">, with </w:t>
      </w:r>
      <w:r>
        <w:rPr>
          <w:rFonts w:eastAsia="等线"/>
          <w:kern w:val="2"/>
          <w:szCs w:val="22"/>
          <w:lang w:bidi="ar"/>
        </w:rPr>
        <w:t xml:space="preserve">176 TFs showing differential expression between male and hermaphroditic flowers </w:t>
      </w:r>
      <w:r>
        <w:fldChar w:fldCharType="begin"/>
      </w:r>
      <w:r>
        <w:rPr>
          <w:kern w:val="2"/>
          <w:szCs w:val="22"/>
          <w:rFonts w:eastAsia="等线"/>
          <w:lang w:bidi="ar"/>
        </w:rPr>
        <w:instrText>ADDIN EN.CITE &lt;EndNote&gt;&lt;Cite&gt;&lt;Author&gt;Li&lt;/Author&gt;&lt;Year&gt;2017&lt;/Year&gt;&lt;RecNum&gt;19&lt;/RecNum&gt;&lt;DisplayText&gt;[21]&lt;/DisplayText&gt;&lt;record&gt;&lt;rec-number&gt;19&lt;/rec-number&gt;&lt;foreign-keys&gt;&lt;key app="EN" db-id="es2vseptt50xdreps0evpxv0xvw0padast9f" timestamp="1665384786"&gt;19&lt;/key&gt;&lt;/foreign-keys&gt;&lt;ref-type name="Journal Article"&gt;17&lt;/ref-type&gt;&lt;contributors&gt;&lt;authors&gt;&lt;author&gt;Li, Weiguo&lt;/author&gt;&lt;author&gt;Zhang, Lihui&lt;/author&gt;&lt;author&gt;Ding, Zhan&lt;/author&gt;&lt;author&gt;Wang, Guodong&lt;/author&gt;&lt;author&gt;Zhang, Yandi&lt;/author&gt;&lt;author&gt;Gong, Hongmei&lt;/author&gt;&lt;author&gt;Chang, Tianjun&lt;/author&gt;&lt;author&gt;Zhang, Yanwen&lt;/author&gt;&lt;/authors&gt;&lt;/contributors&gt;&lt;titles&gt;&lt;title&gt;De novo sequencing and comparative transcriptome analysis of the male and hermaphroditic flowers provide insights into the regulation of flower formation in andromonoecious taihangia rupestris&lt;/title&gt;&lt;secondary-title&gt;Bmc Plant Biology&lt;/secondary-title&gt;&lt;/titles&gt;&lt;periodical&gt;&lt;full-title&gt;Bmc Plant Biology&lt;/full-title&gt;&lt;/periodical&gt;&lt;volume&gt;17&lt;/volume&gt;&lt;dates&gt;&lt;year&gt;2017&lt;/year&gt;&lt;pub-dates&gt;&lt;date&gt;Feb 28&lt;/date&gt;&lt;/pub-dates&gt;&lt;/dates&gt;&lt;isbn&gt;1471-2229&lt;/isbn&gt;&lt;accession-num&gt;WOS:000394823000001&lt;/accession-num&gt;&lt;urls&gt;&lt;related-urls&gt;&lt;url&gt;&amp;lt;Go to ISI&amp;gt;://WOS:000394823000001&lt;/url&gt;&lt;/related-urls&gt;&lt;/urls&gt;&lt;custom7&gt;54&lt;/custom7&gt;&lt;electronic-resource-num&gt;10.1186/s12870-017-0990-x&lt;/electronic-resource-num&gt;&lt;/record&gt;&lt;/Cite&gt;&lt;/EndNote&gt;</w:instrText>
      </w:r>
      <w:r>
        <w:rPr>
          <w:rFonts w:eastAsia="等线"/>
          <w:kern w:val="2"/>
          <w:szCs w:val="22"/>
          <w:lang w:bidi="ar"/>
        </w:rPr>
      </w:r>
      <w:r>
        <w:rPr>
          <w:kern w:val="2"/>
          <w:szCs w:val="22"/>
          <w:rFonts w:eastAsia="等线"/>
          <w:lang w:bidi="ar"/>
        </w:rPr>
        <w:fldChar w:fldCharType="separate"/>
      </w:r>
      <w:r>
        <w:rPr>
          <w:rFonts w:eastAsia="等线"/>
          <w:kern w:val="2"/>
          <w:szCs w:val="22"/>
          <w:lang w:bidi="ar"/>
        </w:rPr>
        <w:t>[21]</w:t>
      </w:r>
      <w:r>
        <w:rPr>
          <w:rFonts w:eastAsia="等线"/>
          <w:kern w:val="2"/>
          <w:szCs w:val="22"/>
          <w:lang w:bidi="ar"/>
        </w:rPr>
      </w:r>
      <w:r>
        <w:rPr>
          <w:kern w:val="2"/>
          <w:szCs w:val="22"/>
          <w:rFonts w:eastAsia="等线"/>
          <w:lang w:bidi="ar"/>
        </w:rPr>
        <w:fldChar w:fldCharType="end"/>
      </w:r>
      <w:r>
        <w:rPr>
          <w:rFonts w:eastAsia="等线"/>
          <w:kern w:val="2"/>
          <w:szCs w:val="22"/>
          <w:lang w:bidi="ar"/>
        </w:rPr>
        <w:t xml:space="preserve">. Eight TFs have been found to regulate flavonoid biosynthesis by promoting the expression of multiple structural genes during flower sex differentiation </w:t>
      </w:r>
      <w:r>
        <w:fldChar w:fldCharType="begin"/>
      </w:r>
      <w:r>
        <w:rPr>
          <w:kern w:val="2"/>
          <w:szCs w:val="22"/>
          <w:rFonts w:eastAsia="等线"/>
          <w:lang w:bidi="ar"/>
        </w:rPr>
        <w:instrText>ADDIN EN.CITE &lt;EndNote&gt;&lt;Cite&gt;&lt;Author&gt;Jiao&lt;/Author&gt;&lt;Year&gt;2022&lt;/Year&gt;&lt;RecNum&gt;20&lt;/RecNum&gt;&lt;DisplayText&gt;[22]&lt;/DisplayText&gt;&lt;record&gt;&lt;rec-number&gt;20&lt;/rec-number&gt;&lt;foreign-keys&gt;&lt;key app="EN" db-id="es2vseptt50xdreps0evpxv0xvw0padast9f" timestamp="1665384865"&gt;20&lt;/key&gt;&lt;/foreign-keys&gt;&lt;ref-type name="Journal Article"&gt;17&lt;/ref-type&gt;&lt;contributors&gt;&lt;authors&gt;&lt;author&gt;Jiao, Peng&lt;/author&gt;&lt;author&gt;Chaoyang, Li&lt;/author&gt;&lt;author&gt;Wenhan, Zhai&lt;/author&gt;&lt;author&gt;Jingyi, Dai&lt;/author&gt;&lt;author&gt;Yunlin, Zhao&lt;/author&gt;&lt;author&gt;Zhenggang, Xu&lt;/author&gt;&lt;/authors&gt;&lt;/contributors&gt;&lt;titles&gt;&lt;title&gt;Integrative Metabolome and Transcriptome Analysis of Flavonoid Biosynthesis Genes in Broussonetia papyrifera Leaves From the Perspective of Sex Differentiation&lt;/title&gt;&lt;secondary-title&gt;Frontiers in Plant Science&lt;/secondary-title&gt;&lt;/titles&gt;&lt;periodical&gt;&lt;full-title&gt;Frontiers in Plant Science&lt;/full-title&gt;&lt;/periodical&gt;&lt;volume&gt;13&lt;/volume&gt;&lt;dates&gt;&lt;year&gt;2022&lt;/year&gt;&lt;pub-dates&gt;&lt;date&gt;May 20&lt;/date&gt;&lt;/pub-dates&gt;&lt;/dates&gt;&lt;isbn&gt;1664-462X&lt;/isbn&gt;&lt;accession-num&gt;WOS:000806054900001&lt;/accession-num&gt;&lt;urls&gt;&lt;related-urls&gt;&lt;url&gt;&amp;lt;Go to ISI&amp;gt;://WOS:000806054900001&lt;/url&gt;&lt;/related-urls&gt;&lt;/urls&gt;&lt;custom7&gt;900030&lt;/custom7&gt;&lt;electronic-resource-num&gt;10.3389/fpls.2022.900030&lt;/electronic-resource-num&gt;&lt;/record&gt;&lt;/Cite&gt;&lt;/EndNote&gt;</w:instrText>
      </w:r>
      <w:r>
        <w:rPr>
          <w:rFonts w:eastAsia="等线"/>
          <w:kern w:val="2"/>
          <w:szCs w:val="22"/>
          <w:lang w:bidi="ar"/>
        </w:rPr>
      </w:r>
      <w:r>
        <w:rPr>
          <w:kern w:val="2"/>
          <w:szCs w:val="22"/>
          <w:rFonts w:eastAsia="等线"/>
          <w:lang w:bidi="ar"/>
        </w:rPr>
        <w:fldChar w:fldCharType="separate"/>
      </w:r>
      <w:r>
        <w:rPr>
          <w:rFonts w:eastAsia="等线"/>
          <w:kern w:val="2"/>
          <w:szCs w:val="22"/>
          <w:lang w:bidi="ar"/>
        </w:rPr>
        <w:t>[22]</w:t>
      </w:r>
      <w:r>
        <w:rPr>
          <w:rFonts w:eastAsia="等线"/>
          <w:kern w:val="2"/>
          <w:szCs w:val="22"/>
          <w:lang w:bidi="ar"/>
        </w:rPr>
      </w:r>
      <w:r>
        <w:rPr>
          <w:kern w:val="2"/>
          <w:szCs w:val="22"/>
          <w:rFonts w:eastAsia="等线"/>
          <w:lang w:bidi="ar"/>
        </w:rPr>
        <w:fldChar w:fldCharType="end"/>
      </w:r>
      <w:r>
        <w:rPr>
          <w:rFonts w:eastAsia="等线"/>
          <w:kern w:val="2"/>
          <w:szCs w:val="22"/>
          <w:lang w:bidi="ar"/>
        </w:rPr>
        <w:t xml:space="preserve">. Analysis of the transcriptome data revealed that PADL5 was expressed at higher levels in MI (Figure 5 and </w:t>
      </w:r>
      <w:r>
        <w:rPr>
          <w:rFonts w:eastAsia="等线"/>
          <w:color w:val="000000" w:themeColor="text1"/>
          <w:kern w:val="2"/>
          <w:szCs w:val="22"/>
          <w:lang w:bidi="ar"/>
        </w:rPr>
        <w:t>Table S2</w:t>
      </w:r>
      <w:r>
        <w:rPr>
          <w:rFonts w:eastAsia="等线"/>
          <w:kern w:val="2"/>
          <w:szCs w:val="22"/>
          <w:lang w:bidi="ar"/>
        </w:rPr>
        <w:t xml:space="preserve">). </w:t>
      </w:r>
      <w:r>
        <w:rPr>
          <w:szCs w:val="22"/>
          <w:lang w:bidi="ar"/>
        </w:rPr>
        <w:t xml:space="preserve">PADL5 is a member of the PAD subfamily of the MYB transcription factor family. RAD plays an important role in the development of flowers. The expression patterns and functions of RAD genes may vary among different plant species. In Arabidopsis, the RAD gene is involved in the formation of dorsal-ventral asymmetry in flowers </w:t>
      </w:r>
      <w:r>
        <w:fldChar w:fldCharType="begin"/>
      </w:r>
      <w:r>
        <w:rPr>
          <w:szCs w:val="22"/>
          <w:lang w:bidi="ar"/>
        </w:rPr>
        <w:instrText>ADDIN EN.CITE &lt;EndNote&gt;&lt;Cite&gt;&lt;Author&gt;Catherine&lt;/Author&gt;&lt;Year&gt;2007&lt;/Year&gt;&lt;RecNum&gt;237&lt;/RecNum&gt;&lt;DisplayText&gt;[23, 24]&lt;/DisplayText&gt;&lt;record&gt;&lt;rec-number&gt;237&lt;/rec-number&gt;&lt;foreign-keys&gt;&lt;key app="EN" db-id="es2vseptt50xdreps0evpxv0xvw0padast9f" timestamp="1703556875"&gt;237&lt;/key&gt;&lt;/foreign-keys&gt;&lt;ref-type name="Journal Article"&gt;17&lt;/ref-type&gt;&lt;contributors&gt;&lt;authors&gt;&lt;author&gt;Catherine, Baxter&lt;/author&gt;&lt;author&gt;Maria Manuela Ribeiro, Costa&lt;/author&gt;&lt;author&gt;Enrico, Coen&lt;/author&gt;&lt;/authors&gt;&lt;/contributors&gt;&lt;titles&gt;&lt;title&gt;Diversification and co-option of RAD-like genes in the evolution of floral asymmetry&lt;/title&gt;&lt;secondary-title&gt;Plant Journal&lt;/secondary-title&gt;&lt;/titles&gt;&lt;periodical&gt;&lt;full-title&gt;Plant Journal&lt;/full-title&gt;&lt;/periodical&gt;&lt;pages&gt;105-113&lt;/pages&gt;&lt;volume&gt;52&lt;/volume&gt;&lt;dates&gt;&lt;year&gt;2007&lt;/year&gt;&lt;pub-dates&gt;&lt;date&gt;0726&lt;/date&gt;&lt;/pub-dates&gt;&lt;/dates&gt;&lt;isbn&gt;0960-7412&lt;/isbn&gt;&lt;work-type&gt;Article&lt;/work-type&gt;&lt;urls&gt;&lt;/urls&gt;&lt;electronic-resource-num&gt;10.1111/j.1365-313x.2007.03222.x&lt;/electronic-resource-num&gt;&lt;/record&gt;&lt;/Cite&gt;&lt;Cite&gt;&lt;Author&gt;Jinshun&lt;/Author&gt;&lt;Year&gt;2017&lt;/Year&gt;&lt;RecNum&gt;238&lt;/RecNum&gt;&lt;record&gt;&lt;rec-number&gt;238&lt;/rec-number&gt;&lt;foreign-keys&gt;&lt;key app="EN" db-id="es2vseptt50xdreps0evpxv0xvw0padast9f" timestamp="1703557728"&gt;238&lt;/key&gt;&lt;/foreign-keys&gt;&lt;ref-type name="Journal Article"&gt;17&lt;/ref-type&gt;&lt;contributors&gt;&lt;authors&gt;&lt;author&gt;Jinshun, Zhong&lt;/author&gt;&lt;author&gt;Jill, C. Preston&lt;/author&gt;&lt;author&gt;Lena, C. Hileman&lt;/author&gt;&lt;author&gt;Elizabeth, A. Kellogg&lt;/author&gt;&lt;/authors&gt;&lt;/contributors&gt;&lt;titles&gt;&lt;title&gt;Repeated and diverse losses of corolla bilateral symmetry in the Lamiaceae&lt;/title&gt;&lt;secondary-title&gt;Annals of Botany&lt;/secondary-title&gt;&lt;/titles&gt;&lt;periodical&gt;&lt;full-title&gt;Annals of Botany&lt;/full-title&gt;&lt;/periodical&gt;&lt;pages&gt;1211–1223&lt;/pages&gt;&lt;volume&gt;119&lt;/volume&gt;&lt;dates&gt;&lt;year&gt;2017&lt;/year&gt;&lt;pub-dates&gt;&lt;date&gt;0301&lt;/date&gt;&lt;/pub-dates&gt;&lt;/dates&gt;&lt;isbn&gt;0305-7364&lt;/isbn&gt;&lt;work-type&gt;Article&lt;/work-type&gt;&lt;urls&gt;&lt;/urls&gt;&lt;electronic-resource-num&gt;10.1093/aob/mcx012&lt;/electronic-resource-num&gt;&lt;/record&gt;&lt;/Cite&gt;&lt;/EndNote&gt;</w:instrText>
      </w:r>
      <w:r>
        <w:rPr>
          <w:szCs w:val="22"/>
          <w:lang w:bidi="ar"/>
        </w:rPr>
      </w:r>
      <w:r>
        <w:rPr>
          <w:szCs w:val="22"/>
          <w:lang w:bidi="ar"/>
        </w:rPr>
        <w:fldChar w:fldCharType="separate"/>
      </w:r>
      <w:r>
        <w:rPr>
          <w:szCs w:val="22"/>
          <w:lang w:bidi="ar"/>
        </w:rPr>
        <w:t>[23, 24]</w:t>
      </w:r>
      <w:r>
        <w:rPr>
          <w:szCs w:val="22"/>
          <w:lang w:bidi="ar"/>
        </w:rPr>
      </w:r>
      <w:r>
        <w:rPr>
          <w:szCs w:val="22"/>
          <w:lang w:bidi="ar"/>
        </w:rPr>
        <w:fldChar w:fldCharType="end"/>
      </w:r>
      <w:r>
        <w:rPr>
          <w:szCs w:val="22"/>
          <w:lang w:bidi="ar"/>
        </w:rPr>
        <w:t xml:space="preserve">. The RAD gene may interact with the DIV gene and participate in the flower development process in primrose flowers </w:t>
      </w:r>
      <w:r>
        <w:fldChar w:fldCharType="begin"/>
      </w:r>
      <w:r>
        <w:rPr>
          <w:szCs w:val="22"/>
          <w:lang w:bidi="ar"/>
        </w:rPr>
        <w:instrText>ADDIN EN.CITE &lt;EndNote&gt;&lt;Cite&gt;&lt;Author&gt;Jinshun&lt;/Author&gt;&lt;Year&gt;2017&lt;/Year&gt;&lt;RecNum&gt;238&lt;/RecNum&gt;&lt;DisplayText&gt;[24]&lt;/DisplayText&gt;&lt;record&gt;&lt;rec-number&gt;238&lt;/rec-number&gt;&lt;foreign-keys&gt;&lt;key app="EN" db-id="es2vseptt50xdreps0evpxv0xvw0padast9f" timestamp="1703557728"&gt;238&lt;/key&gt;&lt;/foreign-keys&gt;&lt;ref-type name="Journal Article"&gt;17&lt;/ref-type&gt;&lt;contributors&gt;&lt;authors&gt;&lt;author&gt;Jinshun, Zhong&lt;/author&gt;&lt;author&gt;Jill, C. Preston&lt;/author&gt;&lt;author&gt;Lena, C. Hileman&lt;/author&gt;&lt;author&gt;Elizabeth, A. Kellogg&lt;/author&gt;&lt;/authors&gt;&lt;/contributors&gt;&lt;titles&gt;&lt;title&gt;Repeated and diverse losses of corolla bilateral symmetry in the Lamiaceae&lt;/title&gt;&lt;secondary-title&gt;Annals of Botany&lt;/secondary-title&gt;&lt;/titles&gt;&lt;periodical&gt;&lt;full-title&gt;Annals of Botany&lt;/full-title&gt;&lt;/periodical&gt;&lt;pages&gt;1211–1223&lt;/pages&gt;&lt;volume&gt;119&lt;/volume&gt;&lt;dates&gt;&lt;year&gt;2017&lt;/year&gt;&lt;pub-dates&gt;&lt;date&gt;0301&lt;/date&gt;&lt;/pub-dates&gt;&lt;/dates&gt;&lt;isbn&gt;0305-7364&lt;/isbn&gt;&lt;work-type&gt;Article&lt;/work-type&gt;&lt;urls&gt;&lt;/urls&gt;&lt;electronic-resource-num&gt;10.1093/aob/mcx012&lt;/electronic-resource-num&gt;&lt;/record&gt;&lt;/Cite&gt;&lt;/EndNote&gt;</w:instrText>
      </w:r>
      <w:r>
        <w:rPr>
          <w:szCs w:val="22"/>
          <w:lang w:bidi="ar"/>
        </w:rPr>
      </w:r>
      <w:r>
        <w:rPr>
          <w:szCs w:val="22"/>
          <w:lang w:bidi="ar"/>
        </w:rPr>
        <w:fldChar w:fldCharType="separate"/>
      </w:r>
      <w:r>
        <w:rPr>
          <w:szCs w:val="22"/>
          <w:lang w:bidi="ar"/>
        </w:rPr>
        <w:t>[24]</w:t>
      </w:r>
      <w:r>
        <w:rPr>
          <w:szCs w:val="22"/>
          <w:lang w:bidi="ar"/>
        </w:rPr>
      </w:r>
      <w:r>
        <w:rPr>
          <w:szCs w:val="22"/>
          <w:lang w:bidi="ar"/>
        </w:rPr>
        <w:fldChar w:fldCharType="end"/>
      </w:r>
      <w:r>
        <w:rPr>
          <w:szCs w:val="22"/>
          <w:lang w:bidi="ar"/>
        </w:rPr>
        <w:t xml:space="preserve">. In addition, we found that different levels of NAC (NAC72, NAC56, NAC29) were expressed in the BI than in the MI (Figure 5). Therefore, NAC has a regulatory function in flower sex differentiation in castor. This result is consistent with the findings of other reports. For example, </w:t>
      </w:r>
      <w:r>
        <w:rPr>
          <w:rFonts w:eastAsia="等线"/>
          <w:kern w:val="2"/>
          <w:szCs w:val="22"/>
          <w:lang w:bidi="ar"/>
        </w:rPr>
        <w:t xml:space="preserve">NAC transcription factors are associated with pecan flower sex differentiation </w:t>
      </w:r>
      <w:r>
        <w:fldChar w:fldCharType="begin"/>
      </w:r>
      <w:r>
        <w:rPr>
          <w:kern w:val="2"/>
          <w:szCs w:val="22"/>
          <w:rFonts w:eastAsia="等线"/>
          <w:lang w:bidi="ar"/>
        </w:rPr>
        <w:instrText>ADDIN EN.CITE</w:instrText>
      </w:r>
      <w:r>
        <w:rPr>
          <w:rFonts w:eastAsia="等线"/>
          <w:kern w:val="2"/>
          <w:szCs w:val="22"/>
          <w:lang w:bidi="ar"/>
        </w:rPr>
      </w:r>
      <w:r>
        <w:fldChar w:fldCharType="begin"/>
      </w:r>
      <w:r>
        <w:rPr>
          <w:kern w:val="2"/>
          <w:szCs w:val="22"/>
          <w:rFonts w:eastAsia="等线"/>
          <w:lang w:bidi="ar"/>
        </w:rPr>
        <w:instrText>ADDIN EN.CITE.DATA</w:instrText>
      </w:r>
      <w:r>
        <w:rPr>
          <w:rFonts w:eastAsia="等线"/>
          <w:kern w:val="2"/>
          <w:szCs w:val="22"/>
          <w:lang w:bidi="ar"/>
        </w:rPr>
      </w:r>
      <w:r>
        <w:rPr>
          <w:kern w:val="2"/>
          <w:szCs w:val="22"/>
          <w:rFonts w:eastAsia="等线"/>
          <w:lang w:bidi="ar"/>
        </w:rPr>
        <w:fldChar w:fldCharType="separate"/>
      </w:r>
      <w:r>
        <w:rPr>
          <w:rFonts w:eastAsia="等线"/>
          <w:kern w:val="2"/>
          <w:szCs w:val="22"/>
          <w:lang w:bidi="ar"/>
        </w:rPr>
      </w:r>
      <w:r>
        <w:rPr>
          <w:rFonts w:eastAsia="等线"/>
          <w:kern w:val="2"/>
          <w:szCs w:val="22"/>
          <w:lang w:bidi="ar"/>
        </w:rPr>
      </w:r>
      <w:r>
        <w:rPr>
          <w:kern w:val="2"/>
          <w:szCs w:val="22"/>
          <w:rFonts w:eastAsia="等线"/>
          <w:lang w:bidi="ar"/>
        </w:rPr>
        <w:fldChar w:fldCharType="end"/>
      </w:r>
      <w:r>
        <w:rPr>
          <w:kern w:val="2"/>
          <w:szCs w:val="22"/>
          <w:rFonts w:eastAsia="等线"/>
          <w:lang w:bidi="ar"/>
        </w:rPr>
        <w:fldChar w:fldCharType="separate"/>
      </w:r>
      <w:r>
        <w:rPr>
          <w:rFonts w:eastAsia="等线"/>
          <w:kern w:val="2"/>
          <w:szCs w:val="22"/>
          <w:lang w:bidi="ar"/>
        </w:rPr>
        <w:t>[25]</w:t>
      </w:r>
      <w:r>
        <w:rPr>
          <w:rFonts w:eastAsia="等线"/>
          <w:kern w:val="2"/>
          <w:szCs w:val="22"/>
          <w:lang w:bidi="ar"/>
        </w:rPr>
      </w:r>
      <w:r>
        <w:rPr>
          <w:kern w:val="2"/>
          <w:szCs w:val="22"/>
          <w:rFonts w:eastAsia="等线"/>
          <w:lang w:bidi="ar"/>
        </w:rPr>
        <w:fldChar w:fldCharType="end"/>
      </w:r>
      <w:r>
        <w:rPr>
          <w:rFonts w:eastAsia="等线"/>
          <w:kern w:val="2"/>
          <w:szCs w:val="22"/>
          <w:lang w:bidi="ar"/>
        </w:rPr>
        <w:t>. NAC plays a crucial role in flower development</w:t>
      </w:r>
      <w:r>
        <w:rPr>
          <w:szCs w:val="22"/>
          <w:lang w:bidi="ar"/>
        </w:rPr>
        <w:t xml:space="preserve"> in </w:t>
      </w:r>
      <w:r>
        <w:rPr>
          <w:rFonts w:eastAsia="等线"/>
          <w:i/>
          <w:kern w:val="2"/>
          <w:szCs w:val="22"/>
          <w:lang w:bidi="ar"/>
        </w:rPr>
        <w:t>Zanthoxylum armatum</w:t>
      </w:r>
      <w:r>
        <w:rPr>
          <w:rFonts w:eastAsia="等线"/>
          <w:kern w:val="2"/>
          <w:szCs w:val="22"/>
          <w:lang w:bidi="ar"/>
        </w:rPr>
        <w:t xml:space="preserve"> var.</w:t>
      </w:r>
      <w:r>
        <w:fldChar w:fldCharType="begin"/>
      </w:r>
      <w:r>
        <w:rPr>
          <w:kern w:val="2"/>
          <w:szCs w:val="22"/>
          <w:rFonts w:eastAsia="等线"/>
          <w:lang w:bidi="ar"/>
        </w:rPr>
        <w:instrText>ADDIN EN.CITE &lt;EndNote&gt;&lt;Cite&gt;&lt;Author&gt;Zhang&lt;/Author&gt;&lt;Year&gt;2020&lt;/Year&gt;&lt;RecNum&gt;26&lt;/RecNum&gt;&lt;DisplayText&gt;[26]&lt;/DisplayText&gt;&lt;record&gt;&lt;rec-number&gt;26&lt;/rec-number&gt;&lt;foreign-keys&gt;&lt;key app="EN" db-id="es2vseptt50xdreps0evpxv0xvw0padast9f" timestamp="1665387105"&gt;26&lt;/key&gt;&lt;/foreign-keys&gt;&lt;ref-type name="Journal Article"&gt;17&lt;/ref-type&gt;&lt;contributors&gt;&lt;authors&gt;&lt;author&gt;Zhang, Xian&lt;/author&gt;&lt;author&gt;Tang, Ning&lt;/author&gt;&lt;author&gt;Liu, Xiaomeng&lt;/author&gt;&lt;author&gt;Ye, Jiabao&lt;/author&gt;&lt;author&gt;Zhang, Jingyi&lt;/author&gt;&lt;author&gt;Chen, Zexiong&lt;/author&gt;&lt;author&gt;Xu, Feng&lt;/author&gt;&lt;author&gt;Zhang, Weiwei&lt;/author&gt;&lt;author&gt;Liao, Yongling&lt;/author&gt;&lt;/authors&gt;&lt;/contributors&gt;&lt;titles&gt;&lt;title&gt;Comparative Transcriptome Analysis Identified Differentially Expressed Genes between Male and Female Flowers of Zanthoxylum armatum var. novemfolius&lt;/title&gt;&lt;secondary-title&gt;Agronomy-Basel&lt;/secondary-title&gt;&lt;/titles&gt;&lt;periodical&gt;&lt;full-title&gt;Agronomy-Basel&lt;/full-title&gt;&lt;/periodical&gt;&lt;volume&gt;10&lt;/volume&gt;&lt;number&gt;2&lt;/number&gt;&lt;dates&gt;&lt;year&gt;2020&lt;/year&gt;&lt;pub-dates&gt;&lt;date&gt;Feb&lt;/date&gt;&lt;/pub-dates&gt;&lt;/dates&gt;&lt;accession-num&gt;WOS:000521366400096&lt;/accession-num&gt;&lt;urls&gt;&lt;related-urls&gt;&lt;url&gt;&amp;lt;Go to ISI&amp;gt;://WOS:000521366400096&lt;/url&gt;&lt;/related-urls&gt;&lt;/urls&gt;&lt;custom7&gt;283&lt;/custom7&gt;&lt;electronic-resource-num&gt;10.3390/agronomy10020283&lt;/electronic-resource-num&gt;&lt;/record&gt;&lt;/Cite&gt;&lt;/EndNote&gt;</w:instrText>
      </w:r>
      <w:r>
        <w:rPr>
          <w:rFonts w:eastAsia="等线"/>
          <w:kern w:val="2"/>
          <w:szCs w:val="22"/>
          <w:lang w:bidi="ar"/>
        </w:rPr>
      </w:r>
      <w:r>
        <w:rPr>
          <w:kern w:val="2"/>
          <w:szCs w:val="22"/>
          <w:rFonts w:eastAsia="等线"/>
          <w:lang w:bidi="ar"/>
        </w:rPr>
        <w:fldChar w:fldCharType="separate"/>
      </w:r>
      <w:r>
        <w:rPr>
          <w:rFonts w:eastAsia="等线"/>
          <w:kern w:val="2"/>
          <w:szCs w:val="22"/>
          <w:lang w:bidi="ar"/>
        </w:rPr>
      </w:r>
      <w:r>
        <w:rPr>
          <w:szCs w:val="22"/>
          <w:lang w:bidi="ar"/>
        </w:rPr>
        <w:t>[26]</w:t>
      </w:r>
      <w:r>
        <w:rPr>
          <w:rFonts w:eastAsia="等线"/>
          <w:kern w:val="2"/>
          <w:szCs w:val="22"/>
          <w:lang w:bidi="ar"/>
        </w:rPr>
      </w:r>
      <w:r>
        <w:rPr>
          <w:kern w:val="2"/>
          <w:szCs w:val="22"/>
          <w:rFonts w:eastAsia="等线"/>
          <w:lang w:bidi="ar"/>
        </w:rPr>
        <w:fldChar w:fldCharType="end"/>
      </w:r>
      <w:r>
        <w:rPr>
          <w:szCs w:val="22"/>
          <w:lang w:bidi="ar"/>
        </w:rPr>
        <w:t xml:space="preserve">. </w:t>
      </w:r>
      <w:r>
        <w:rPr>
          <w:rFonts w:eastAsia="等线"/>
          <w:kern w:val="2"/>
          <w:szCs w:val="22"/>
          <w:lang w:bidi="ar"/>
        </w:rPr>
        <w:t xml:space="preserve">Moreover, ethylene response factor (ERF) family genes have been identified </w:t>
      </w:r>
      <w:r>
        <w:fldChar w:fldCharType="begin"/>
      </w:r>
      <w:r>
        <w:rPr>
          <w:kern w:val="2"/>
          <w:szCs w:val="22"/>
          <w:rFonts w:eastAsia="等线"/>
          <w:lang w:bidi="ar"/>
        </w:rPr>
        <w:instrText>ADDIN EN.CITE &lt;EndNote&gt;&lt;Cite&gt;&lt;Author&gt;Pan&lt;/Author&gt;&lt;Year&gt;2020&lt;/Year&gt;&lt;RecNum&gt;27&lt;/RecNum&gt;&lt;DisplayText&gt;[27]&lt;/DisplayText&gt;&lt;record&gt;&lt;rec-number&gt;27&lt;/rec-number&gt;&lt;foreign-keys&gt;&lt;key app="EN" db-id="es2vseptt50xdreps0evpxv0xvw0padast9f" timestamp="1665387162"&gt;27&lt;/key&gt;&lt;/foreign-keys&gt;&lt;ref-type name="Journal Article"&gt;17&lt;/ref-type&gt;&lt;contributors&gt;&lt;authors&gt;&lt;author&gt;Pan, Jian&lt;/author&gt;&lt;author&gt;Wen, Haifan&lt;/author&gt;&lt;author&gt;He, Huanle&lt;/author&gt;&lt;author&gt;Lian, Hongli&lt;/author&gt;&lt;author&gt;Wang, Gang&lt;/author&gt;&lt;author&gt;Pan, Junsong&lt;/author&gt;&lt;author&gt;Cai, Run&lt;/author&gt;&lt;/authors&gt;&lt;translated-authors&gt;&lt;author&gt;潘健,&lt;/author&gt;&lt;author&gt;温海帆,&lt;/author&gt;&lt;author&gt;何欢乐,&lt;/author&gt;&lt;author&gt;连红莉,&lt;/author&gt;&lt;author&gt;王刚,&lt;/author&gt;&lt;author&gt;潘俊松,&lt;/author&gt;&lt;author&gt;蔡润,&lt;/author&gt;&lt;/translated-authors&gt;&lt;/contributors&gt;&lt;titles&gt;&lt;title&gt;Genome-Wide Identification of Cucumber ERF Gene Family and Expression Analysis in Female Bud Differentiation&lt;/title&gt;&lt;secondary-title&gt;Scientia Agricultura Sinica&lt;/secondary-title&gt;&lt;translated-title&gt;黄瓜erf基因家族鉴定及其在雌花芽分化中的表达分析&lt;/translated-title&gt;&lt;/titles&gt;&lt;periodical&gt;&lt;full-title&gt;Scientia Agricultura Sinica&lt;/full-title&gt;&lt;/periodical&gt;&lt;pages&gt;133-147&lt;/pages&gt;&lt;volume&gt;53&lt;/volume&gt;&lt;number&gt;1&lt;/number&gt;&lt;dates&gt;&lt;year&gt;2020&lt;/year&gt;&lt;pub-dates&gt;&lt;date&gt;2020&lt;/date&gt;&lt;/pub-dates&gt;&lt;/dates&gt;&lt;isbn&gt;0578-1752&lt;/isbn&gt;&lt;accession-num&gt;CSCD:6770601&lt;/accession-num&gt;&lt;urls&gt;&lt;related-urls&gt;&lt;url&gt;&amp;lt;Go to ISI&amp;gt;://CSCD:6770601&lt;/url&gt;&lt;/related-urls&gt;&lt;/urls&gt;&lt;custom7&gt;0578-1752(2020)53:1&amp;lt;133:Hgejyj&amp;gt;2.0.Tx;2-3&lt;/custom7&gt;&lt;/record&gt;&lt;/Cite&gt;&lt;/EndNote&gt;</w:instrText>
      </w:r>
      <w:r>
        <w:rPr>
          <w:rFonts w:eastAsia="等线"/>
          <w:kern w:val="2"/>
          <w:szCs w:val="22"/>
          <w:lang w:bidi="ar"/>
        </w:rPr>
      </w:r>
      <w:r>
        <w:rPr>
          <w:kern w:val="2"/>
          <w:szCs w:val="22"/>
          <w:rFonts w:eastAsia="等线"/>
          <w:lang w:bidi="ar"/>
        </w:rPr>
        <w:fldChar w:fldCharType="separate"/>
      </w:r>
      <w:r>
        <w:rPr>
          <w:rFonts w:eastAsia="等线"/>
          <w:kern w:val="2"/>
          <w:szCs w:val="22"/>
          <w:lang w:bidi="ar"/>
        </w:rPr>
        <w:t>[27]</w:t>
      </w:r>
      <w:r>
        <w:rPr>
          <w:rFonts w:eastAsia="等线"/>
          <w:kern w:val="2"/>
          <w:szCs w:val="22"/>
          <w:lang w:bidi="ar"/>
        </w:rPr>
      </w:r>
      <w:r>
        <w:rPr>
          <w:kern w:val="2"/>
          <w:szCs w:val="22"/>
          <w:rFonts w:eastAsia="等线"/>
          <w:lang w:bidi="ar"/>
        </w:rPr>
        <w:fldChar w:fldCharType="end"/>
      </w:r>
      <w:r>
        <w:rPr>
          <w:rFonts w:eastAsia="等线"/>
          <w:kern w:val="2"/>
          <w:szCs w:val="22"/>
          <w:lang w:bidi="ar"/>
        </w:rPr>
        <w:t xml:space="preserve">. In our study, </w:t>
      </w:r>
      <w:bookmarkStart w:id="14" w:name="_Hlk139290117"/>
      <w:r>
        <w:rPr>
          <w:rFonts w:eastAsia="等线"/>
          <w:kern w:val="2"/>
          <w:szCs w:val="22"/>
          <w:lang w:bidi="ar"/>
        </w:rPr>
        <w:t>ERF11 and ERF92</w:t>
      </w:r>
      <w:bookmarkEnd w:id="14"/>
      <w:r>
        <w:rPr>
          <w:rFonts w:eastAsia="等线"/>
          <w:kern w:val="2"/>
          <w:szCs w:val="22"/>
          <w:lang w:bidi="ar"/>
        </w:rPr>
        <w:t xml:space="preserve"> exhibited different expression levels between SFI and MI (Figure 5 and </w:t>
      </w:r>
      <w:r>
        <w:rPr>
          <w:rFonts w:eastAsia="等线"/>
          <w:color w:val="000000" w:themeColor="text1"/>
          <w:kern w:val="2"/>
          <w:szCs w:val="22"/>
          <w:lang w:bidi="ar"/>
        </w:rPr>
        <w:t>Table S2</w:t>
      </w:r>
      <w:r>
        <w:rPr>
          <w:rFonts w:eastAsia="等线"/>
          <w:kern w:val="2"/>
          <w:szCs w:val="22"/>
          <w:lang w:bidi="ar"/>
        </w:rPr>
        <w:t xml:space="preserve">). RF11 and ERF92 are classified under the ERF subfamily of ERF transcription factors. Analysis of the transcriptome data and the qRT‒PCR data revealed that both ERF11 and ERF92 were expressed at high levels in the BI and at low levels in the SFI. Some research has indicated that some ERF family members can influence sex determination and female flower development by binding to the GCC box to regulate downstream gene expression </w:t>
      </w:r>
      <w:r>
        <w:fldChar w:fldCharType="begin"/>
      </w:r>
      <w:r>
        <w:rPr>
          <w:kern w:val="2"/>
          <w:szCs w:val="22"/>
          <w:rFonts w:eastAsia="等线"/>
          <w:lang w:bidi="ar"/>
        </w:rPr>
        <w:instrText>ADDIN EN.CITE</w:instrText>
      </w:r>
      <w:r>
        <w:rPr>
          <w:rFonts w:eastAsia="等线"/>
          <w:kern w:val="2"/>
          <w:szCs w:val="22"/>
          <w:lang w:bidi="ar"/>
        </w:rPr>
      </w:r>
      <w:r>
        <w:fldChar w:fldCharType="begin"/>
      </w:r>
      <w:r>
        <w:rPr>
          <w:kern w:val="2"/>
          <w:szCs w:val="22"/>
          <w:rFonts w:eastAsia="等线"/>
          <w:lang w:bidi="ar"/>
        </w:rPr>
        <w:instrText>ADDIN EN.CITE.DATA</w:instrText>
      </w:r>
      <w:r>
        <w:rPr>
          <w:rFonts w:eastAsia="等线"/>
          <w:kern w:val="2"/>
          <w:szCs w:val="22"/>
          <w:lang w:bidi="ar"/>
        </w:rPr>
      </w:r>
      <w:r>
        <w:rPr>
          <w:kern w:val="2"/>
          <w:szCs w:val="22"/>
          <w:rFonts w:eastAsia="等线"/>
          <w:lang w:bidi="ar"/>
        </w:rPr>
        <w:fldChar w:fldCharType="separate"/>
      </w:r>
      <w:r>
        <w:rPr>
          <w:rFonts w:eastAsia="等线"/>
          <w:kern w:val="2"/>
          <w:szCs w:val="22"/>
          <w:lang w:bidi="ar"/>
        </w:rPr>
      </w:r>
      <w:r>
        <w:rPr>
          <w:rFonts w:eastAsia="等线"/>
          <w:kern w:val="2"/>
          <w:szCs w:val="22"/>
          <w:lang w:bidi="ar"/>
        </w:rPr>
      </w:r>
      <w:r>
        <w:rPr>
          <w:kern w:val="2"/>
          <w:szCs w:val="22"/>
          <w:rFonts w:eastAsia="等线"/>
          <w:lang w:bidi="ar"/>
        </w:rPr>
        <w:fldChar w:fldCharType="end"/>
      </w:r>
      <w:r>
        <w:rPr>
          <w:kern w:val="2"/>
          <w:szCs w:val="22"/>
          <w:rFonts w:eastAsia="等线"/>
          <w:lang w:bidi="ar"/>
        </w:rPr>
        <w:fldChar w:fldCharType="separate"/>
      </w:r>
      <w:r>
        <w:rPr>
          <w:rFonts w:eastAsia="等线"/>
          <w:kern w:val="2"/>
          <w:szCs w:val="22"/>
          <w:lang w:bidi="ar"/>
        </w:rPr>
        <w:t>[28, 29]</w:t>
      </w:r>
      <w:r>
        <w:rPr>
          <w:rFonts w:eastAsia="等线"/>
          <w:kern w:val="2"/>
          <w:szCs w:val="22"/>
          <w:lang w:bidi="ar"/>
        </w:rPr>
      </w:r>
      <w:r>
        <w:rPr>
          <w:kern w:val="2"/>
          <w:szCs w:val="22"/>
          <w:rFonts w:eastAsia="等线"/>
          <w:lang w:bidi="ar"/>
        </w:rPr>
        <w:fldChar w:fldCharType="end"/>
      </w:r>
      <w:r>
        <w:rPr>
          <w:rFonts w:eastAsia="等线"/>
          <w:kern w:val="2"/>
          <w:szCs w:val="22"/>
          <w:lang w:bidi="ar"/>
        </w:rPr>
        <w:t xml:space="preserve">. As one of the largest transcription factor families, ERFs also participate directly or indirectly in multiple processes, such as seed development and flower and fruit organ formation </w:t>
      </w:r>
      <w:r>
        <w:fldChar w:fldCharType="begin"/>
      </w:r>
      <w:r>
        <w:rPr>
          <w:kern w:val="2"/>
          <w:szCs w:val="22"/>
          <w:rFonts w:eastAsia="等线"/>
          <w:lang w:bidi="ar"/>
        </w:rPr>
        <w:instrText>ADDIN EN.CITE &lt;EndNote&gt;&lt;Cite&gt;&lt;Author&gt;Zhang&lt;/Author&gt;&lt;Year&gt;2018&lt;/Year&gt;&lt;RecNum&gt;29&lt;/RecNum&gt;&lt;DisplayText&gt;[30]&lt;/DisplayText&gt;&lt;record&gt;&lt;rec-number&gt;29&lt;/rec-number&gt;&lt;foreign-keys&gt;&lt;key app="EN" db-id="es2vseptt50xdreps0evpxv0xvw0padast9f" timestamp="1665387292"&gt;29&lt;/key&gt;&lt;/foreign-keys&gt;&lt;ref-type name="Journal Article"&gt;17&lt;/ref-type&gt;&lt;contributors&gt;&lt;authors&gt;&lt;author&gt;Zhang, Qi&lt;/author&gt;&lt;author&gt;Chen, Jing&lt;/author&gt;&lt;author&gt;Li, Li&lt;/author&gt;&lt;author&gt;Zhao, Mingzhu&lt;/author&gt;&lt;author&gt;Zhang, Meiping&lt;/author&gt;&lt;author&gt;Wang, Yi&lt;/author&gt;&lt;/authors&gt;&lt;translated-authors&gt;&lt;author&gt;张麒,&lt;/author&gt;&lt;author&gt;陈静,&lt;/author&gt;&lt;author&gt;李俐,&lt;/author&gt;&lt;author&gt;赵明珠,&lt;/author&gt;&lt;author&gt;张美萍,&lt;/author&gt;&lt;author&gt;王义,&lt;/author&gt;&lt;/translated-authors&gt;&lt;/contributors&gt;&lt;titles&gt;&lt;title&gt;Research Progress on Plant AP2/ERF Transcription Factor Family&lt;/title&gt;&lt;secondary-title&gt;Biotechnology Bulletin&lt;/secondary-title&gt;&lt;translated-title&gt;植物ap2/erf转录因子家族的研究进展&lt;/translated-title&gt;&lt;/titles&gt;&lt;periodical&gt;&lt;full-title&gt;Biotechnology Bulletin&lt;/full-title&gt;&lt;/periodical&gt;&lt;pages&gt;1-7&lt;/pages&gt;&lt;volume&gt;34&lt;/volume&gt;&lt;number&gt;8&lt;/number&gt;&lt;dates&gt;&lt;year&gt;2018&lt;/year&gt;&lt;pub-dates&gt;&lt;date&gt;2018&lt;/date&gt;&lt;/pub-dates&gt;&lt;/dates&gt;&lt;isbn&gt;1002-5464&lt;/isbn&gt;&lt;accession-num&gt;CSCD:6329889&lt;/accession-num&gt;&lt;urls&gt;&lt;related-urls&gt;&lt;url&gt;&amp;lt;Go to ISI&amp;gt;://CSCD:6329889&lt;/url&gt;&lt;/related-urls&gt;&lt;/urls&gt;&lt;custom7&gt;1002-5464(2018)34:8&amp;lt;1:Zwaezl&amp;gt;2.0.Tx;2-z&lt;/custom7&gt;&lt;/record&gt;&lt;/Cite&gt;&lt;/EndNote&gt;</w:instrText>
      </w:r>
      <w:r>
        <w:rPr>
          <w:rFonts w:eastAsia="等线"/>
          <w:kern w:val="2"/>
          <w:szCs w:val="22"/>
          <w:lang w:bidi="ar"/>
        </w:rPr>
      </w:r>
      <w:r>
        <w:rPr>
          <w:kern w:val="2"/>
          <w:szCs w:val="22"/>
          <w:rFonts w:eastAsia="等线"/>
          <w:lang w:bidi="ar"/>
        </w:rPr>
        <w:fldChar w:fldCharType="separate"/>
      </w:r>
      <w:r>
        <w:rPr>
          <w:rFonts w:eastAsia="等线"/>
          <w:kern w:val="2"/>
          <w:szCs w:val="22"/>
          <w:lang w:bidi="ar"/>
        </w:rPr>
        <w:t>[30]</w:t>
      </w:r>
      <w:r>
        <w:rPr>
          <w:rFonts w:eastAsia="等线"/>
          <w:kern w:val="2"/>
          <w:szCs w:val="22"/>
          <w:lang w:bidi="ar"/>
        </w:rPr>
      </w:r>
      <w:r>
        <w:rPr>
          <w:kern w:val="2"/>
          <w:szCs w:val="22"/>
          <w:rFonts w:eastAsia="等线"/>
          <w:lang w:bidi="ar"/>
        </w:rPr>
        <w:fldChar w:fldCharType="end"/>
      </w:r>
      <w:r>
        <w:rPr>
          <w:rFonts w:eastAsia="等线"/>
          <w:kern w:val="2"/>
          <w:szCs w:val="22"/>
          <w:lang w:bidi="ar"/>
        </w:rPr>
        <w:t>.</w:t>
      </w:r>
      <w:r>
        <w:rPr>
          <w:szCs w:val="22"/>
          <w:lang w:bidi="ar"/>
        </w:rPr>
        <w:t xml:space="preserve"> However, the specific regulation of inflorescence differentiation by the transcription factors MYB, NAC, and ERF in castor needs to be further investigated.</w:t>
      </w:r>
    </w:p>
    <w:p>
      <w:pPr>
        <w:pStyle w:val="Normal"/>
        <w:widowControl w:val="false"/>
        <w:snapToGrid w:val="false"/>
        <w:spacing w:before="0" w:after="0"/>
        <w:ind w:firstLine="440"/>
        <w:rPr>
          <w:rFonts w:eastAsia="等线"/>
          <w:kern w:val="2"/>
          <w:szCs w:val="22"/>
          <w:lang w:bidi="ar"/>
        </w:rPr>
      </w:pPr>
      <w:r>
        <w:rPr>
          <w:rFonts w:eastAsia="等线"/>
          <w:color w:val="000000"/>
          <w:szCs w:val="22"/>
          <w:lang w:bidi="ar"/>
        </w:rPr>
        <w:t>In this study, the expression levels of some genes related to hormone signaling changed  during inflorescence differentiation (</w:t>
      </w:r>
      <w:r>
        <w:rPr>
          <w:rFonts w:eastAsia="等线"/>
          <w:color w:val="000000" w:themeColor="text1"/>
          <w:szCs w:val="22"/>
          <w:lang w:bidi="ar"/>
        </w:rPr>
        <w:t>Table S2</w:t>
      </w:r>
      <w:r>
        <w:rPr>
          <w:rFonts w:eastAsia="等线"/>
          <w:color w:val="000000"/>
          <w:szCs w:val="22"/>
          <w:lang w:bidi="ar"/>
        </w:rPr>
        <w:t xml:space="preserve">). These results may help researchers identify key genes to clarify the mechanisms of inflorescence differentiation in castor. Here, the expression levels of castor inflorescence differentiation genes, such as ABAH1 and </w:t>
      </w:r>
      <w:bookmarkStart w:id="15" w:name="OLE_LINK8"/>
      <w:r>
        <w:rPr>
          <w:rFonts w:eastAsia="等线"/>
          <w:color w:val="000000"/>
          <w:szCs w:val="22"/>
          <w:lang w:bidi="ar"/>
        </w:rPr>
        <w:t>G2OX</w:t>
      </w:r>
      <w:bookmarkEnd w:id="15"/>
      <w:r>
        <w:rPr>
          <w:rFonts w:eastAsia="等线"/>
          <w:color w:val="000000"/>
          <w:szCs w:val="22"/>
          <w:lang w:bidi="ar"/>
        </w:rPr>
        <w:t xml:space="preserve"> (gibberellin 2-beta-dioxygenase-like), were significantly </w:t>
      </w:r>
      <w:r>
        <w:rPr>
          <w:color w:val="000000"/>
          <w:lang w:bidi="ar"/>
        </w:rPr>
        <w:t>different</w:t>
      </w:r>
      <w:r>
        <w:rPr>
          <w:rFonts w:eastAsia="等线"/>
          <w:color w:val="000000"/>
          <w:szCs w:val="22"/>
          <w:lang w:bidi="ar"/>
        </w:rPr>
        <w:t xml:space="preserve"> expressed at the five-leaf stage, which indicated their key roles in inflorescence differentiation in castor. qRT‒PCR analysis revealed that ABAH1 was expressed at the highest level in the SFI, while G2OX was expressed at the highest level in the MI. For example, </w:t>
      </w:r>
      <w:r>
        <w:rPr>
          <w:rFonts w:eastAsia="等线"/>
          <w:color w:val="000000"/>
          <w:kern w:val="2"/>
          <w:szCs w:val="22"/>
          <w:lang w:bidi="ar"/>
        </w:rPr>
        <w:t xml:space="preserve">the expression levels of genes involved in ethylene signal transduction have been shown to positively regulate flower development </w:t>
      </w:r>
      <w:r>
        <w:fldChar w:fldCharType="begin"/>
      </w:r>
      <w:r>
        <w:rPr>
          <w:kern w:val="2"/>
          <w:szCs w:val="22"/>
          <w:rFonts w:eastAsia="等线"/>
          <w:color w:val="000000"/>
          <w:lang w:bidi="ar"/>
        </w:rPr>
        <w:instrText>ADDIN EN.CITE &lt;EndNote&gt;&lt;Cite&gt;&lt;Author&gt;Shi&lt;/Author&gt;&lt;Year&gt;2021&lt;/Year&gt;&lt;RecNum&gt;30&lt;/RecNum&gt;&lt;DisplayText&gt;[31]&lt;/DisplayText&gt;&lt;record&gt;&lt;rec-number&gt;30&lt;/rec-number&gt;&lt;foreign-keys&gt;&lt;key app="EN" db-id="es2vseptt50xdreps0evpxv0xvw0padast9f" timestamp="1665387339"&gt;30&lt;/key&gt;&lt;/foreign-keys&gt;&lt;ref-type name="Journal Article"&gt;17&lt;/ref-type&gt;&lt;contributors&gt;&lt;authors&gt;&lt;author&gt;Shi, Xiaofang&lt;/author&gt;&lt;author&gt;Wei, Rongfu&lt;/author&gt;&lt;author&gt;Huang, Guiyuan&lt;/author&gt;&lt;author&gt;Zhang, Ying&lt;/author&gt;&lt;author&gt;Lin, Ling&lt;/author&gt;&lt;author&gt;Han, Jiayu&lt;/author&gt;&lt;author&gt;Cao, Xiongjun&lt;/author&gt;&lt;author&gt;Zhou, Sihong&lt;/author&gt;&lt;author&gt;Wang, Bo&lt;/author&gt;&lt;author&gt;Bai, Xianjin&lt;/author&gt;&lt;author&gt;Guo, Rongrong&lt;/author&gt;&lt;/authors&gt;&lt;translated-authors&gt;&lt;author&gt;时晓芳,&lt;/author&gt;&lt;author&gt;韦荣福,&lt;/author&gt;&lt;author&gt;黄桂媛,&lt;/author&gt;&lt;author&gt;张瑛,&lt;/author&gt;&lt;author&gt;林玲,&lt;/author&gt;&lt;author&gt;韩佳宇,&lt;/author&gt;&lt;author&gt;曹雄军,&lt;/author&gt;&lt;author&gt;周思泓,&lt;/author&gt;&lt;author&gt;王博,&lt;/author&gt;&lt;author&gt;白先进,&lt;/author&gt;&lt;author&gt;郭荣荣,&lt;/author&gt;&lt;/translated-authors&gt;&lt;/contributors&gt;&lt;titles&gt;&lt;title&gt;Study on the molecular mechanism of promotion of inflorescence formation of CCC treatment for the second fruiting in grape&lt;/title&gt;&lt;secondary-title&gt;Journal of Fruit Science&lt;/secondary-title&gt;&lt;translated-title&gt;矮壮素处理促进葡萄二季果成花的分子机制研究&lt;/translated-title&gt;&lt;/titles&gt;&lt;periodical&gt;&lt;full-title&gt;Journal of Fruit Science&lt;/full-title&gt;&lt;/periodical&gt;&lt;pages&gt;153-167&lt;/pages&gt;&lt;volume&gt;38&lt;/volume&gt;&lt;number&gt;2&lt;/number&gt;&lt;dates&gt;&lt;year&gt;2021&lt;/year&gt;&lt;pub-dates&gt;&lt;date&gt;2021&lt;/date&gt;&lt;/pub-dates&gt;&lt;/dates&gt;&lt;isbn&gt;1009-9980&lt;/isbn&gt;&lt;accession-num&gt;CSCD:6900653&lt;/accession-num&gt;&lt;urls&gt;&lt;related-urls&gt;&lt;url&gt;&amp;lt;Go to ISI&amp;gt;://CSCD:6900653&lt;/url&gt;&lt;/related-urls&gt;&lt;/urls&gt;&lt;custom7&gt;1009-9980(2021)38:2&amp;lt;153:Azsclc&amp;gt;2.0.Tx;2-7&lt;/custom7&gt;&lt;/record&gt;&lt;/Cite&gt;&lt;/EndNote&gt;</w:instrText>
      </w:r>
      <w:r>
        <w:rPr>
          <w:rFonts w:eastAsia="等线"/>
          <w:color w:val="000000"/>
          <w:kern w:val="2"/>
          <w:szCs w:val="22"/>
          <w:lang w:bidi="ar"/>
        </w:rPr>
      </w:r>
      <w:r>
        <w:rPr>
          <w:kern w:val="2"/>
          <w:szCs w:val="22"/>
          <w:rFonts w:eastAsia="等线"/>
          <w:color w:val="000000"/>
          <w:lang w:bidi="ar"/>
        </w:rPr>
        <w:fldChar w:fldCharType="separate"/>
      </w:r>
      <w:r>
        <w:rPr>
          <w:rFonts w:eastAsia="等线"/>
          <w:color w:val="000000"/>
          <w:kern w:val="2"/>
          <w:szCs w:val="22"/>
          <w:lang w:bidi="ar"/>
        </w:rPr>
      </w:r>
      <w:r>
        <w:rPr>
          <w:rFonts w:eastAsia="等线"/>
          <w:kern w:val="2"/>
          <w:szCs w:val="22"/>
          <w:lang w:bidi="ar"/>
        </w:rPr>
        <w:t>[31]</w:t>
      </w:r>
      <w:r>
        <w:rPr>
          <w:rFonts w:eastAsia="等线"/>
          <w:color w:val="000000"/>
          <w:kern w:val="2"/>
          <w:szCs w:val="22"/>
          <w:lang w:bidi="ar"/>
        </w:rPr>
      </w:r>
      <w:r>
        <w:rPr>
          <w:kern w:val="2"/>
          <w:szCs w:val="22"/>
          <w:rFonts w:eastAsia="等线"/>
          <w:color w:val="000000"/>
          <w:lang w:bidi="ar"/>
        </w:rPr>
        <w:fldChar w:fldCharType="end"/>
      </w:r>
      <w:r>
        <w:rPr>
          <w:rFonts w:eastAsia="等线"/>
          <w:color w:val="000000"/>
          <w:kern w:val="2"/>
          <w:szCs w:val="22"/>
          <w:lang w:bidi="ar"/>
        </w:rPr>
        <w:t>.</w:t>
      </w:r>
      <w:r>
        <w:rPr>
          <w:rFonts w:eastAsia="等线"/>
          <w:color w:val="000000"/>
          <w:szCs w:val="22"/>
          <w:lang w:bidi="ar"/>
        </w:rPr>
        <w:t xml:space="preserve"> Moreover, the, </w:t>
      </w:r>
      <w:r>
        <w:rPr>
          <w:rFonts w:eastAsia="等线"/>
          <w:color w:val="000000"/>
          <w:kern w:val="2"/>
          <w:szCs w:val="22"/>
          <w:lang w:bidi="ar"/>
        </w:rPr>
        <w:t>IAA concentra</w:t>
      </w:r>
      <w:r>
        <w:rPr>
          <w:rFonts w:eastAsia="等线"/>
          <w:kern w:val="2"/>
          <w:szCs w:val="22"/>
          <w:lang w:bidi="ar"/>
        </w:rPr>
        <w:t xml:space="preserve">tion and IAA/ABA ratio play an important roles in flower sexual differentiation in castor beans </w:t>
      </w:r>
      <w:r>
        <w:fldChar w:fldCharType="begin"/>
      </w:r>
      <w:r>
        <w:rPr>
          <w:kern w:val="2"/>
          <w:szCs w:val="22"/>
          <w:rFonts w:eastAsia="等线"/>
          <w:lang w:bidi="ar"/>
        </w:rPr>
        <w:instrText>ADDIN EN.CITE &lt;EndNote&gt;&lt;Cite&gt;&lt;Author&gt;Wang&lt;/Author&gt;&lt;Year&gt;2012&lt;/Year&gt;&lt;RecNum&gt;31&lt;/RecNum&gt;&lt;DisplayText&gt;[19]&lt;/DisplayText&gt;&lt;record&gt;&lt;rec-number&gt;31&lt;/rec-number&gt;&lt;foreign-keys&gt;&lt;key app="EN" db-id="es2vseptt50xdreps0evpxv0xvw0padast9f" timestamp="1665387410"&gt;31&lt;/key&gt;&lt;/foreign-keys&gt;&lt;ref-type name="Journal Article"&gt;17&lt;/ref-type&gt;&lt;contributors&gt;&lt;authors&gt;&lt;author&gt;Wang, Lei&lt;/author&gt;&lt;author&gt;Tan, Meilian&lt;/author&gt;&lt;author&gt;Yan, Mingfang&lt;/author&gt;&lt;author&gt;Wang, Lijun&lt;/author&gt;&lt;author&gt;Yan, Xingchu&lt;/author&gt;&lt;/authors&gt;&lt;translated-authors&gt;&lt;author&gt;汪磊,&lt;/author&gt;&lt;author&gt;谭美莲,&lt;/author&gt;&lt;author&gt;严明芳,&lt;/author&gt;&lt;author&gt;王力军,&lt;/author&gt;&lt;author&gt;严兴初,&lt;/author&gt;&lt;/translated-authors&gt;&lt;/contributors&gt;&lt;titles&gt;&lt;title&gt;Initial research on inflorescence characteristics and flower bud differentiation of Ricinus communis L&lt;/title&gt;&lt;secondary-title&gt;Chinese Journal of Oil Crop Sciences&lt;/secondary-title&gt;&lt;translated-title&gt;蓖麻花序特征及花芽分化的初步研究&lt;/translated-title&gt;&lt;/titles&gt;&lt;periodical&gt;&lt;full-title&gt;Chinese Journal of Oil Crop Sciences&lt;/full-title&gt;&lt;/periodical&gt;&lt;pages&gt;544-550&lt;/pages&gt;&lt;volume&gt;34&lt;/volume&gt;&lt;number&gt;5&lt;/number&gt;&lt;dates&gt;&lt;year&gt;2012&lt;/year&gt;&lt;pub-dates&gt;&lt;date&gt;2012&lt;/date&gt;&lt;/pub-dates&gt;&lt;/dates&gt;&lt;isbn&gt;1007-9084&lt;/isbn&gt;&lt;accession-num&gt;CSCD:4658845&lt;/accession-num&gt;&lt;urls&gt;&lt;related-urls&gt;&lt;url&gt;&amp;lt;Go to ISI&amp;gt;://CSCD:4658845&lt;/url&gt;&lt;/related-urls&gt;&lt;/urls&gt;&lt;custom7&gt;1007-9084(2012)34:5&amp;lt;544:Bmhxtz&amp;gt;2.0.Tx;2-z&lt;/custom7&gt;&lt;/record&gt;&lt;/Cite&gt;&lt;/EndNote&gt;</w:instrText>
      </w:r>
      <w:r>
        <w:rPr>
          <w:rFonts w:eastAsia="等线"/>
          <w:kern w:val="2"/>
          <w:szCs w:val="22"/>
          <w:lang w:bidi="ar"/>
        </w:rPr>
      </w:r>
      <w:r>
        <w:rPr>
          <w:kern w:val="2"/>
          <w:szCs w:val="22"/>
          <w:rFonts w:eastAsia="等线"/>
          <w:lang w:bidi="ar"/>
        </w:rPr>
        <w:fldChar w:fldCharType="separate"/>
      </w:r>
      <w:r>
        <w:rPr>
          <w:rFonts w:eastAsia="等线"/>
          <w:kern w:val="2"/>
          <w:szCs w:val="22"/>
          <w:lang w:bidi="ar"/>
        </w:rPr>
        <w:t>[19]</w:t>
      </w:r>
      <w:r>
        <w:rPr>
          <w:rFonts w:eastAsia="等线"/>
          <w:kern w:val="2"/>
          <w:szCs w:val="22"/>
          <w:lang w:bidi="ar"/>
        </w:rPr>
      </w:r>
      <w:r>
        <w:rPr>
          <w:kern w:val="2"/>
          <w:szCs w:val="22"/>
          <w:rFonts w:eastAsia="等线"/>
          <w:lang w:bidi="ar"/>
        </w:rPr>
        <w:fldChar w:fldCharType="end"/>
      </w:r>
      <w:r>
        <w:rPr>
          <w:rFonts w:eastAsia="等线"/>
          <w:kern w:val="2"/>
          <w:szCs w:val="22"/>
          <w:lang w:bidi="ar"/>
        </w:rPr>
        <w:t xml:space="preserve">. Moreover, a high ABA content is beneficial for floral induction and morphological differentiation of flower buds </w:t>
      </w:r>
      <w:r>
        <w:fldChar w:fldCharType="begin"/>
      </w:r>
      <w:r>
        <w:rPr>
          <w:kern w:val="2"/>
          <w:szCs w:val="22"/>
          <w:rFonts w:eastAsia="等线"/>
          <w:lang w:bidi="ar"/>
        </w:rPr>
        <w:instrText>ADDIN EN.CITE &lt;EndNote&gt;&lt;Cite&gt;&lt;Author&gt;Wang&lt;/Author&gt;&lt;Year&gt;2020&lt;/Year&gt;&lt;RecNum&gt;32&lt;/RecNum&gt;&lt;DisplayText&gt;[32]&lt;/DisplayText&gt;&lt;record&gt;&lt;rec-number&gt;32&lt;/rec-number&gt;&lt;foreign-keys&gt;&lt;key app="EN" db-id="es2vseptt50xdreps0evpxv0xvw0padast9f" timestamp="1665387458"&gt;32&lt;/key&gt;&lt;/foreign-keys&gt;&lt;ref-type name="Journal Article"&gt;17&lt;/ref-type&gt;&lt;contributors&gt;&lt;authors&gt;&lt;author&gt;Wang, Jinxin&lt;/author&gt;&lt;author&gt;Luo, Tao&lt;/author&gt;&lt;author&gt;Zhang, He&lt;/author&gt;&lt;author&gt;Shao, Jianzhu&lt;/author&gt;&lt;author&gt;Peng, Jianying&lt;/author&gt;&lt;author&gt;Sun, Jianshe&lt;/author&gt;&lt;/authors&gt;&lt;/contributors&gt;&lt;titles&gt;&lt;title&gt;Variation of Endogenous Hormones during Flower and Leaf Buds Development in &amp;apos;Tianhong 2&amp;apos; Apple&lt;/title&gt;&lt;secondary-title&gt;Hortscience&lt;/secondary-title&gt;&lt;/titles&gt;&lt;periodical&gt;&lt;full-title&gt;Hortscience&lt;/full-title&gt;&lt;/periodical&gt;&lt;pages&gt;1794-1798&lt;/pages&gt;&lt;volume&gt;55&lt;/volume&gt;&lt;number&gt;11&lt;/number&gt;&lt;dates&gt;&lt;year&gt;2020&lt;/year&gt;&lt;pub-dates&gt;&lt;date&gt;Nov&lt;/date&gt;&lt;/pub-dates&gt;&lt;/dates&gt;&lt;isbn&gt;0018-5345&lt;/isbn&gt;&lt;accession-num&gt;WOS:000587346600011&lt;/accession-num&gt;&lt;urls&gt;&lt;related-urls&gt;&lt;url&gt;&amp;lt;Go to ISI&amp;gt;://WOS:000587346600011&lt;/url&gt;&lt;/related-urls&gt;&lt;/urls&gt;&lt;electronic-resource-num&gt;10.21273/hortsci15288-20&lt;/electronic-resource-num&gt;&lt;/record&gt;&lt;/Cite&gt;&lt;/EndNote&gt;</w:instrText>
      </w:r>
      <w:r>
        <w:rPr>
          <w:rFonts w:eastAsia="等线"/>
          <w:kern w:val="2"/>
          <w:szCs w:val="22"/>
          <w:lang w:bidi="ar"/>
        </w:rPr>
      </w:r>
      <w:r>
        <w:rPr>
          <w:kern w:val="2"/>
          <w:szCs w:val="22"/>
          <w:rFonts w:eastAsia="等线"/>
          <w:lang w:bidi="ar"/>
        </w:rPr>
        <w:fldChar w:fldCharType="separate"/>
      </w:r>
      <w:r>
        <w:rPr>
          <w:rFonts w:eastAsia="等线"/>
          <w:kern w:val="2"/>
          <w:szCs w:val="22"/>
          <w:lang w:bidi="ar"/>
        </w:rPr>
        <w:t>[32]</w:t>
      </w:r>
      <w:r>
        <w:rPr>
          <w:rFonts w:eastAsia="等线"/>
          <w:kern w:val="2"/>
          <w:szCs w:val="22"/>
          <w:lang w:bidi="ar"/>
        </w:rPr>
      </w:r>
      <w:r>
        <w:rPr>
          <w:kern w:val="2"/>
          <w:szCs w:val="22"/>
          <w:rFonts w:eastAsia="等线"/>
          <w:lang w:bidi="ar"/>
        </w:rPr>
        <w:fldChar w:fldCharType="end"/>
      </w:r>
      <w:r>
        <w:rPr>
          <w:rFonts w:eastAsia="等线"/>
          <w:kern w:val="2"/>
          <w:szCs w:val="22"/>
          <w:lang w:bidi="ar"/>
        </w:rPr>
        <w:t xml:space="preserve">. Notably, ABA levels do not significantly change during flower bud differentiation </w:t>
      </w:r>
      <w:r>
        <w:fldChar w:fldCharType="begin"/>
      </w:r>
      <w:r>
        <w:rPr>
          <w:kern w:val="2"/>
          <w:szCs w:val="22"/>
          <w:rFonts w:eastAsia="等线"/>
          <w:lang w:bidi="ar"/>
        </w:rPr>
        <w:instrText>ADDIN EN.CITE &lt;EndNote&gt;&lt;Cite&gt;&lt;Author&gt;Xu&lt;/Author&gt;&lt;Year&gt;2020&lt;/Year&gt;&lt;RecNum&gt;33&lt;/RecNum&gt;&lt;DisplayText&gt;[33]&lt;/DisplayText&gt;&lt;record&gt;&lt;rec-number&gt;33&lt;/rec-number&gt;&lt;foreign-keys&gt;&lt;key app="EN" db-id="es2vseptt50xdreps0evpxv0xvw0padast9f" timestamp="1665387510"&gt;33&lt;/key&gt;&lt;/foreign-keys&gt;&lt;ref-type name="Journal Article"&gt;17&lt;/ref-type&gt;&lt;contributors&gt;&lt;authors&gt;&lt;author&gt;Xu, Shenping&lt;/author&gt;&lt;author&gt;Zhang, Yan&lt;/author&gt;&lt;author&gt;Yuan, Xiuyun&lt;/author&gt;&lt;author&gt;Cui, Bo&lt;/author&gt;&lt;/authors&gt;&lt;translated-authors&gt;&lt;author&gt;许申平,&lt;/author&gt;&lt;author&gt;张燕,&lt;/author&gt;&lt;author&gt;袁秀云,&lt;/author&gt;&lt;author&gt;崔波,&lt;/author&gt;&lt;/translated-authors&gt;&lt;/contributors&gt;&lt;titles&gt;&lt;title&gt;Explore the Key Period of Floral Determination Based on the Microstructure and Photosynthetic Characteristics in Phalaenopsis&lt;/title&gt;&lt;secondary-title&gt;Acta Horticulturae Sinica&lt;/secondary-title&gt;&lt;translated-title&gt;依据显微结构及光合特性探讨蝴蝶兰花芽分化的时期&lt;/translated-title&gt;&lt;/titles&gt;&lt;periodical&gt;&lt;full-title&gt;Acta Horticulturae Sinica&lt;/full-title&gt;&lt;/periodical&gt;&lt;pages&gt;1359-1368&lt;/pages&gt;&lt;volume&gt;47&lt;/volume&gt;&lt;number&gt;7&lt;/number&gt;&lt;dates&gt;&lt;year&gt;2020&lt;/year&gt;&lt;pub-dates&gt;&lt;date&gt;2020&lt;/date&gt;&lt;/pub-dates&gt;&lt;/dates&gt;&lt;isbn&gt;0513-353X&lt;/isbn&gt;&lt;accession-num&gt;CSCD:6781845&lt;/accession-num&gt;&lt;urls&gt;&lt;related-urls&gt;&lt;url&gt;&amp;lt;Go to ISI&amp;gt;://CSCD:6781845&lt;/url&gt;&lt;/related-urls&gt;&lt;/urls&gt;&lt;custom7&gt;0513-353x(2020)47:7&amp;lt;1359:Yjxwjg&amp;gt;2.0.Tx;2-g&lt;/custom7&gt;&lt;/record&gt;&lt;/Cite&gt;&lt;/EndNote&gt;</w:instrText>
      </w:r>
      <w:r>
        <w:rPr>
          <w:rFonts w:eastAsia="等线"/>
          <w:kern w:val="2"/>
          <w:szCs w:val="22"/>
          <w:lang w:bidi="ar"/>
        </w:rPr>
      </w:r>
      <w:r>
        <w:rPr>
          <w:kern w:val="2"/>
          <w:szCs w:val="22"/>
          <w:rFonts w:eastAsia="等线"/>
          <w:lang w:bidi="ar"/>
        </w:rPr>
        <w:fldChar w:fldCharType="separate"/>
      </w:r>
      <w:r>
        <w:rPr>
          <w:rFonts w:eastAsia="等线"/>
          <w:kern w:val="2"/>
          <w:szCs w:val="22"/>
          <w:lang w:bidi="ar"/>
        </w:rPr>
        <w:t>[33]</w:t>
      </w:r>
      <w:r>
        <w:rPr>
          <w:rFonts w:eastAsia="等线"/>
          <w:kern w:val="2"/>
          <w:szCs w:val="22"/>
          <w:lang w:bidi="ar"/>
        </w:rPr>
      </w:r>
      <w:r>
        <w:rPr>
          <w:kern w:val="2"/>
          <w:szCs w:val="22"/>
          <w:rFonts w:eastAsia="等线"/>
          <w:lang w:bidi="ar"/>
        </w:rPr>
        <w:fldChar w:fldCharType="end"/>
      </w:r>
      <w:r>
        <w:rPr>
          <w:rFonts w:eastAsia="等线"/>
          <w:kern w:val="2"/>
          <w:szCs w:val="22"/>
          <w:lang w:bidi="ar"/>
        </w:rPr>
        <w:t>.</w:t>
      </w:r>
      <w:r>
        <w:rPr>
          <w:rFonts w:eastAsia="等线"/>
          <w:color w:val="FF0000"/>
          <w:szCs w:val="22"/>
          <w:lang w:bidi="ar"/>
        </w:rPr>
        <w:t xml:space="preserve"> </w:t>
      </w:r>
      <w:r>
        <w:rPr>
          <w:rFonts w:eastAsia="等线"/>
          <w:kern w:val="2"/>
          <w:szCs w:val="22"/>
          <w:lang w:bidi="ar"/>
        </w:rPr>
        <w:t xml:space="preserve">A previous study showed that applying the phytohormone gibberellin (GA), a critical hormone for anther development, also effectively promoted lateral flower differentiation </w:t>
      </w:r>
      <w:r>
        <w:fldChar w:fldCharType="begin"/>
      </w:r>
      <w:r>
        <w:rPr>
          <w:kern w:val="2"/>
          <w:szCs w:val="22"/>
          <w:rFonts w:eastAsia="等线"/>
          <w:lang w:bidi="ar"/>
        </w:rPr>
        <w:instrText>ADDIN EN.CITE</w:instrText>
      </w:r>
      <w:r>
        <w:rPr>
          <w:rFonts w:eastAsia="等线"/>
          <w:kern w:val="2"/>
          <w:szCs w:val="22"/>
          <w:lang w:bidi="ar"/>
        </w:rPr>
      </w:r>
      <w:r>
        <w:fldChar w:fldCharType="begin"/>
      </w:r>
      <w:r>
        <w:rPr>
          <w:kern w:val="2"/>
          <w:szCs w:val="22"/>
          <w:rFonts w:eastAsia="等线"/>
          <w:lang w:bidi="ar"/>
        </w:rPr>
        <w:instrText>ADDIN EN.CITE.DATA</w:instrText>
      </w:r>
      <w:r>
        <w:rPr>
          <w:rFonts w:eastAsia="等线"/>
          <w:kern w:val="2"/>
          <w:szCs w:val="22"/>
          <w:lang w:bidi="ar"/>
        </w:rPr>
      </w:r>
      <w:r>
        <w:rPr>
          <w:kern w:val="2"/>
          <w:szCs w:val="22"/>
          <w:rFonts w:eastAsia="等线"/>
          <w:lang w:bidi="ar"/>
        </w:rPr>
        <w:fldChar w:fldCharType="separate"/>
      </w:r>
      <w:r>
        <w:rPr>
          <w:rFonts w:eastAsia="等线"/>
          <w:kern w:val="2"/>
          <w:szCs w:val="22"/>
          <w:lang w:bidi="ar"/>
        </w:rPr>
      </w:r>
      <w:r>
        <w:rPr>
          <w:rFonts w:eastAsia="等线"/>
          <w:kern w:val="2"/>
          <w:szCs w:val="22"/>
          <w:lang w:bidi="ar"/>
        </w:rPr>
      </w:r>
      <w:r>
        <w:rPr>
          <w:kern w:val="2"/>
          <w:szCs w:val="22"/>
          <w:rFonts w:eastAsia="等线"/>
          <w:lang w:bidi="ar"/>
        </w:rPr>
        <w:fldChar w:fldCharType="end"/>
      </w:r>
      <w:r>
        <w:rPr>
          <w:kern w:val="2"/>
          <w:szCs w:val="22"/>
          <w:rFonts w:eastAsia="等线"/>
          <w:lang w:bidi="ar"/>
        </w:rPr>
        <w:fldChar w:fldCharType="separate"/>
      </w:r>
      <w:r>
        <w:rPr>
          <w:rFonts w:eastAsia="等线"/>
          <w:kern w:val="2"/>
          <w:szCs w:val="22"/>
          <w:lang w:bidi="ar"/>
        </w:rPr>
        <w:t>[34, 35]</w:t>
      </w:r>
      <w:r>
        <w:rPr>
          <w:rFonts w:eastAsia="等线"/>
          <w:kern w:val="2"/>
          <w:szCs w:val="22"/>
          <w:lang w:bidi="ar"/>
        </w:rPr>
      </w:r>
      <w:r>
        <w:rPr>
          <w:kern w:val="2"/>
          <w:szCs w:val="22"/>
          <w:rFonts w:eastAsia="等线"/>
          <w:lang w:bidi="ar"/>
        </w:rPr>
        <w:fldChar w:fldCharType="end"/>
      </w:r>
      <w:r>
        <w:rPr>
          <w:rFonts w:eastAsia="等线"/>
          <w:kern w:val="2"/>
          <w:szCs w:val="22"/>
          <w:lang w:bidi="ar"/>
        </w:rPr>
        <w:t xml:space="preserve">. In addition, spraying GA (3) was found to advance flowering </w:t>
      </w:r>
      <w:r>
        <w:fldChar w:fldCharType="begin"/>
      </w:r>
      <w:r>
        <w:rPr>
          <w:kern w:val="2"/>
          <w:szCs w:val="22"/>
          <w:rFonts w:eastAsia="等线"/>
          <w:lang w:bidi="ar"/>
        </w:rPr>
        <w:instrText>ADDIN EN.CITE &lt;EndNote&gt;&lt;Cite&gt;&lt;Author&gt;Zhang&lt;/Author&gt;&lt;Year&gt;2022&lt;/Year&gt;&lt;RecNum&gt;36&lt;/RecNum&gt;&lt;DisplayText&gt;[36]&lt;/DisplayText&gt;&lt;record&gt;&lt;rec-number&gt;36&lt;/rec-number&gt;&lt;foreign-keys&gt;&lt;key app="EN" db-id="es2vseptt50xdreps0evpxv0xvw0padast9f" timestamp="1665387678"&gt;36&lt;/key&gt;&lt;/foreign-keys&gt;&lt;ref-type name="Journal Article"&gt;17&lt;/ref-type&gt;&lt;contributors&gt;&lt;authors&gt;&lt;author&gt;Zhang, Yingjie&lt;/author&gt;&lt;author&gt;Li, Ao&lt;/author&gt;&lt;author&gt;Lu, Yunfei&lt;/author&gt;&lt;author&gt;Sun, Jixia&lt;/author&gt;&lt;author&gt;Liu, Minxiao&lt;/author&gt;&lt;author&gt;Zhang, Jingwei&lt;/author&gt;&lt;author&gt;Liu, Xueqing&lt;/author&gt;&lt;author&gt;Liu, Xiaohua&lt;/author&gt;&lt;author&gt;Guo, Wenjiao&lt;/author&gt;&lt;author&gt;Guo, Duitian&lt;/author&gt;&lt;/authors&gt;&lt;translated-authors&gt;&lt;author&gt;张英杰,&lt;/author&gt;&lt;author&gt;李奥,&lt;/author&gt;&lt;author&gt;吕云飞,&lt;/author&gt;&lt;author&gt;孙纪霞,&lt;/author&gt;&lt;author&gt;刘民晓,&lt;/author&gt;&lt;author&gt;张京伟,&lt;/author&gt;&lt;author&gt;刘学庆,&lt;/author&gt;&lt;author&gt;刘晓华,&lt;/author&gt;&lt;author&gt;郭文姣,&lt;/author&gt;&lt;author&gt;郭对田,&lt;/author&gt;&lt;/translated-authors&gt;&lt;/contributors&gt;&lt;titles&gt;&lt;title&gt;Changes in Endogenous Hormones Content and Effect of Plant Growth Regulators of Phalaenopsis during Flowering Period&lt;/title&gt;&lt;secondary-title&gt;Journal of Tropical and Subtropical Botany&lt;/secondary-title&gt;&lt;translated-title&gt;蝴蝶兰成花过程内源激素含量的变化和植物生长调节剂的作用&lt;/translated-title&gt;&lt;/titles&gt;&lt;periodical&gt;&lt;full-title&gt;Journal of Tropical and Subtropical Botany&lt;/full-title&gt;&lt;/periodical&gt;&lt;pages&gt;104-110&lt;/pages&gt;&lt;volume&gt;30&lt;/volume&gt;&lt;number&gt;1&lt;/number&gt;&lt;dates&gt;&lt;year&gt;2022&lt;/year&gt;&lt;pub-dates&gt;&lt;date&gt;2022&lt;/date&gt;&lt;/pub-dates&gt;&lt;/dates&gt;&lt;isbn&gt;1005-3395&lt;/isbn&gt;&lt;accession-num&gt;CSCD:7165852&lt;/accession-num&gt;&lt;urls&gt;&lt;related-urls&gt;&lt;url&gt;&amp;lt;Go to ISI&amp;gt;://CSCD:7165852&lt;/url&gt;&lt;/related-urls&gt;&lt;/urls&gt;&lt;custom7&gt;1005-3395(2022)30:1&amp;lt;104:Hdlchg&amp;gt;2.0.Tx;2-2&lt;/custom7&gt;&lt;/record&gt;&lt;/Cite&gt;&lt;/EndNote&gt;</w:instrText>
      </w:r>
      <w:r>
        <w:rPr>
          <w:rFonts w:eastAsia="等线"/>
          <w:kern w:val="2"/>
          <w:szCs w:val="22"/>
          <w:lang w:bidi="ar"/>
        </w:rPr>
      </w:r>
      <w:r>
        <w:rPr>
          <w:kern w:val="2"/>
          <w:szCs w:val="22"/>
          <w:rFonts w:eastAsia="等线"/>
          <w:lang w:bidi="ar"/>
        </w:rPr>
        <w:fldChar w:fldCharType="separate"/>
      </w:r>
      <w:r>
        <w:rPr>
          <w:rFonts w:eastAsia="等线"/>
          <w:kern w:val="2"/>
          <w:szCs w:val="22"/>
          <w:lang w:bidi="ar"/>
        </w:rPr>
        <w:t>[36]</w:t>
      </w:r>
      <w:r>
        <w:rPr>
          <w:rFonts w:eastAsia="等线"/>
          <w:kern w:val="2"/>
          <w:szCs w:val="22"/>
          <w:lang w:bidi="ar"/>
        </w:rPr>
      </w:r>
      <w:r>
        <w:rPr>
          <w:kern w:val="2"/>
          <w:szCs w:val="22"/>
          <w:rFonts w:eastAsia="等线"/>
          <w:lang w:bidi="ar"/>
        </w:rPr>
        <w:fldChar w:fldCharType="end"/>
      </w:r>
      <w:r>
        <w:rPr>
          <w:rFonts w:eastAsia="等线"/>
          <w:kern w:val="2"/>
          <w:szCs w:val="22"/>
          <w:lang w:bidi="ar"/>
        </w:rPr>
        <w:t xml:space="preserve">. </w:t>
      </w:r>
      <w:r>
        <w:rPr>
          <w:szCs w:val="22"/>
          <w:lang w:bidi="ar"/>
        </w:rPr>
        <w:t>These findings all indicated that the balance and crosstalk of multiple phytohormones might a</w:t>
      </w:r>
      <w:r>
        <w:rPr>
          <w:rFonts w:eastAsia="AdvOT596495f2 fb"/>
          <w:szCs w:val="22"/>
          <w:lang w:bidi="ar"/>
        </w:rPr>
        <w:t>ff</w:t>
      </w:r>
      <w:r>
        <w:rPr>
          <w:szCs w:val="22"/>
          <w:lang w:bidi="ar"/>
        </w:rPr>
        <w:t>ect sex di</w:t>
      </w:r>
      <w:r>
        <w:rPr>
          <w:rFonts w:eastAsia="AdvOT596495f2 fb"/>
          <w:szCs w:val="22"/>
          <w:lang w:bidi="ar"/>
        </w:rPr>
        <w:t>ff</w:t>
      </w:r>
      <w:r>
        <w:rPr>
          <w:szCs w:val="22"/>
          <w:lang w:bidi="ar"/>
        </w:rPr>
        <w:t>erentiation in castor.</w:t>
      </w:r>
    </w:p>
    <w:p>
      <w:pPr>
        <w:pStyle w:val="Normal"/>
        <w:widowControl w:val="false"/>
        <w:snapToGrid w:val="false"/>
        <w:spacing w:before="240" w:after="60"/>
        <w:rPr>
          <w:b/>
          <w:b/>
          <w:color w:val="000000" w:themeColor="text1"/>
          <w:szCs w:val="22"/>
        </w:rPr>
      </w:pPr>
      <w:r>
        <w:rPr>
          <w:b/>
          <w:color w:val="000000" w:themeColor="text1"/>
          <w:szCs w:val="22"/>
        </w:rPr>
        <w:t>5 Conclusion</w:t>
      </w:r>
    </w:p>
    <w:p>
      <w:pPr>
        <w:pStyle w:val="Normal"/>
        <w:widowControl w:val="false"/>
        <w:spacing w:before="0" w:after="0"/>
        <w:ind w:firstLine="440"/>
        <w:rPr>
          <w:kern w:val="2"/>
          <w:szCs w:val="22"/>
          <w:lang w:bidi="ar"/>
        </w:rPr>
      </w:pPr>
      <w:r>
        <w:rPr>
          <w:kern w:val="2"/>
          <w:szCs w:val="22"/>
          <w:lang w:bidi="ar"/>
        </w:rPr>
        <w:t>In this study, transcriptomic analysis was conducted on three castor inflorescences. A total of 290 and 89 DEGs were found in the SFI and BI, respectively,</w:t>
      </w:r>
      <w:r>
        <w:rPr/>
        <w:t xml:space="preserve"> </w:t>
      </w:r>
      <w:r>
        <w:rPr>
          <w:kern w:val="2"/>
          <w:szCs w:val="22"/>
          <w:lang w:bidi="ar"/>
        </w:rPr>
        <w:t>compared to the MI. Among the DEGs, PADL5YB86 and hormone-related genes (ERF11, ERF92, ABAH1, and G2OX) were significantly differentially expressed in the three inflorescences, which further affected the development of castor inflorescences. However, the specific regulatory mechanism requires further study.</w:t>
      </w:r>
    </w:p>
    <w:p>
      <w:pPr>
        <w:pStyle w:val="Normal"/>
        <w:widowControl w:val="false"/>
        <w:snapToGrid w:val="false"/>
        <w:spacing w:before="312" w:after="60"/>
        <w:rPr>
          <w:color w:val="000000" w:themeColor="text1"/>
          <w:szCs w:val="22"/>
        </w:rPr>
      </w:pPr>
      <w:r>
        <w:rPr>
          <w:b/>
          <w:color w:val="000000" w:themeColor="text1"/>
          <w:szCs w:val="22"/>
        </w:rPr>
        <w:t>Acknowledgment:</w:t>
      </w:r>
      <w:r>
        <w:rPr>
          <w:color w:val="000000" w:themeColor="text1"/>
          <w:szCs w:val="22"/>
        </w:rPr>
        <w:t xml:space="preserve"> Not applicable.</w:t>
      </w:r>
    </w:p>
    <w:p>
      <w:pPr>
        <w:pStyle w:val="Normal"/>
        <w:widowControl w:val="false"/>
        <w:snapToGrid w:val="false"/>
        <w:spacing w:before="312" w:after="60"/>
        <w:rPr>
          <w:color w:val="000000" w:themeColor="text1"/>
          <w:szCs w:val="22"/>
        </w:rPr>
      </w:pPr>
      <w:r>
        <w:rPr>
          <w:b/>
          <w:bCs/>
          <w:color w:val="000000" w:themeColor="text1"/>
          <w:szCs w:val="22"/>
        </w:rPr>
        <w:t xml:space="preserve">Funding Statement: </w:t>
      </w:r>
      <w:r>
        <w:rPr>
          <w:color w:val="000000" w:themeColor="text1"/>
          <w:szCs w:val="22"/>
        </w:rPr>
        <w:t>This work was supported by the following agencies: the Natural Science Foundation of Jilin Province (YDZJ202201ZYTS453), the Scientific Research Project of the Jilin Provincial Department of Education (JJKH20220010KJ), the Program for Innovative Research Team of Baicheng Normal University, the National Natural Science Foundation of China (31860071), the Inner Mongolia Autonomous Region Natural Science Foundation Project (2021MS03008), the Inner Mongolia Autonomous Region Grassland Talent Innovation Team (2022), the 2022 Basic Scientific Research Business Cost Project of Universities Directly under the Autonomous Region (237), the Open Fund Project of Inner Mongolia Castor Industry Collaborative Innovation Center (MDK2021011, MDK2022014, MDK2022008, MDK2021008, MDK2022009, MDK2023003), and Fundamental Research Funds for Universities Directly under the Autonomous Region in 2023 of Inner Mongolia University for Nationalities (225, 227, 243, 244). New Agricultural Science Research and Reform Practice Project of the Ministry of Education (2020114), In 2023, the Science and Technology Department of the Inner Mongolia Autonomous Region approved the construction</w:t>
      </w:r>
    </w:p>
    <w:p>
      <w:pPr>
        <w:pStyle w:val="Keyword"/>
        <w:widowControl w:val="false"/>
        <w:snapToGrid w:val="false"/>
        <w:spacing w:before="312" w:after="60"/>
        <w:rPr>
          <w:color w:val="000000" w:themeColor="text1"/>
          <w:szCs w:val="22"/>
        </w:rPr>
      </w:pPr>
      <w:r>
        <w:rPr>
          <w:b/>
          <w:bCs/>
          <w:color w:val="000000" w:themeColor="text1"/>
          <w:szCs w:val="22"/>
        </w:rPr>
        <w:t xml:space="preserve">Author Contributions: </w:t>
      </w:r>
      <w:bookmarkStart w:id="16" w:name="OLE_LINK11"/>
      <w:r>
        <w:rPr>
          <w:color w:val="000000" w:themeColor="text1"/>
          <w:szCs w:val="22"/>
        </w:rPr>
        <w:t>Yong Zhao</w:t>
      </w:r>
      <w:bookmarkEnd w:id="16"/>
      <w:r>
        <w:rPr>
          <w:color w:val="000000" w:themeColor="text1"/>
          <w:szCs w:val="22"/>
        </w:rPr>
        <w:t>, Yaxuan Jiang, and Li Wen performed the experiments. RuiLuo, Guorui Li, and Jianjun Di guided the experimental process. Yong Zhao, Yaxuan Jiang, Mingda Yin, and Zhiyan Wang completed the data analysis. Yong Zhao completed the writing of his paper. Yong Zhao, Fenglan Huang, and Fanjuan Meng designed the experiments and provided funding.</w:t>
      </w:r>
    </w:p>
    <w:p>
      <w:pPr>
        <w:pStyle w:val="Keyword"/>
        <w:widowControl w:val="false"/>
        <w:snapToGrid w:val="false"/>
        <w:spacing w:before="312" w:after="60"/>
        <w:rPr>
          <w:color w:val="000000" w:themeColor="text1"/>
          <w:szCs w:val="22"/>
        </w:rPr>
      </w:pPr>
      <w:r>
        <w:rPr>
          <w:b/>
          <w:bCs/>
          <w:color w:val="000000" w:themeColor="text1"/>
          <w:szCs w:val="22"/>
        </w:rPr>
        <w:t xml:space="preserve">Availability of Data and Materials: </w:t>
      </w:r>
      <w:r>
        <w:rPr>
          <w:color w:val="000000" w:themeColor="text1"/>
          <w:szCs w:val="22"/>
        </w:rPr>
        <w:t>All data have been incorporated into the article and its supplementary material.</w:t>
      </w:r>
    </w:p>
    <w:p>
      <w:pPr>
        <w:pStyle w:val="Keyword"/>
        <w:widowControl w:val="false"/>
        <w:snapToGrid w:val="false"/>
        <w:spacing w:before="312" w:after="60"/>
        <w:rPr>
          <w:color w:val="000000" w:themeColor="text1"/>
          <w:szCs w:val="22"/>
        </w:rPr>
      </w:pPr>
      <w:r>
        <w:rPr>
          <w:b/>
          <w:bCs/>
          <w:color w:val="000000" w:themeColor="text1"/>
          <w:szCs w:val="22"/>
        </w:rPr>
        <w:t xml:space="preserve">Conflicts of Interest: </w:t>
      </w:r>
      <w:r>
        <w:rPr>
          <w:color w:val="000000" w:themeColor="text1"/>
          <w:szCs w:val="22"/>
        </w:rPr>
        <w:t>The authors declare that they have no conflicts of interest to report regarding the present study.</w:t>
      </w:r>
    </w:p>
    <w:p>
      <w:pPr>
        <w:pStyle w:val="Keyword"/>
        <w:widowControl w:val="false"/>
        <w:snapToGrid w:val="false"/>
        <w:spacing w:before="312" w:after="60"/>
        <w:rPr>
          <w:color w:val="000000" w:themeColor="text1"/>
          <w:szCs w:val="22"/>
        </w:rPr>
      </w:pPr>
      <w:r>
        <w:rPr>
          <w:b/>
          <w:bCs/>
          <w:color w:val="000000" w:themeColor="text1"/>
          <w:szCs w:val="22"/>
        </w:rPr>
        <w:t>Ethics Approval:</w:t>
      </w:r>
      <w:r>
        <w:rPr>
          <w:color w:val="000000" w:themeColor="text1"/>
          <w:szCs w:val="22"/>
        </w:rPr>
        <w:t xml:space="preserve"> NA.</w:t>
      </w:r>
    </w:p>
    <w:p>
      <w:pPr>
        <w:pStyle w:val="Keyword"/>
        <w:widowControl w:val="false"/>
        <w:snapToGrid w:val="false"/>
        <w:spacing w:before="312" w:after="60"/>
        <w:rPr>
          <w:color w:val="000000" w:themeColor="text1"/>
          <w:szCs w:val="22"/>
        </w:rPr>
      </w:pPr>
      <w:r>
        <w:rPr>
          <w:color w:val="000000" w:themeColor="text1"/>
          <w:szCs w:val="22"/>
        </w:rPr>
        <w:t>Supplementary Materials: The supplementary material is available online at https://doi.org/10.32604/Phyton.2024.047657.</w:t>
      </w:r>
    </w:p>
    <w:p>
      <w:pPr>
        <w:pStyle w:val="TextBody"/>
        <w:snapToGrid w:val="false"/>
        <w:spacing w:before="312" w:after="156"/>
        <w:ind w:left="0" w:right="108" w:hanging="0"/>
        <w:rPr>
          <w:rFonts w:ascii="Times New Roman" w:hAnsi="Times New Roman" w:cs="Times New Roman"/>
          <w:b/>
          <w:b/>
          <w:bCs/>
          <w:color w:val="000000" w:themeColor="text1"/>
          <w:sz w:val="22"/>
          <w:szCs w:val="22"/>
          <w:highlight w:val="white"/>
        </w:rPr>
      </w:pPr>
      <w:r>
        <w:rPr>
          <w:rFonts w:cs="Times New Roman" w:ascii="Times New Roman" w:hAnsi="Times New Roman"/>
          <w:b/>
          <w:bCs/>
          <w:color w:val="000000" w:themeColor="text1"/>
          <w:sz w:val="22"/>
          <w:szCs w:val="22"/>
          <w:shd w:fill="FFFFFF" w:val="clear"/>
        </w:rPr>
        <w:t>References</w:t>
      </w:r>
    </w:p>
    <w:p>
      <w:pPr>
        <w:pStyle w:val="EndNoteBibliography1"/>
        <w:spacing w:before="0" w:after="0"/>
        <w:ind w:left="720" w:hanging="720"/>
        <w:rPr/>
      </w:pPr>
      <w:r>
        <w:fldChar w:fldCharType="begin"/>
      </w:r>
      <w:r>
        <w:rPr/>
        <w:instrText>ADDIN EN.REFLIST</w:instrText>
      </w:r>
      <w:r>
        <w:rPr/>
      </w:r>
      <w:r>
        <w:rPr/>
        <w:fldChar w:fldCharType="separate"/>
      </w:r>
      <w:r>
        <w:rPr/>
        <w:t>1. Zhu, G. T., Cheng, D. D., Wang, X. F., Guo, Q. J., Zhang, Q., et al. (2022). Free amino acids, carbon, and nitrogen isotopic compositions responses to cadmium stress in two castor (</w:t>
      </w:r>
      <w:r>
        <w:rPr>
          <w:i/>
          <w:iCs/>
        </w:rPr>
        <w:t>Ricinus communis</w:t>
      </w:r>
      <w:r>
        <w:rPr/>
        <w:t xml:space="preserve"> L.) species. </w:t>
      </w:r>
      <w:r>
        <w:rPr>
          <w:i/>
          <w:iCs/>
        </w:rPr>
        <w:t>Plant Physiology and Biochemistry, 184</w:t>
      </w:r>
      <w:r>
        <w:rPr/>
        <w:t>, 40-46.</w:t>
      </w:r>
    </w:p>
    <w:p>
      <w:pPr>
        <w:pStyle w:val="EndNoteBibliography1"/>
        <w:spacing w:before="0" w:after="0"/>
        <w:ind w:left="720" w:hanging="720"/>
        <w:rPr>
          <w:lang w:val="es-AR"/>
        </w:rPr>
      </w:pPr>
      <w:r>
        <w:rPr/>
        <w:t>2. Elkousy, H. R., Abd, E. M., Abu, E. S. (2021). Antiviral activity of castor oil plant (</w:t>
      </w:r>
      <w:r>
        <w:rPr>
          <w:i/>
          <w:iCs/>
        </w:rPr>
        <w:t>Ricinus communis</w:t>
      </w:r>
      <w:r>
        <w:rPr/>
        <w:t xml:space="preserve">) leaf extracts. </w:t>
      </w:r>
      <w:r>
        <w:rPr>
          <w:i/>
          <w:iCs/>
          <w:lang w:val="es-AR"/>
        </w:rPr>
        <w:t>Journal of Ethnopharmacology, 271</w:t>
      </w:r>
      <w:r>
        <w:rPr>
          <w:lang w:val="es-AR"/>
        </w:rPr>
        <w:t>, 113878.</w:t>
      </w:r>
    </w:p>
    <w:p>
      <w:pPr>
        <w:pStyle w:val="EndNoteBibliography1"/>
        <w:spacing w:before="0" w:after="0"/>
        <w:ind w:left="720" w:hanging="720"/>
        <w:rPr/>
      </w:pPr>
      <w:r>
        <w:rPr>
          <w:lang w:val="es-AR"/>
        </w:rPr>
        <w:t xml:space="preserve">3. Sandoval-Salas, F., Méndez-Carreto, C., Ortega-Avila, G., Barrales-Fernández, C., Hernández-Ochoa, L., et al. </w:t>
      </w:r>
      <w:r>
        <w:rPr/>
        <w:t xml:space="preserve">(2022). A biorefinery approach to biodiesel production from castor plants. </w:t>
      </w:r>
      <w:r>
        <w:rPr>
          <w:i/>
          <w:iCs/>
        </w:rPr>
        <w:t>Processes, 10(6)</w:t>
      </w:r>
      <w:r>
        <w:rPr/>
        <w:t>, 151-159.</w:t>
      </w:r>
    </w:p>
    <w:p>
      <w:pPr>
        <w:pStyle w:val="EndNoteBibliography1"/>
        <w:spacing w:before="0" w:after="0"/>
        <w:ind w:left="720" w:hanging="720"/>
        <w:rPr/>
      </w:pPr>
      <w:r>
        <w:rPr/>
        <w:t xml:space="preserve">4. R. Ribeiro, P., A. J. Willems, L., Mudde, E., Fernandez, L. G., Castro, R. D., et al. (2015). Metabolite profiling of the oilseed crop Ricinus communis during early seed imbibition reveals a specific metabolic signature in response to temperature. </w:t>
      </w:r>
      <w:r>
        <w:rPr>
          <w:i/>
          <w:iCs/>
        </w:rPr>
        <w:t>Industrial Crops and Products, 67</w:t>
      </w:r>
      <w:r>
        <w:rPr/>
        <w:t>, 305-309.</w:t>
      </w:r>
    </w:p>
    <w:p>
      <w:pPr>
        <w:pStyle w:val="EndNoteBibliography1"/>
        <w:spacing w:before="0" w:after="0"/>
        <w:ind w:left="720" w:hanging="720"/>
        <w:rPr/>
      </w:pPr>
      <w:r>
        <w:rPr/>
        <w:t xml:space="preserve">5. Zhang, H. Z., Guo, Q. J., Yang, J. Y., Shen, J. X., Chen, T, B., et al. (2015). Subcellular cadmium distribution and antioxidant enzymatic activities in the leaves of two castor (Ricinus communis L.) cultivars exhibit differences in Cd accumulation. </w:t>
      </w:r>
      <w:r>
        <w:rPr>
          <w:i/>
          <w:iCs/>
        </w:rPr>
        <w:t>Ecotoxicology and Environmental Safety, 120</w:t>
      </w:r>
      <w:r>
        <w:rPr/>
        <w:t>, 184-192.</w:t>
      </w:r>
    </w:p>
    <w:p>
      <w:pPr>
        <w:pStyle w:val="EndNoteBibliography1"/>
        <w:spacing w:before="0" w:after="0"/>
        <w:ind w:left="720" w:hanging="720"/>
        <w:rPr/>
      </w:pPr>
      <w:r>
        <w:rPr/>
        <w:t xml:space="preserve">6. T D., and D. M, H. (1999). Oilseed situation, a statistical compendium. </w:t>
      </w:r>
      <w:r>
        <w:rPr>
          <w:i/>
          <w:iCs/>
        </w:rPr>
        <w:t>Directorate of Oilseeds Research, 32</w:t>
      </w:r>
      <w:r>
        <w:rPr/>
        <w:t>, 147-153.</w:t>
      </w:r>
    </w:p>
    <w:p>
      <w:pPr>
        <w:pStyle w:val="EndNoteBibliography1"/>
        <w:spacing w:before="0" w:after="0"/>
        <w:ind w:left="720" w:hanging="720"/>
        <w:rPr/>
      </w:pPr>
      <w:r>
        <w:rPr/>
        <w:t xml:space="preserve">7. Parveen, P. A., Ramana, J., Prasad, R. D., Senthilvel, S., Ahamed, M. L., et al. (2022). Waxy bloom on capsules is a major determinant of early infection by gray mold (Amphobotrys ricini (NF Buchw.) Hennebert) in castor (Ricinus communis L.). </w:t>
      </w:r>
      <w:r>
        <w:rPr>
          <w:i/>
          <w:iCs/>
        </w:rPr>
        <w:t>Journal of Phytopathology, 170(5)</w:t>
      </w:r>
      <w:r>
        <w:rPr/>
        <w:t>, 337-348.</w:t>
      </w:r>
    </w:p>
    <w:p>
      <w:pPr>
        <w:pStyle w:val="EndNoteBibliography1"/>
        <w:spacing w:before="0" w:after="0"/>
        <w:ind w:left="720" w:hanging="720"/>
        <w:rPr/>
      </w:pPr>
      <w:r>
        <w:rPr/>
        <w:t xml:space="preserve">8. P. Gangadhara, R., Behera, T. K., B. Gaikwad, A., Munshi, A. D., Jat, G. S., et al. (2018). </w:t>
      </w:r>
      <w:bookmarkStart w:id="17" w:name="OLE_LINK6"/>
      <w:r>
        <w:rPr/>
        <w:t xml:space="preserve">Mapping and QTL analysis of gynoecy and earliness in bitter gourd (Momordica charantia L.) using genotyping-by-sequencing (GBS) technology. </w:t>
      </w:r>
      <w:r>
        <w:rPr>
          <w:i/>
          <w:iCs/>
        </w:rPr>
        <w:t>Frontiers in Plant Science, 9</w:t>
      </w:r>
      <w:r>
        <w:rPr/>
        <w:t>, 1555.</w:t>
      </w:r>
    </w:p>
    <w:p>
      <w:pPr>
        <w:pStyle w:val="EndNoteBibliography1"/>
        <w:spacing w:before="0" w:after="0"/>
        <w:ind w:left="720" w:hanging="720"/>
        <w:rPr/>
      </w:pPr>
      <w:r>
        <w:rPr/>
        <w:t xml:space="preserve">9. Tan, M. Q., Xue, J. F., Wang, L., Huang, J. X, Fu, C. L., et al. (2016). Transcriptomic analysis for different sex types of Ricinus communis L. during development from apical buds to Inflorescences by digital gene expression profiling. </w:t>
      </w:r>
      <w:r>
        <w:rPr>
          <w:i/>
          <w:iCs/>
        </w:rPr>
        <w:t>Frontiers in Plant Science, 6</w:t>
      </w:r>
      <w:r>
        <w:rPr/>
        <w:t>, 1208.</w:t>
      </w:r>
    </w:p>
    <w:p>
      <w:pPr>
        <w:pStyle w:val="EndNoteBibliography1"/>
        <w:spacing w:before="0" w:after="0"/>
        <w:ind w:left="660" w:hanging="660"/>
        <w:rPr>
          <w:color w:val="FF0000"/>
        </w:rPr>
      </w:pPr>
      <w:r>
        <w:rPr>
          <w:color w:val="FF0000"/>
        </w:rPr>
        <w:t xml:space="preserve">10. Mukhtar, A., Masood, I. A., Sana, S., Athar, M., Talha, J., et al. (2022). Sulfur enhancement for the improvement of castor bean growth and yield, and sustainable biodiesel production. </w:t>
      </w:r>
      <w:r>
        <w:rPr>
          <w:i/>
          <w:iCs/>
          <w:color w:val="FF0000"/>
        </w:rPr>
        <w:t xml:space="preserve">Frontiers in Plant Science, 13, </w:t>
      </w:r>
      <w:r>
        <w:rPr>
          <w:color w:val="FF0000"/>
        </w:rPr>
        <w:t>905738.</w:t>
      </w:r>
    </w:p>
    <w:p>
      <w:pPr>
        <w:pStyle w:val="EndNoteBibliography1"/>
        <w:spacing w:before="0" w:after="0"/>
        <w:ind w:left="660" w:hanging="660"/>
        <w:rPr>
          <w:color w:val="FF0000"/>
        </w:rPr>
      </w:pPr>
      <w:r>
        <w:rPr>
          <w:color w:val="FF0000"/>
        </w:rPr>
        <w:t xml:space="preserve">11. Wen, Y., Luo, R., Li, L., Liang, X., Hu, X., et al. (2023). Functional studies of castor (Ricinus communis L.) PLC family genes in Arabidopsis inflorescence development. </w:t>
      </w:r>
      <w:r>
        <w:rPr>
          <w:i/>
          <w:iCs/>
          <w:color w:val="FF0000"/>
        </w:rPr>
        <w:t>Phyton-International Journal of Experimental Botany</w:t>
      </w:r>
      <w:r>
        <w:rPr>
          <w:color w:val="FF0000"/>
        </w:rPr>
        <w:t>,</w:t>
      </w:r>
      <w:r>
        <w:rPr>
          <w:i/>
          <w:iCs/>
          <w:color w:val="FF0000"/>
        </w:rPr>
        <w:t xml:space="preserve"> 92(11), </w:t>
      </w:r>
      <w:r>
        <w:rPr>
          <w:color w:val="FF0000"/>
        </w:rPr>
        <w:t>3091-3112.</w:t>
      </w:r>
    </w:p>
    <w:p>
      <w:pPr>
        <w:pStyle w:val="EndNoteBibliography1"/>
        <w:spacing w:before="0" w:after="0"/>
        <w:ind w:left="720" w:hanging="720"/>
        <w:rPr/>
      </w:pPr>
      <w:r>
        <w:rPr/>
        <w:t>12. Huang, F. L., Zhu, G. L., Pan, W. T., He, Z. B., Bao, C. G., et al. (2014). Comparative study of inflorescence development in three types of castor on microscopy.</w:t>
      </w:r>
      <w:r>
        <w:rPr>
          <w:i/>
          <w:iCs/>
        </w:rPr>
        <w:t xml:space="preserve"> Journal of Northern Agriculture, (4)</w:t>
      </w:r>
      <w:r>
        <w:rPr/>
        <w:t>, 10-13.</w:t>
      </w:r>
    </w:p>
    <w:p>
      <w:pPr>
        <w:pStyle w:val="EndNoteBibliography1"/>
        <w:spacing w:before="0" w:after="0"/>
        <w:ind w:left="720" w:hanging="720"/>
        <w:rPr/>
      </w:pPr>
      <w:r>
        <w:rPr/>
        <w:t xml:space="preserve">13. Yu Y., Hong, Z., Long Y. P., Yi S., Zhai, J. X. (2022). Plant Public RNA-seq Database: a comprehensive online database for expression analysis of similar to 45 000 plant public RNA-Seq libraries. </w:t>
      </w:r>
      <w:r>
        <w:rPr>
          <w:i/>
          <w:iCs/>
        </w:rPr>
        <w:t>Plant Biotechnology Journal, 20(5)</w:t>
      </w:r>
      <w:r>
        <w:rPr/>
        <w:t>, 806-808.</w:t>
      </w:r>
    </w:p>
    <w:p>
      <w:pPr>
        <w:pStyle w:val="EndNoteBibliography1"/>
        <w:spacing w:before="0" w:after="0"/>
        <w:ind w:left="720" w:hanging="720"/>
        <w:rPr/>
      </w:pPr>
      <w:r>
        <w:rPr/>
        <w:t xml:space="preserve">14. Adrian, P. B., Kroon, J., Swarbreck, D., Febrer, M., Tony, R. L, et al. (2012). Tissue-specific whole transcriptome sequencing in castor, directed at understanding triacylglycerol lipid biosynthetic pathways. </w:t>
      </w:r>
      <w:r>
        <w:rPr>
          <w:i/>
          <w:iCs/>
        </w:rPr>
        <w:t>Plos One, 7(2)</w:t>
      </w:r>
      <w:r>
        <w:rPr/>
        <w:t>, e30100.</w:t>
      </w:r>
    </w:p>
    <w:p>
      <w:pPr>
        <w:pStyle w:val="EndNoteBibliography1"/>
        <w:spacing w:before="0" w:after="0"/>
        <w:ind w:left="720" w:hanging="720"/>
        <w:rPr/>
      </w:pPr>
      <w:r>
        <w:rPr/>
        <w:t xml:space="preserve">15. Singh, R., Misra, A. N., Sharma, P. (2022). Genome–wide transcriptional response of contrasting genotypes of industrial crop castor to As(V) stress: Identification of genes and mechanisms associated with As(V) tolerance. </w:t>
      </w:r>
      <w:r>
        <w:rPr>
          <w:i/>
          <w:iCs/>
        </w:rPr>
        <w:t>Industrial Crops and Products, 179</w:t>
      </w:r>
      <w:r>
        <w:rPr/>
        <w:t>, 179.</w:t>
      </w:r>
    </w:p>
    <w:p>
      <w:pPr>
        <w:pStyle w:val="EndNoteBibliography1"/>
        <w:spacing w:before="0" w:after="0"/>
        <w:ind w:left="720" w:hanging="720"/>
        <w:rPr/>
      </w:pPr>
      <w:r>
        <w:rPr/>
        <w:t xml:space="preserve">16. Sun, M., Zhang, J., Wang, N., Wei, X., Fang, H., et al. (2023). Genome-wide identification, phylogenetic and expression pattern analysis of fatty acid desaturase genes in castor (Ricinus communis L.). </w:t>
      </w:r>
      <w:r>
        <w:rPr>
          <w:i/>
          <w:iCs/>
        </w:rPr>
        <w:t>Tropical Plant Biology,</w:t>
      </w:r>
      <w:r>
        <w:rPr/>
        <w:t xml:space="preserve"> 1-13.</w:t>
      </w:r>
    </w:p>
    <w:p>
      <w:pPr>
        <w:pStyle w:val="EndNoteBibliography1"/>
        <w:spacing w:before="0" w:after="0"/>
        <w:ind w:left="720" w:hanging="720"/>
        <w:rPr/>
      </w:pPr>
      <w:r>
        <w:rPr/>
        <w:t xml:space="preserve">17. Zou, Z., Gong, J., Huang, Q., Mo, Y., Yang, L., et al. (2015). Gene structures, evolution, classification and expression profiles of the Aquaporin gene family in castor bean (Ricinus communis L.). </w:t>
      </w:r>
      <w:r>
        <w:rPr>
          <w:i/>
          <w:iCs/>
        </w:rPr>
        <w:t>PLoS One, 10(10)</w:t>
      </w:r>
      <w:r>
        <w:rPr/>
        <w:t>, e0141022.</w:t>
      </w:r>
    </w:p>
    <w:p>
      <w:pPr>
        <w:pStyle w:val="EndNoteBibliography1"/>
        <w:spacing w:before="0" w:after="0"/>
        <w:ind w:left="720" w:hanging="720"/>
        <w:rPr>
          <w:color w:val="FF0000"/>
        </w:rPr>
      </w:pPr>
      <w:r>
        <w:rPr>
          <w:color w:val="FF0000"/>
        </w:rPr>
        <w:t xml:space="preserve">18. Wang, X., Wu, Y., Sun, M., Wei, X., Huo, H., et al. (2022). Dynamic transcriptome profiling revealed key genes and pathways associated with cold stress in castor (Ricinus communis L.). </w:t>
      </w:r>
      <w:r>
        <w:rPr>
          <w:i/>
          <w:iCs/>
          <w:color w:val="FF0000"/>
        </w:rPr>
        <w:t>Industrial Crops and Products, 178</w:t>
      </w:r>
      <w:r>
        <w:rPr>
          <w:color w:val="FF0000"/>
        </w:rPr>
        <w:t>, 114610.</w:t>
      </w:r>
    </w:p>
    <w:p>
      <w:pPr>
        <w:pStyle w:val="EndNoteBibliography1"/>
        <w:spacing w:before="0" w:after="0"/>
        <w:ind w:left="720" w:hanging="720"/>
        <w:rPr/>
      </w:pPr>
      <w:r>
        <w:rPr/>
      </w:r>
    </w:p>
    <w:p>
      <w:pPr>
        <w:pStyle w:val="EndNoteBibliography1"/>
        <w:spacing w:before="0" w:after="0"/>
        <w:ind w:left="720" w:hanging="720"/>
        <w:rPr/>
      </w:pPr>
      <w:r>
        <w:rPr/>
      </w:r>
    </w:p>
    <w:p>
      <w:pPr>
        <w:pStyle w:val="EndNoteBibliography1"/>
        <w:spacing w:before="0" w:after="0"/>
        <w:ind w:left="720" w:hanging="720"/>
        <w:rPr/>
      </w:pPr>
      <w:r>
        <w:rPr/>
        <w:t xml:space="preserve">19. Lei, W., Tan, M., Yan, M. F., Wang, L. J., Yan X. C. (2012). Initial research on inflorescence characteristics and flower bud differentiation of Ricinus communis L. </w:t>
      </w:r>
      <w:r>
        <w:rPr>
          <w:i/>
          <w:iCs/>
        </w:rPr>
        <w:t>Chinese Journal of Oil Crop Sciences, 34(5)</w:t>
      </w:r>
      <w:r>
        <w:rPr/>
        <w:t>, 544-550.</w:t>
      </w:r>
    </w:p>
    <w:p>
      <w:pPr>
        <w:pStyle w:val="EndNoteBibliography1"/>
        <w:spacing w:before="0" w:after="0"/>
        <w:ind w:left="720" w:hanging="720"/>
        <w:rPr/>
      </w:pPr>
      <w:r>
        <w:rPr/>
        <w:t xml:space="preserve">20. Fu, Q. T., Niu, L. J., Chen M. S., Tao, Y. B., Wang, X. L., et al. (2018). De novo transcriptome assembly and comparative analysis between male and benzyladenine-induced female inflorescence buds of Plukenetia volubilis. </w:t>
      </w:r>
      <w:r>
        <w:rPr>
          <w:i/>
          <w:iCs/>
        </w:rPr>
        <w:t>Journal of Plant Physiology, 221</w:t>
      </w:r>
      <w:r>
        <w:rPr/>
        <w:t>, 107-118.</w:t>
      </w:r>
    </w:p>
    <w:p>
      <w:pPr>
        <w:pStyle w:val="EndNoteBibliography1"/>
        <w:spacing w:before="0" w:after="0"/>
        <w:ind w:left="720" w:hanging="720"/>
        <w:rPr/>
      </w:pPr>
      <w:r>
        <w:rPr/>
        <w:t xml:space="preserve">21. Li, W. G., Zhang, L. H., Zhan, D., Wang, G. D., Zhang, Y. D., et al. (2017). De novo sequencing and comparative transcriptome analysis of the male and hermaphroditic flowers provide insights into the regulation of flower formation in andromonoecious taihangia rupestris. </w:t>
      </w:r>
      <w:r>
        <w:rPr>
          <w:i/>
          <w:iCs/>
        </w:rPr>
        <w:t>Bmc Plant Biology</w:t>
      </w:r>
      <w:r>
        <w:rPr/>
        <w:t xml:space="preserve">, </w:t>
      </w:r>
      <w:r>
        <w:rPr>
          <w:i/>
          <w:iCs/>
        </w:rPr>
        <w:t>17(1)</w:t>
      </w:r>
      <w:r>
        <w:rPr/>
        <w:t>, 54.</w:t>
      </w:r>
    </w:p>
    <w:p>
      <w:pPr>
        <w:pStyle w:val="EndNoteBibliography1"/>
        <w:spacing w:before="0" w:after="0"/>
        <w:ind w:left="720" w:hanging="720"/>
        <w:rPr/>
      </w:pPr>
      <w:r>
        <w:rPr/>
        <w:t xml:space="preserve">22. Peng, J., Li, C. Y., Zhai, W. H., Dai, J. Y., Zhao, Y. L., et al. (2022). Integrative metabolome and transcriptome analysis of flavonoid biosynthesis genes in broussonetia papyrifera leaves from the perspective of sex differentiation. </w:t>
      </w:r>
      <w:r>
        <w:rPr>
          <w:i/>
          <w:iCs/>
        </w:rPr>
        <w:t>Frontiers in Plant Science</w:t>
      </w:r>
      <w:r>
        <w:rPr/>
        <w:t xml:space="preserve">, </w:t>
      </w:r>
      <w:r>
        <w:rPr>
          <w:i/>
          <w:iCs/>
        </w:rPr>
        <w:t>13</w:t>
      </w:r>
      <w:r>
        <w:rPr/>
        <w:t>, 900030.</w:t>
      </w:r>
    </w:p>
    <w:p>
      <w:pPr>
        <w:pStyle w:val="EndNoteBibliography1"/>
        <w:spacing w:before="0" w:after="0"/>
        <w:ind w:left="720" w:hanging="720"/>
        <w:rPr/>
      </w:pPr>
      <w:r>
        <w:rPr/>
        <w:t>23. Baxter, Ca., Costa, M. R., Coen, E. (2007). Diversification and co-option of RAD-like genes in the evolution of floral asymmetry.</w:t>
      </w:r>
      <w:r>
        <w:rPr>
          <w:i/>
          <w:iCs/>
        </w:rPr>
        <w:t xml:space="preserve"> Plant Journal, 52</w:t>
      </w:r>
      <w:r>
        <w:rPr/>
        <w:t>, 105-113.</w:t>
      </w:r>
    </w:p>
    <w:p>
      <w:pPr>
        <w:pStyle w:val="EndNoteBibliography1"/>
        <w:spacing w:before="0" w:after="0"/>
        <w:ind w:left="720" w:hanging="720"/>
        <w:rPr/>
      </w:pPr>
      <w:r>
        <w:rPr/>
        <w:t xml:space="preserve">24. Zhong, J. H., C. Preston, J., C. Hileman, L., A. Kellogg, E. (2017). Repeated and diverse losses of corolla bilateral symmetry in the Lamiaceae. </w:t>
      </w:r>
      <w:r>
        <w:rPr>
          <w:i/>
          <w:iCs/>
        </w:rPr>
        <w:t>Annals of Botany, 119</w:t>
      </w:r>
      <w:r>
        <w:rPr/>
        <w:t>, 1211–1223.</w:t>
      </w:r>
    </w:p>
    <w:p>
      <w:pPr>
        <w:pStyle w:val="EndNoteBibliography1"/>
        <w:spacing w:before="0" w:after="0"/>
        <w:ind w:left="720" w:hanging="720"/>
        <w:rPr/>
      </w:pPr>
      <w:r>
        <w:rPr/>
        <w:t xml:space="preserve">25. Jia. Z. M., Wang, G., Xuan, J. S., Zhang, J., Zhai, M., et al. (2018). Comparative transcriptome analysis of pecan female and male inflorescences. </w:t>
      </w:r>
      <w:r>
        <w:rPr>
          <w:i/>
          <w:iCs/>
        </w:rPr>
        <w:t>Russian Journal of</w:t>
      </w:r>
      <w:r>
        <w:rPr/>
        <w:t xml:space="preserve"> </w:t>
      </w:r>
      <w:r>
        <w:rPr>
          <w:i/>
          <w:iCs/>
        </w:rPr>
        <w:t>Plant Physiology, 65(2)</w:t>
      </w:r>
      <w:r>
        <w:rPr/>
        <w:t>, 186-196.</w:t>
      </w:r>
    </w:p>
    <w:p>
      <w:pPr>
        <w:pStyle w:val="EndNoteBibliography1"/>
        <w:spacing w:before="0" w:after="0"/>
        <w:ind w:left="720" w:hanging="720"/>
        <w:rPr/>
      </w:pPr>
      <w:r>
        <w:rPr/>
        <w:t xml:space="preserve">26. Zhang, X., Tang, N., Liu, X. M., Ye, J. B., Zhang J. Y., et al. (2020). Comparative transcriptome analysis identified differentially expressed genes between male and female flowers of zanthoxylum armatum var. novemfolius. </w:t>
      </w:r>
      <w:r>
        <w:rPr>
          <w:i/>
          <w:iCs/>
        </w:rPr>
        <w:t>Agronomy-Basel, 10(2)</w:t>
      </w:r>
      <w:r>
        <w:rPr/>
        <w:t>,153-159</w:t>
      </w:r>
    </w:p>
    <w:p>
      <w:pPr>
        <w:pStyle w:val="EndNoteBibliography1"/>
        <w:spacing w:before="0" w:after="0"/>
        <w:ind w:left="720" w:hanging="720"/>
        <w:rPr>
          <w:lang w:val="es-AR"/>
        </w:rPr>
      </w:pPr>
      <w:r>
        <w:rPr/>
        <w:t>27. Pan, J., Wen, H., He, H. L., Lian, H. L., Wang G., et al. (2020). Genome-wide identification of cucumber ERF gene family and expression analysis in female bud differentiation.</w:t>
      </w:r>
      <w:r>
        <w:rPr>
          <w:i/>
          <w:iCs/>
        </w:rPr>
        <w:t xml:space="preserve"> </w:t>
      </w:r>
      <w:r>
        <w:rPr>
          <w:i/>
          <w:iCs/>
          <w:lang w:val="es-AR"/>
        </w:rPr>
        <w:t>Scientia Agricultura Sinica, 53(1)</w:t>
      </w:r>
      <w:r>
        <w:rPr>
          <w:lang w:val="es-AR"/>
        </w:rPr>
        <w:t>, 133-147.</w:t>
      </w:r>
    </w:p>
    <w:p>
      <w:pPr>
        <w:pStyle w:val="EndNoteBibliography1"/>
        <w:spacing w:before="0" w:after="0"/>
        <w:ind w:left="720" w:hanging="720"/>
        <w:rPr/>
      </w:pPr>
      <w:r>
        <w:rPr>
          <w:lang w:val="es-AR"/>
        </w:rPr>
        <w:t xml:space="preserve">28. Zafar, M., Abdul, R., Abdul, R., Aqsa, P., Ghulam, M., et al. </w:t>
      </w:r>
      <w:r>
        <w:rPr/>
        <w:t xml:space="preserve">(2020). Genome wide characterization, identification and expression analysis of ERF gene family in cotton. </w:t>
      </w:r>
      <w:r>
        <w:rPr>
          <w:i/>
          <w:iCs/>
        </w:rPr>
        <w:t>BMC Plant Biology, 53(1)</w:t>
      </w:r>
      <w:r>
        <w:rPr/>
        <w:t>, 133-147.</w:t>
      </w:r>
    </w:p>
    <w:p>
      <w:pPr>
        <w:pStyle w:val="EndNoteBibliography1"/>
        <w:spacing w:before="0" w:after="0"/>
        <w:ind w:left="720" w:hanging="720"/>
        <w:rPr/>
      </w:pPr>
      <w:r>
        <w:rPr/>
        <w:t xml:space="preserve">29. Pan, J., Wen, H. F., Chen, G. Q., Lin, W. H., Du, H., et al. (2021). A positive feedback loop mediated by CsERF31 initiates female cucumber flower development. </w:t>
      </w:r>
      <w:r>
        <w:rPr>
          <w:i/>
          <w:iCs/>
        </w:rPr>
        <w:t>Plant Physiology, 21</w:t>
      </w:r>
      <w:r>
        <w:rPr/>
        <w:t>, 141.</w:t>
      </w:r>
    </w:p>
    <w:p>
      <w:pPr>
        <w:pStyle w:val="EndNoteBibliography1"/>
        <w:spacing w:before="0" w:after="0"/>
        <w:ind w:left="720" w:hanging="720"/>
        <w:rPr/>
      </w:pPr>
      <w:r>
        <w:rPr/>
        <w:t xml:space="preserve">30. Qi, Z., Jing, C., Li, L., Zhao, M. Z., Zhang, M. P., et al. (2018). Research progress on plant AP2/ERF transcription factor family. </w:t>
      </w:r>
      <w:r>
        <w:rPr>
          <w:i/>
          <w:iCs/>
        </w:rPr>
        <w:t>Biotechnology Bulletin, 34(8)</w:t>
      </w:r>
      <w:r>
        <w:rPr/>
        <w:t>, 1-7.</w:t>
      </w:r>
    </w:p>
    <w:p>
      <w:pPr>
        <w:pStyle w:val="EndNoteBibliography1"/>
        <w:spacing w:before="0" w:after="0"/>
        <w:ind w:left="720" w:hanging="720"/>
        <w:rPr/>
      </w:pPr>
      <w:r>
        <w:rPr/>
        <w:t xml:space="preserve">31. Shi, X. F., Wei, R. F., Huang, G. Y., Zhang, Y., Lin L., et al. (2021). Study on the molecular mechanism of promotion of inflorescence formation of CCC treatment for the second fruiting in grape. </w:t>
      </w:r>
      <w:r>
        <w:rPr>
          <w:i/>
          <w:iCs/>
        </w:rPr>
        <w:t>Journal of Fruit Science, 38(2)</w:t>
      </w:r>
      <w:r>
        <w:rPr/>
        <w:t>, 153-167.</w:t>
      </w:r>
    </w:p>
    <w:p>
      <w:pPr>
        <w:pStyle w:val="EndNoteBibliography1"/>
        <w:spacing w:before="0" w:after="0"/>
        <w:ind w:left="720" w:hanging="720"/>
        <w:rPr/>
      </w:pPr>
      <w:r>
        <w:rPr/>
        <w:t xml:space="preserve">32. Wang, J. X., Luo T., He, Z., Shao J. Z., Peng, J. Y., et al. (2020). Variation of endogenous hormones during flower and leaf buds development in 'Tianhong 2' apple. </w:t>
      </w:r>
      <w:r>
        <w:rPr>
          <w:i/>
          <w:iCs/>
        </w:rPr>
        <w:t>Hortscience, 55(11)</w:t>
      </w:r>
      <w:r>
        <w:rPr/>
        <w:t>, 1794-1798.</w:t>
      </w:r>
    </w:p>
    <w:p>
      <w:pPr>
        <w:pStyle w:val="EndNoteBibliography1"/>
        <w:spacing w:before="0" w:after="0"/>
        <w:ind w:left="720" w:hanging="720"/>
        <w:rPr>
          <w:lang w:val="es-AR"/>
        </w:rPr>
      </w:pPr>
      <w:r>
        <w:rPr/>
        <w:t xml:space="preserve">33. Xu, S. P., Zhang Y., Yuan X. Y, Bo, C. (2020). Explore the key period of floral determination based on the microstructure and photosynthetic characteristics in phalaenopsis. </w:t>
      </w:r>
      <w:r>
        <w:rPr>
          <w:i/>
          <w:iCs/>
          <w:lang w:val="es-AR"/>
        </w:rPr>
        <w:t>Acta Horticulturae Sinica, 47(7)</w:t>
      </w:r>
      <w:r>
        <w:rPr>
          <w:lang w:val="es-AR"/>
        </w:rPr>
        <w:t>, 1359-1368.</w:t>
      </w:r>
    </w:p>
    <w:p>
      <w:pPr>
        <w:pStyle w:val="EndNoteBibliography1"/>
        <w:spacing w:before="0" w:after="0"/>
        <w:ind w:left="720" w:hanging="720"/>
        <w:rPr/>
      </w:pPr>
      <w:r>
        <w:rPr>
          <w:lang w:val="es-AR"/>
        </w:rPr>
        <w:t>34. Qian, Q., Yang, Y. H., Zhang, W. B</w:t>
      </w:r>
      <w:r>
        <w:rPr/>
        <w:t>.</w:t>
      </w:r>
      <w:r>
        <w:rPr>
          <w:lang w:val="es-AR"/>
        </w:rPr>
        <w:t xml:space="preserve">, Hu, Y. L., Yuge. L., et al. </w:t>
      </w:r>
      <w:r>
        <w:rPr/>
        <w:t xml:space="preserve">(2021). A novel Arabidopsis gene RGAT1 is required for GA‐mediated tapetum and pollen development. </w:t>
      </w:r>
      <w:r>
        <w:rPr>
          <w:i/>
          <w:iCs/>
        </w:rPr>
        <w:t>New Phytologist, 231(1)</w:t>
      </w:r>
      <w:r>
        <w:rPr/>
        <w:t>, 137-151.</w:t>
      </w:r>
    </w:p>
    <w:p>
      <w:pPr>
        <w:pStyle w:val="EndNoteBibliography1"/>
        <w:spacing w:before="0" w:after="0"/>
        <w:ind w:left="720" w:hanging="720"/>
        <w:rPr/>
      </w:pPr>
      <w:r>
        <w:rPr/>
        <w:t xml:space="preserve">35. Yin, Y. Y., Li. J., Guo, B. C., Li, T. L., Ma, G. H., et al. (2022). Exogenous GA3 promotes flowering in Paphiopedilum callosum (Orchidaceae) through bolting and lateral flower development regulation. </w:t>
      </w:r>
      <w:r>
        <w:rPr>
          <w:i/>
          <w:iCs/>
        </w:rPr>
        <w:t>Horticulture research, 9</w:t>
      </w:r>
      <w:r>
        <w:rPr/>
        <w:t>, 091.</w:t>
      </w:r>
    </w:p>
    <w:p>
      <w:pPr>
        <w:pStyle w:val="EndNoteBibliography1"/>
        <w:ind w:left="720" w:hanging="720"/>
        <w:rPr/>
      </w:pPr>
      <w:r>
        <w:rPr/>
        <w:t>36. Zhang, Y. J., Li, A., Lu, Y. F., Sun, J. X., Liu, M. X., et al. (2022). Changes in endogenous hormones content and effect of plant growth regulators of phalaenopsis during flowering period.</w:t>
      </w:r>
      <w:r>
        <w:rPr>
          <w:i/>
          <w:iCs/>
        </w:rPr>
        <w:t xml:space="preserve"> Journal of Tropical and Subtropical Botany, 30(1)</w:t>
      </w:r>
      <w:r>
        <w:rPr/>
        <w:t>, 104-110.</w:t>
      </w:r>
    </w:p>
    <w:p>
      <w:pPr>
        <w:pStyle w:val="Normal"/>
        <w:widowControl/>
        <w:bidi w:val="0"/>
        <w:spacing w:before="0" w:after="60"/>
        <w:jc w:val="both"/>
        <w:rPr/>
      </w:pPr>
      <w:r>
        <w:rPr/>
      </w:r>
      <w:r>
        <w:rPr/>
        <w:fldChar w:fldCharType="end"/>
      </w:r>
      <w:bookmarkEnd w:id="17"/>
    </w:p>
    <w:sectPr>
      <w:headerReference w:type="default" r:id="rId10"/>
      <w:type w:val="nextPage"/>
      <w:pgSz w:w="11906" w:h="16838"/>
      <w:pgMar w:left="1800" w:right="1800" w:header="851" w:top="1440" w:footer="0" w:bottom="1440" w:gutter="0"/>
      <w:pgNumType w:fmt="decimal"/>
      <w:formProt w:val="false"/>
      <w:textDirection w:val="lrTb"/>
      <w:docGrid w:type="lines" w:linePitch="312"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等线 Light">
    <w:charset w:val="01"/>
    <w:family w:val="roman"/>
    <w:pitch w:val="variable"/>
  </w:font>
  <w:font w:name="PMingLiU">
    <w:charset w:val="01"/>
    <w:family w:val="roman"/>
    <w:pitch w:val="variable"/>
  </w:font>
  <w:font w:name="Liberation Sans">
    <w:altName w:val="Arial"/>
    <w:charset w:val="01"/>
    <w:family w:val="roman"/>
    <w:pitch w:val="variable"/>
  </w:font>
  <w:font w:name="Charis SIL">
    <w:charset w:val="01"/>
    <w:family w:val="roman"/>
    <w:pitch w:val="variable"/>
  </w:font>
  <w:font w:name="Minion Pro">
    <w:charset w:val="01"/>
    <w:family w:val="roman"/>
    <w:pitch w:val="variable"/>
  </w:font>
  <w:font w:name="等线">
    <w:charset w:val="01"/>
    <w:family w:val="roman"/>
    <w:pitch w:val="variable"/>
  </w:font>
</w:font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rPr>
        <w:sz w:val="20"/>
      </w:rPr>
    </w:pPr>
    <w:r>
      <w:rPr>
        <w:sz w:val="20"/>
      </w:rPr>
    </w:r>
  </w:p>
  <w:p>
    <w:pPr>
      <w:pStyle w:val="Normal"/>
      <w:widowControl/>
      <w:bidi w:val="0"/>
      <w:spacing w:before="0" w:after="60"/>
      <w:jc w:val="both"/>
      <w:rPr/>
    </w:pPr>
    <w:r>
      <w:rPr>
        <w:sz w:val="20"/>
      </w:rPr>
      <w:t xml:space="preserve">Phyton, 202x                                                                          </w:t>
    </w:r>
    <w:r>
      <w:rPr>
        <w:sz w:val="20"/>
      </w:rPr>
      <w:fldChar w:fldCharType="begin"/>
    </w:r>
    <w:r>
      <w:rPr>
        <w:sz w:val="20"/>
      </w:rPr>
      <w:instrText> PAGE </w:instrText>
    </w:r>
    <w:r>
      <w:rPr>
        <w:sz w:val="20"/>
      </w:rPr>
      <w:fldChar w:fldCharType="separate"/>
    </w:r>
    <w:r>
      <w:rPr>
        <w:sz w:val="20"/>
      </w:rPr>
      <w:t>12</w:t>
    </w:r>
    <w:r>
      <w:rPr>
        <w:sz w:val="20"/>
      </w:rPr>
      <w:fldChar w:fldCharType="end"/>
    </w:r>
  </w:p>
</w:hdr>
</file>

<file path=word/settings.xml><?xml version="1.0" encoding="utf-8"?>
<w:settings xmlns:w="http://schemas.openxmlformats.org/wordprocessingml/2006/main">
  <w:zoom w:percent="170"/>
  <w:defaultTabStop w:val="420"/>
  <w:compat>
    <w:doNotExpandShiftReturn/>
  </w:compat>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hyphenationZone w:val="425"/>
  <w:themeFontLang w:val="en-US" w:eastAsia="zh-CN"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宋体" w:cs="Times New Roman"/>
        <w:lang w:val="en-US" w:eastAsia="zh-CN"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qFormat="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suppressAutoHyphens w:val="true"/>
      <w:bidi w:val="0"/>
      <w:spacing w:before="0" w:after="60"/>
      <w:jc w:val="both"/>
    </w:pPr>
    <w:rPr>
      <w:rFonts w:ascii="Times New Roman" w:hAnsi="Times New Roman" w:eastAsia="宋体" w:cs="Times New Roman"/>
      <w:color w:val="auto"/>
      <w:kern w:val="0"/>
      <w:sz w:val="22"/>
      <w:szCs w:val="20"/>
      <w:lang w:val="en-US" w:eastAsia="zh-CN" w:bidi="ar-SA"/>
    </w:rPr>
  </w:style>
  <w:style w:type="paragraph" w:styleId="Heading1">
    <w:name w:val="Heading 1"/>
    <w:basedOn w:val="Normal"/>
    <w:next w:val="Normal"/>
    <w:link w:val="10"/>
    <w:uiPriority w:val="9"/>
    <w:qFormat/>
    <w:pPr>
      <w:keepNext w:val="true"/>
      <w:keepLines/>
      <w:spacing w:lineRule="auto" w:line="578" w:before="340" w:after="330"/>
      <w:outlineLvl w:val="0"/>
    </w:pPr>
    <w:rPr>
      <w:b/>
      <w:bCs/>
      <w:kern w:val="2"/>
      <w:sz w:val="44"/>
      <w:szCs w:val="44"/>
    </w:rPr>
  </w:style>
  <w:style w:type="paragraph" w:styleId="Heading2">
    <w:name w:val="Heading 2"/>
    <w:basedOn w:val="Normal"/>
    <w:next w:val="Normal"/>
    <w:link w:val="20"/>
    <w:uiPriority w:val="9"/>
    <w:semiHidden/>
    <w:unhideWhenUsed/>
    <w:qFormat/>
    <w:pPr>
      <w:keepNext w:val="true"/>
      <w:keepLines/>
      <w:spacing w:lineRule="auto" w:line="415" w:before="260" w:after="260"/>
      <w:outlineLvl w:val="1"/>
    </w:pPr>
    <w:rPr>
      <w:rFonts w:ascii="等线 Light" w:hAnsi="等线 Light" w:eastAsia="等线 Light" w:cs="" w:asciiTheme="majorHAnsi" w:cstheme="majorBidi" w:eastAsiaTheme="majorEastAsia" w:hAnsiTheme="majorHAnsi"/>
      <w:b/>
      <w:bCs/>
      <w:sz w:val="32"/>
      <w:szCs w:val="32"/>
    </w:rPr>
  </w:style>
  <w:style w:type="character" w:styleId="DefaultParagraphFont" w:default="1">
    <w:name w:val="Default Paragraph Font"/>
    <w:uiPriority w:val="1"/>
    <w:semiHidden/>
    <w:unhideWhenUsed/>
    <w:qFormat/>
    <w:rPr/>
  </w:style>
  <w:style w:type="character" w:styleId="VisitedInternetLink">
    <w:name w:val="FollowedHyperlink"/>
    <w:basedOn w:val="DefaultParagraphFont"/>
    <w:uiPriority w:val="99"/>
    <w:semiHidden/>
    <w:unhideWhenUsed/>
    <w:qFormat/>
    <w:rPr>
      <w:color w:val="954F72"/>
      <w:u w:val="single"/>
    </w:rPr>
  </w:style>
  <w:style w:type="character" w:styleId="Emphasis">
    <w:name w:val="Emphasis"/>
    <w:basedOn w:val="DefaultParagraphFont"/>
    <w:uiPriority w:val="20"/>
    <w:qFormat/>
    <w:rPr>
      <w:i/>
      <w:iCs/>
    </w:rPr>
  </w:style>
  <w:style w:type="character" w:styleId="InternetLink">
    <w:name w:val="Hyperlink"/>
    <w:uiPriority w:val="99"/>
    <w:unhideWhenUsed/>
    <w:qFormat/>
    <w:rPr>
      <w:color w:val="0000FF"/>
      <w:u w:val="single"/>
    </w:rPr>
  </w:style>
  <w:style w:type="character" w:styleId="1" w:customStyle="1">
    <w:name w:val="标题 1 字符"/>
    <w:basedOn w:val="DefaultParagraphFont"/>
    <w:link w:val="1"/>
    <w:uiPriority w:val="9"/>
    <w:qFormat/>
    <w:rPr>
      <w:rFonts w:ascii="Times New Roman" w:hAnsi="Times New Roman" w:eastAsia="宋体" w:cs="Times New Roman"/>
      <w:b/>
      <w:bCs/>
      <w:kern w:val="2"/>
      <w:sz w:val="44"/>
      <w:szCs w:val="44"/>
    </w:rPr>
  </w:style>
  <w:style w:type="character" w:styleId="2" w:customStyle="1">
    <w:name w:val="标题 2 字符"/>
    <w:basedOn w:val="DefaultParagraphFont"/>
    <w:link w:val="2"/>
    <w:uiPriority w:val="9"/>
    <w:semiHidden/>
    <w:qFormat/>
    <w:rPr>
      <w:rFonts w:ascii="等线 Light" w:hAnsi="等线 Light" w:eastAsia="等线 Light" w:cs="" w:asciiTheme="majorHAnsi" w:cstheme="majorBidi" w:eastAsiaTheme="majorEastAsia" w:hAnsiTheme="majorHAnsi"/>
      <w:b/>
      <w:bCs/>
      <w:kern w:val="0"/>
      <w:sz w:val="32"/>
      <w:szCs w:val="32"/>
    </w:rPr>
  </w:style>
  <w:style w:type="character" w:styleId="Style12" w:customStyle="1">
    <w:name w:val="正文文本 字符"/>
    <w:basedOn w:val="DefaultParagraphFont"/>
    <w:link w:val="a4"/>
    <w:uiPriority w:val="1"/>
    <w:qFormat/>
    <w:rPr>
      <w:rFonts w:ascii="PMingLiU" w:hAnsi="PMingLiU" w:eastAsia="PMingLiU" w:cs="PMingLiU"/>
      <w:kern w:val="0"/>
      <w:sz w:val="20"/>
      <w:szCs w:val="20"/>
      <w:lang w:eastAsia="en-US"/>
    </w:rPr>
  </w:style>
  <w:style w:type="character" w:styleId="Style13" w:customStyle="1">
    <w:name w:val="页脚 字符"/>
    <w:basedOn w:val="DefaultParagraphFont"/>
    <w:link w:val="a6"/>
    <w:uiPriority w:val="99"/>
    <w:qFormat/>
    <w:rPr>
      <w:rFonts w:ascii="Times New Roman" w:hAnsi="Times New Roman" w:eastAsia="宋体" w:cs="Times New Roman"/>
      <w:kern w:val="0"/>
      <w:sz w:val="18"/>
      <w:szCs w:val="18"/>
    </w:rPr>
  </w:style>
  <w:style w:type="character" w:styleId="Style14" w:customStyle="1">
    <w:name w:val="页眉 字符"/>
    <w:basedOn w:val="DefaultParagraphFont"/>
    <w:link w:val="a8"/>
    <w:uiPriority w:val="99"/>
    <w:qFormat/>
    <w:rPr>
      <w:rFonts w:ascii="Times New Roman" w:hAnsi="Times New Roman" w:eastAsia="宋体" w:cs="Times New Roman"/>
      <w:kern w:val="0"/>
      <w:sz w:val="18"/>
      <w:szCs w:val="18"/>
    </w:rPr>
  </w:style>
  <w:style w:type="character" w:styleId="Ngstarinserted" w:customStyle="1">
    <w:name w:val="ng-star-inserted"/>
    <w:basedOn w:val="DefaultParagraphFont"/>
    <w:qFormat/>
    <w:rPr/>
  </w:style>
  <w:style w:type="character" w:styleId="Htmlitalic" w:customStyle="1">
    <w:name w:val="html-italic"/>
    <w:basedOn w:val="DefaultParagraphFont"/>
    <w:qFormat/>
    <w:rPr/>
  </w:style>
  <w:style w:type="character" w:styleId="EndNoteBibliographyTitle" w:customStyle="1">
    <w:name w:val="EndNote Bibliography Title 字符"/>
    <w:basedOn w:val="DefaultParagraphFont"/>
    <w:link w:val="EndNoteBibliographyTitle"/>
    <w:qFormat/>
    <w:rPr>
      <w:sz w:val="22"/>
    </w:rPr>
  </w:style>
  <w:style w:type="character" w:styleId="EndNoteBibliography" w:customStyle="1">
    <w:name w:val="EndNote Bibliography 字符"/>
    <w:basedOn w:val="DefaultParagraphFont"/>
    <w:link w:val="EndNoteBibliography"/>
    <w:qFormat/>
    <w:rPr>
      <w:sz w:val="22"/>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link w:val="a5"/>
    <w:uiPriority w:val="1"/>
    <w:qFormat/>
    <w:pPr>
      <w:widowControl w:val="false"/>
      <w:spacing w:before="0" w:after="0"/>
      <w:ind w:left="103" w:hanging="0"/>
      <w:jc w:val="left"/>
    </w:pPr>
    <w:rPr>
      <w:rFonts w:ascii="PMingLiU" w:hAnsi="PMingLiU" w:eastAsia="PMingLiU" w:cs="PMingLiU"/>
      <w:sz w:val="20"/>
      <w:lang w:eastAsia="en-US"/>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Caption1">
    <w:name w:val="caption"/>
    <w:basedOn w:val="Normal"/>
    <w:next w:val="Normal"/>
    <w:qFormat/>
    <w:pPr>
      <w:keepNext w:val="true"/>
      <w:spacing w:before="120" w:after="120"/>
      <w:jc w:val="center"/>
    </w:pPr>
    <w:rPr>
      <w:b/>
    </w:rPr>
  </w:style>
  <w:style w:type="paragraph" w:styleId="HeaderandFooter">
    <w:name w:val="Header and Footer"/>
    <w:basedOn w:val="Normal"/>
    <w:qFormat/>
    <w:pPr/>
    <w:rPr/>
  </w:style>
  <w:style w:type="paragraph" w:styleId="Footer">
    <w:name w:val="Footer"/>
    <w:basedOn w:val="Normal"/>
    <w:link w:val="a7"/>
    <w:uiPriority w:val="99"/>
    <w:unhideWhenUsed/>
    <w:qFormat/>
    <w:pPr>
      <w:tabs>
        <w:tab w:val="clear" w:pos="420"/>
        <w:tab w:val="center" w:pos="4153" w:leader="none"/>
        <w:tab w:val="right" w:pos="8306" w:leader="none"/>
      </w:tabs>
      <w:snapToGrid w:val="false"/>
      <w:jc w:val="left"/>
    </w:pPr>
    <w:rPr>
      <w:sz w:val="18"/>
      <w:szCs w:val="18"/>
    </w:rPr>
  </w:style>
  <w:style w:type="paragraph" w:styleId="Header">
    <w:name w:val="Header"/>
    <w:basedOn w:val="Normal"/>
    <w:link w:val="a9"/>
    <w:uiPriority w:val="99"/>
    <w:unhideWhenUsed/>
    <w:qFormat/>
    <w:pPr>
      <w:pBdr>
        <w:bottom w:val="single" w:sz="6" w:space="1" w:color="000000"/>
      </w:pBdr>
      <w:tabs>
        <w:tab w:val="clear" w:pos="420"/>
        <w:tab w:val="center" w:pos="4153" w:leader="none"/>
        <w:tab w:val="right" w:pos="8306" w:leader="none"/>
      </w:tabs>
      <w:snapToGrid w:val="false"/>
      <w:jc w:val="center"/>
    </w:pPr>
    <w:rPr>
      <w:sz w:val="18"/>
      <w:szCs w:val="18"/>
    </w:rPr>
  </w:style>
  <w:style w:type="paragraph" w:styleId="NormalWeb">
    <w:name w:val="Normal (Web)"/>
    <w:basedOn w:val="Normal"/>
    <w:uiPriority w:val="99"/>
    <w:unhideWhenUsed/>
    <w:qFormat/>
    <w:pPr>
      <w:spacing w:beforeAutospacing="1" w:afterAutospacing="1"/>
      <w:jc w:val="left"/>
    </w:pPr>
    <w:rPr>
      <w:sz w:val="24"/>
      <w:szCs w:val="24"/>
    </w:rPr>
  </w:style>
  <w:style w:type="paragraph" w:styleId="Author" w:customStyle="1">
    <w:name w:val="author"/>
    <w:basedOn w:val="Heading2"/>
    <w:qFormat/>
    <w:pPr>
      <w:keepLines w:val="false"/>
      <w:tabs>
        <w:tab w:val="clear" w:pos="420"/>
        <w:tab w:val="left" w:pos="450" w:leader="none"/>
      </w:tabs>
      <w:spacing w:lineRule="auto" w:line="240" w:before="200" w:after="680"/>
      <w:jc w:val="center"/>
    </w:pPr>
    <w:rPr>
      <w:rFonts w:ascii="Times New Roman" w:hAnsi="Times New Roman" w:eastAsia="宋体" w:cs="Times New Roman"/>
      <w:bCs w:val="false"/>
      <w:i/>
      <w:sz w:val="20"/>
      <w:szCs w:val="20"/>
    </w:rPr>
  </w:style>
  <w:style w:type="paragraph" w:styleId="Keyword" w:customStyle="1">
    <w:name w:val="keyword"/>
    <w:basedOn w:val="Normal"/>
    <w:qFormat/>
    <w:pPr>
      <w:spacing w:before="280" w:after="60"/>
    </w:pPr>
    <w:rPr/>
  </w:style>
  <w:style w:type="paragraph" w:styleId="Equation" w:customStyle="1">
    <w:name w:val="equation"/>
    <w:basedOn w:val="Normal"/>
    <w:qFormat/>
    <w:pPr>
      <w:tabs>
        <w:tab w:val="clear" w:pos="420"/>
        <w:tab w:val="left" w:pos="4680" w:leader="none"/>
      </w:tabs>
      <w:spacing w:before="100" w:after="100"/>
    </w:pPr>
    <w:rPr/>
  </w:style>
  <w:style w:type="paragraph" w:styleId="ListParagraph">
    <w:name w:val="List Paragraph"/>
    <w:basedOn w:val="Normal"/>
    <w:uiPriority w:val="34"/>
    <w:qFormat/>
    <w:pPr>
      <w:ind w:firstLine="420"/>
    </w:pPr>
    <w:rPr/>
  </w:style>
  <w:style w:type="paragraph" w:styleId="Pa9" w:customStyle="1">
    <w:name w:val="Pa9"/>
    <w:basedOn w:val="Normal"/>
    <w:next w:val="Normal"/>
    <w:qFormat/>
    <w:pPr>
      <w:widowControl w:val="false"/>
      <w:spacing w:lineRule="atLeast" w:line="191" w:before="0" w:after="0"/>
      <w:jc w:val="left"/>
    </w:pPr>
    <w:rPr>
      <w:rFonts w:ascii="Charis SIL" w:hAnsi="Charis SIL" w:eastAsia="Charis SIL"/>
      <w:color w:val="000000"/>
      <w:sz w:val="24"/>
      <w:szCs w:val="24"/>
    </w:rPr>
  </w:style>
  <w:style w:type="paragraph" w:styleId="EndNoteBibliographyTitle1" w:customStyle="1">
    <w:name w:val="EndNote Bibliography Title"/>
    <w:basedOn w:val="Normal"/>
    <w:link w:val="EndNoteBibliographyTitle0"/>
    <w:qFormat/>
    <w:pPr>
      <w:spacing w:before="0" w:after="0"/>
      <w:jc w:val="center"/>
    </w:pPr>
    <w:rPr/>
  </w:style>
  <w:style w:type="paragraph" w:styleId="EndNoteBibliography1" w:customStyle="1">
    <w:name w:val="EndNote Bibliography"/>
    <w:basedOn w:val="Normal"/>
    <w:link w:val="EndNoteBibliography0"/>
    <w:qFormat/>
    <w:pPr/>
    <w:rPr/>
  </w:style>
  <w:style w:type="paragraph" w:styleId="Revision1" w:customStyle="1">
    <w:name w:val="Revision1"/>
    <w:uiPriority w:val="99"/>
    <w:unhideWhenUsed/>
    <w:qFormat/>
    <w:pPr>
      <w:widowControl/>
      <w:suppressAutoHyphens w:val="true"/>
      <w:bidi w:val="0"/>
      <w:spacing w:before="0" w:after="0"/>
      <w:jc w:val="left"/>
    </w:pPr>
    <w:rPr>
      <w:rFonts w:ascii="Times New Roman" w:hAnsi="Times New Roman" w:eastAsia="宋体" w:cs="Times New Roman"/>
      <w:color w:val="auto"/>
      <w:kern w:val="0"/>
      <w:sz w:val="22"/>
      <w:szCs w:val="20"/>
      <w:lang w:val="en-US" w:eastAsia="zh-CN" w:bidi="ar-SA"/>
    </w:rPr>
  </w:style>
  <w:style w:type="paragraph" w:styleId="11" w:customStyle="1">
    <w:name w:val="修订1"/>
    <w:uiPriority w:val="99"/>
    <w:unhideWhenUsed/>
    <w:qFormat/>
    <w:pPr>
      <w:widowControl/>
      <w:suppressAutoHyphens w:val="true"/>
      <w:bidi w:val="0"/>
      <w:spacing w:before="0" w:after="0"/>
      <w:jc w:val="left"/>
    </w:pPr>
    <w:rPr>
      <w:rFonts w:ascii="Times New Roman" w:hAnsi="Times New Roman" w:eastAsia="宋体" w:cs="Times New Roman"/>
      <w:color w:val="auto"/>
      <w:kern w:val="0"/>
      <w:sz w:val="22"/>
      <w:szCs w:val="20"/>
      <w:lang w:val="en-US" w:eastAsia="zh-CN" w:bidi="ar-SA"/>
    </w:rPr>
  </w:style>
  <w:style w:type="paragraph" w:styleId="21" w:customStyle="1">
    <w:name w:val="修订2"/>
    <w:uiPriority w:val="99"/>
    <w:unhideWhenUsed/>
    <w:qFormat/>
    <w:pPr>
      <w:widowControl/>
      <w:suppressAutoHyphens w:val="true"/>
      <w:bidi w:val="0"/>
      <w:spacing w:before="0" w:after="0"/>
      <w:jc w:val="left"/>
    </w:pPr>
    <w:rPr>
      <w:rFonts w:ascii="Times New Roman" w:hAnsi="Times New Roman" w:eastAsia="宋体" w:cs="Times New Roman"/>
      <w:color w:val="auto"/>
      <w:kern w:val="0"/>
      <w:sz w:val="22"/>
      <w:szCs w:val="20"/>
      <w:lang w:val="en-US" w:eastAsia="zh-CN" w:bidi="ar-SA"/>
    </w:rPr>
  </w:style>
  <w:style w:type="paragraph" w:styleId="FrameContents">
    <w:name w:val="Frame Contents"/>
    <w:basedOn w:val="Normal"/>
    <w:qFormat/>
    <w:pPr/>
    <w:rPr/>
  </w:style>
  <w:style w:type="numbering" w:styleId="NoList" w:default="1">
    <w:name w:val="No List"/>
    <w:uiPriority w:val="99"/>
    <w:semiHidden/>
    <w:unhideWhenUsed/>
    <w:qFormat/>
  </w:style>
  <w:style w:type="table" w:default="1" w:styleId="a1">
    <w:name w:val="Normal Table"/>
    <w:uiPriority w:val="99"/>
    <w:semiHidden/>
    <w:unhideWhenUsed/>
    <w:tblPr>
      <w:tblInd w:w="0" w:type="dxa"/>
      <w:tblCellMar>
        <w:top w:w="0" w:type="dxa"/>
        <w:left w:w="108" w:type="dxa"/>
        <w:bottom w:w="0" w:type="dxa"/>
        <w:right w:w="108" w:type="dxa"/>
      </w:tblCellMar>
    </w:tblPr>
  </w:style>
  <w:style w:type="table" w:styleId="ab">
    <w:name w:val="Table Grid"/>
    <w:basedOn w:val="a1"/>
    <w:uiPriority w:val="99"/>
    <w:qFormat/>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mailto:huangfenglan@imun.edu.cn" TargetMode="External"/><Relationship Id="rId3" Type="http://schemas.openxmlformats.org/officeDocument/2006/relationships/hyperlink" Target="mailto:mfj19751@163.com" TargetMode="External"/><Relationship Id="rId4" Type="http://schemas.openxmlformats.org/officeDocument/2006/relationships/hyperlink" Target="" TargetMode="External"/><Relationship Id="rId5" Type="http://schemas.openxmlformats.org/officeDocument/2006/relationships/image" Target="media/image1.tif"/><Relationship Id="rId6" Type="http://schemas.openxmlformats.org/officeDocument/2006/relationships/image" Target="media/image2.tif"/><Relationship Id="rId7" Type="http://schemas.openxmlformats.org/officeDocument/2006/relationships/image" Target="media/image3.tif"/><Relationship Id="rId8" Type="http://schemas.openxmlformats.org/officeDocument/2006/relationships/image" Target="media/image4.tif"/><Relationship Id="rId9" Type="http://schemas.openxmlformats.org/officeDocument/2006/relationships/image" Target="media/image5.tif"/><Relationship Id="rId10" Type="http://schemas.openxmlformats.org/officeDocument/2006/relationships/header" Target="header1.xml"/><Relationship Id="rId11" Type="http://schemas.openxmlformats.org/officeDocument/2006/relationships/fontTable" Target="fontTable.xml"/><Relationship Id="rId12" Type="http://schemas.openxmlformats.org/officeDocument/2006/relationships/settings" Target="settings.xml"/><Relationship Id="rId13" Type="http://schemas.openxmlformats.org/officeDocument/2006/relationships/theme" Target="theme/theme1.xml"/><Relationship Id="rId14" Type="http://schemas.openxmlformats.org/officeDocument/2006/relationships/customXml" Target="../customXml/item1.xml"/>
</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58</TotalTime>
  <Application>LibreOffice/6.4.7.2$Linux_X86_64 LibreOffice_project/40$Build-2</Application>
  <Pages>12</Pages>
  <Words>5033</Words>
  <Characters>27817</Characters>
  <CharactersWithSpaces>32630</CharactersWithSpaces>
  <Paragraphs>160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2024-02-21T17:21:00Z</dcterms:created>
  <dc:creator>zhaoyong</dc:creator>
  <dc:description/>
  <dc:language>en-US</dc:language>
  <cp:lastModifiedBy/>
  <dcterms:modified xsi:type="dcterms:W3CDTF">2024-05-02T13:50:16Z</dcterms:modified>
  <cp:revision>57</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GrammarlyDocumentId">
    <vt:lpwstr>80d200a7-13b3-4303-95f7-3af8750b54b5</vt:lpwstr>
  </property>
  <property fmtid="{D5CDD505-2E9C-101B-9397-08002B2CF9AE}" pid="5" name="HyperlinksChanged">
    <vt:bool>0</vt:bool>
  </property>
  <property fmtid="{D5CDD505-2E9C-101B-9397-08002B2CF9AE}" pid="6" name="ICV">
    <vt:lpwstr>B5EED3CF271545E4A0CEEB17E43BE88E_13</vt:lpwstr>
  </property>
  <property fmtid="{D5CDD505-2E9C-101B-9397-08002B2CF9AE}" pid="7" name="KSOProductBuildVer">
    <vt:lpwstr>2052-12.1.0.15712</vt:lpwstr>
  </property>
  <property fmtid="{D5CDD505-2E9C-101B-9397-08002B2CF9AE}" pid="8" name="LinksUpToDate">
    <vt:bool>0</vt:bool>
  </property>
  <property fmtid="{D5CDD505-2E9C-101B-9397-08002B2CF9AE}" pid="9" name="ScaleCrop">
    <vt:bool>0</vt:bool>
  </property>
  <property fmtid="{D5CDD505-2E9C-101B-9397-08002B2CF9AE}" pid="10" name="ShareDoc">
    <vt:bool>0</vt:bool>
  </property>
</Properties>
</file>