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nningheadleft"/>
        <w:bidi w:val="0"/>
        <w:spacing w:lineRule="auto" w:line="240"/>
        <w:jc w:val="both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</m:acc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rate</m:t>
        </m:r>
        <m:r>
          <w:rPr>
            <w:rFonts w:ascii="Cambria Math" w:hAnsi="Cambria Math"/>
          </w:rPr>
          <m:t xml:space="preserve">sensitivity</m:t>
        </m:r>
        <m:r>
          <w:rPr>
            <w:rFonts w:ascii="Cambria Math" w:hAnsi="Cambria Math"/>
          </w:rPr>
          <m:t xml:space="preserve">effects</m:t>
        </m:r>
      </m:oMath>
      <w:r>
        <w:rPr>
          <w:color w:val="000000" w:themeColor="text1"/>
          <w:sz w:val="22"/>
        </w:rPr>
        <w:t>;</w:t>
      </w:r>
    </w:p>
    <w:p>
      <w:pPr>
        <w:pStyle w:val="Runningheadleft"/>
        <w:bidi w:val="0"/>
        <w:spacing w:lineRule="auto" w:line="240"/>
        <w:jc w:val="both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melt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</m:e>
        </m:d>
      </m:oMath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=  temperature change effects; </w:t>
      </w:r>
      <w:r>
        <w:rPr>
          <w:i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 xml:space="preserve">, </w:t>
      </w:r>
      <w:r>
        <w:rPr>
          <w:i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 xml:space="preserve">, </w:t>
      </w:r>
      <w:r>
        <w:rPr>
          <w:i/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 xml:space="preserve">, </w:t>
      </w:r>
      <w:r>
        <w:rPr>
          <w:i/>
          <w:color w:val="000000" w:themeColor="text1"/>
          <w:sz w:val="22"/>
        </w:rPr>
        <w:t>m</w:t>
      </w:r>
      <w:r>
        <w:rPr>
          <w:color w:val="000000" w:themeColor="text1"/>
          <w:sz w:val="22"/>
        </w:rPr>
        <w:t xml:space="preserve">, and </w:t>
      </w:r>
      <w:r>
        <w:rPr>
          <w:i/>
          <w:color w:val="000000" w:themeColor="text1"/>
          <w:sz w:val="22"/>
        </w:rPr>
        <w:t>n</w:t>
      </w:r>
      <w:r>
        <w:rPr>
          <w:color w:val="000000" w:themeColor="text1"/>
          <w:sz w:val="22"/>
        </w:rPr>
        <w:t xml:space="preserve"> are material constants;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eq</m:t>
            </m:r>
          </m:sub>
          <m:sup>
            <m:r>
              <w:rPr>
                <w:rFonts w:ascii="Cambria Math" w:hAnsi="Cambria Math"/>
              </w:rPr>
              <m:t xml:space="preserve">pl</m:t>
            </m:r>
          </m:sup>
        </m:sSubSup>
      </m:oMath>
      <w:r>
        <w:rPr>
          <w:color w:val="000000" w:themeColor="text1"/>
          <w:sz w:val="22"/>
        </w:rPr>
        <w:t xml:space="preserve"> = equivalent plastic strain;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</m:oMath>
      <w:r>
        <w:rPr>
          <w:color w:val="000000" w:themeColor="text1"/>
          <w:sz w:val="2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 w:themeColor="text1"/>
          <w:sz w:val="22"/>
        </w:rPr>
        <w:t xml:space="preserve"> are plastic and reference strain rates, respectively;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 w:themeColor="text1"/>
          <w:sz w:val="22"/>
        </w:rPr>
        <w:t xml:space="preserve"> = transition temperature;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melt</m:t>
            </m:r>
          </m:sub>
        </m:sSub>
      </m:oMath>
      <w:r>
        <w:rPr>
          <w:color w:val="000000" w:themeColor="text1"/>
          <w:sz w:val="22"/>
        </w:rPr>
        <w:t xml:space="preserve"> = melting temperature. The referenced literature has sourced the parameters used to model or define steel gra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unningheadleft">
    <w:name w:val="running head - left"/>
    <w:basedOn w:val="Normal"/>
    <w:qFormat/>
    <w:pPr>
      <w:overflowPunct w:val="true"/>
      <w:spacing w:lineRule="atLeast" w:line="240" w:before="0" w:after="0"/>
      <w:jc w:val="left"/>
      <w:textAlignment w:val="baseline"/>
    </w:pPr>
    <w:rPr>
      <w:rFonts w:eastAsia="Times New Roman"/>
      <w:sz w:val="18"/>
      <w:szCs w:val="18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47</Words>
  <Characters>254</Characters>
  <CharactersWithSpaces>308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2024-05-30T11:15:53Z</dcterms:created>
  <dc:creator/>
  <dc:description/>
  <dc:language>en-US</dc:language>
  <cp:lastModifiedBy/>
  <dcterms:modified xsi:type="dcterms:W3CDTF">2024-05-30T11:18:16Z</dcterms:modified>
  <cp:revision>1</cp:revision>
  <dc:subject/>
  <dc:title/>
</cp:coreProperties>
</file>