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0" w:after="0"/>
        <w:jc w:val="both"/>
        <w:rPr>
          <w:b/>
          <w:b/>
          <w:sz w:val="36"/>
          <w:szCs w:val="36"/>
        </w:rPr>
      </w:pPr>
      <w:r>
        <w:rPr>
          <w:b/>
          <w:sz w:val="36"/>
          <w:szCs w:val="36"/>
        </w:rPr>
        <w:t xml:space="preserve">Structural Equation Models of Health Behaviour, Psychological Well-being, Symptom Severity and Quality of Life in Abdominal Bloating. </w:t>
      </w:r>
    </w:p>
    <w:p>
      <w:pPr>
        <w:pStyle w:val="Normal1"/>
        <w:spacing w:before="0" w:after="0"/>
        <w:jc w:val="both"/>
        <w:rPr>
          <w:rFonts w:ascii="Times New Roman" w:hAnsi="Times New Roman" w:cs="Times New Roman"/>
          <w:sz w:val="24"/>
          <w:highlight w:val="cyan"/>
        </w:rPr>
      </w:pPr>
      <w:r>
        <w:rPr>
          <w:rFonts w:cs="Times New Roman" w:ascii="Times New Roman" w:hAnsi="Times New Roman"/>
          <w:sz w:val="24"/>
          <w:highlight w:val="cyan"/>
        </w:rPr>
      </w:r>
    </w:p>
    <w:p>
      <w:pPr>
        <w:pStyle w:val="Normal1"/>
        <w:spacing w:before="0" w:after="0"/>
        <w:jc w:val="both"/>
        <w:rPr>
          <w:rFonts w:ascii="Times New Roman" w:hAnsi="Times New Roman" w:cs="Times New Roman"/>
          <w:sz w:val="24"/>
          <w:highlight w:val="cyan"/>
        </w:rPr>
      </w:pPr>
      <w:r>
        <w:rPr>
          <w:rFonts w:cs="Times New Roman" w:ascii="Times New Roman" w:hAnsi="Times New Roman"/>
          <w:sz w:val="24"/>
          <w:highlight w:val="cyan"/>
        </w:rPr>
      </w:r>
    </w:p>
    <w:p>
      <w:pPr>
        <w:pStyle w:val="Normal1"/>
        <w:spacing w:before="0" w:after="0"/>
        <w:jc w:val="both"/>
        <w:rPr>
          <w:rFonts w:ascii="Times New Roman" w:hAnsi="Times New Roman" w:cs="Times New Roman"/>
          <w:sz w:val="24"/>
          <w:vertAlign w:val="superscript"/>
        </w:rPr>
      </w:pPr>
      <w:r>
        <w:rPr>
          <w:rFonts w:cs="Times New Roman" w:ascii="Times New Roman" w:hAnsi="Times New Roman"/>
          <w:sz w:val="24"/>
        </w:rPr>
        <w:t xml:space="preserve">Nurzulaikha Abdullah </w:t>
      </w:r>
      <w:r>
        <w:rPr>
          <w:rFonts w:cs="Times New Roman" w:ascii="Times New Roman" w:hAnsi="Times New Roman"/>
          <w:sz w:val="24"/>
          <w:vertAlign w:val="superscript"/>
        </w:rPr>
        <w:t>1,2</w:t>
      </w:r>
      <w:r>
        <w:rPr>
          <w:rFonts w:cs="Times New Roman" w:ascii="Times New Roman" w:hAnsi="Times New Roman"/>
          <w:position w:val="0"/>
          <w:sz w:val="24"/>
          <w:sz w:val="24"/>
          <w:vertAlign w:val="baseline"/>
        </w:rPr>
        <w:t>,</w:t>
      </w:r>
      <w:r>
        <w:rPr>
          <w:rFonts w:cs="Times New Roman" w:ascii="Times New Roman" w:hAnsi="Times New Roman"/>
          <w:sz w:val="24"/>
        </w:rPr>
        <w:t xml:space="preserve"> Yee Cheng Kueh </w:t>
      </w:r>
      <w:r>
        <w:rPr>
          <w:rFonts w:cs="Times New Roman" w:ascii="Times New Roman" w:hAnsi="Times New Roman"/>
          <w:sz w:val="24"/>
          <w:vertAlign w:val="superscript"/>
        </w:rPr>
        <w:t>1*</w:t>
      </w:r>
      <w:r>
        <w:rPr>
          <w:rFonts w:cs="Times New Roman" w:ascii="Times New Roman" w:hAnsi="Times New Roman"/>
          <w:position w:val="0"/>
          <w:sz w:val="24"/>
          <w:sz w:val="24"/>
          <w:vertAlign w:val="baseline"/>
        </w:rPr>
        <w:t>,</w:t>
      </w:r>
      <w:r>
        <w:rPr>
          <w:rFonts w:cs="Times New Roman" w:ascii="Times New Roman" w:hAnsi="Times New Roman"/>
          <w:sz w:val="24"/>
        </w:rPr>
        <w:t xml:space="preserve"> Garry Kuan </w:t>
      </w:r>
      <w:r>
        <w:rPr>
          <w:rFonts w:cs="Times New Roman" w:ascii="Times New Roman" w:hAnsi="Times New Roman"/>
          <w:sz w:val="24"/>
          <w:vertAlign w:val="superscript"/>
        </w:rPr>
        <w:t>3</w:t>
      </w:r>
      <w:r>
        <w:rPr>
          <w:rFonts w:cs="Times New Roman" w:ascii="Times New Roman" w:hAnsi="Times New Roman"/>
          <w:position w:val="0"/>
          <w:sz w:val="24"/>
          <w:sz w:val="24"/>
          <w:vertAlign w:val="baseline"/>
        </w:rPr>
        <w:t>,</w:t>
      </w:r>
      <w:r>
        <w:rPr>
          <w:rFonts w:cs="Times New Roman" w:ascii="Times New Roman" w:hAnsi="Times New Roman"/>
          <w:sz w:val="24"/>
        </w:rPr>
        <w:t xml:space="preserve"> Mung Seong Wong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Vincent Tee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Tengku Ahmad Iskandar Tengku Alang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Nurhazwani Hamid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and Yeong Yeh Lee </w:t>
      </w:r>
      <w:r>
        <w:rPr>
          <w:rFonts w:cs="Times New Roman" w:ascii="Times New Roman" w:hAnsi="Times New Roman"/>
          <w:sz w:val="24"/>
          <w:vertAlign w:val="superscript"/>
        </w:rPr>
        <w:t>4,5</w:t>
      </w:r>
    </w:p>
    <w:p>
      <w:pPr>
        <w:pStyle w:val="Normal1"/>
        <w:spacing w:before="0" w:after="0"/>
        <w:jc w:val="both"/>
        <w:rPr>
          <w:rFonts w:ascii="Times New Roman" w:hAnsi="Times New Roman" w:cs="Times New Roman"/>
          <w:sz w:val="24"/>
          <w:vertAlign w:val="superscript"/>
        </w:rPr>
      </w:pPr>
      <w:r>
        <w:rPr>
          <w:rFonts w:cs="Times New Roman" w:ascii="Times New Roman" w:hAnsi="Times New Roman"/>
          <w:sz w:val="24"/>
          <w:vertAlign w:val="superscript"/>
        </w:rPr>
      </w:r>
    </w:p>
    <w:p>
      <w:pPr>
        <w:pStyle w:val="Normal1"/>
        <w:spacing w:before="0" w:after="0"/>
        <w:jc w:val="both"/>
        <w:rPr>
          <w:rFonts w:ascii="Times New Roman" w:hAnsi="Times New Roman" w:cs="Times New Roman"/>
          <w:sz w:val="18"/>
          <w:szCs w:val="18"/>
        </w:rPr>
      </w:pPr>
      <w:r>
        <w:rPr>
          <w:rFonts w:cs="Times New Roman" w:ascii="Times New Roman" w:hAnsi="Times New Roman"/>
          <w:sz w:val="18"/>
          <w:szCs w:val="18"/>
          <w:vertAlign w:val="superscript"/>
        </w:rPr>
        <w:t xml:space="preserve">1 </w:t>
      </w:r>
      <w:r>
        <w:rPr>
          <w:rFonts w:cs="Times New Roman" w:ascii="Times New Roman" w:hAnsi="Times New Roman"/>
          <w:sz w:val="18"/>
          <w:szCs w:val="18"/>
        </w:rPr>
        <w:t>Biostatistics and Research Methodology Unit, School of Medical Sciences, Universiti Sains Malaysia, 16150, Kubang Kerian, Kelantan, Malaysia; ykueh@usm.my, nurzulaikha.mal@umk.edu.my</w:t>
      </w:r>
    </w:p>
    <w:p>
      <w:pPr>
        <w:pStyle w:val="Normal1"/>
        <w:spacing w:before="0" w:after="0"/>
        <w:jc w:val="both"/>
        <w:rPr>
          <w:rFonts w:ascii="Times New Roman" w:hAnsi="Times New Roman" w:cs="Times New Roman"/>
          <w:sz w:val="18"/>
          <w:szCs w:val="18"/>
        </w:rPr>
      </w:pPr>
      <w:r>
        <w:rPr>
          <w:rFonts w:cs="Times New Roman" w:ascii="Times New Roman" w:hAnsi="Times New Roman"/>
          <w:sz w:val="18"/>
          <w:szCs w:val="18"/>
          <w:vertAlign w:val="superscript"/>
        </w:rPr>
        <w:t xml:space="preserve">2 </w:t>
      </w:r>
      <w:r>
        <w:rPr>
          <w:rFonts w:cs="Times New Roman" w:ascii="Times New Roman" w:hAnsi="Times New Roman"/>
          <w:sz w:val="18"/>
          <w:szCs w:val="18"/>
        </w:rPr>
        <w:t>Faculty of Data Science and Computing, Universiti Malaysia Kelantan, 16100, Kota Bharu, Kelantan, Malaysia; nurzulaikha.mal@umk.edu.my</w:t>
      </w:r>
    </w:p>
    <w:p>
      <w:pPr>
        <w:pStyle w:val="Normal1"/>
        <w:spacing w:before="0" w:after="0"/>
        <w:jc w:val="both"/>
        <w:rPr>
          <w:rFonts w:ascii="Times New Roman" w:hAnsi="Times New Roman" w:cs="Times New Roman"/>
          <w:sz w:val="18"/>
          <w:szCs w:val="18"/>
          <w:vertAlign w:val="superscript"/>
        </w:rPr>
      </w:pPr>
      <w:r>
        <w:rPr>
          <w:rFonts w:cs="Times New Roman" w:ascii="Times New Roman" w:hAnsi="Times New Roman"/>
          <w:sz w:val="18"/>
          <w:szCs w:val="18"/>
          <w:vertAlign w:val="superscript"/>
        </w:rPr>
        <w:t xml:space="preserve">3 </w:t>
      </w:r>
      <w:r>
        <w:rPr>
          <w:rFonts w:cs="Times New Roman" w:ascii="Times New Roman" w:hAnsi="Times New Roman"/>
          <w:sz w:val="18"/>
          <w:szCs w:val="18"/>
        </w:rPr>
        <w:t>Exercise and Sport Science, School of Health Sciences, Universiti Sains Malaysia, 16150, Kubang Kerian, Kelantan, Malaysia; garry@usm.my</w:t>
      </w:r>
    </w:p>
    <w:p>
      <w:pPr>
        <w:pStyle w:val="Normal1"/>
        <w:spacing w:before="0" w:after="0"/>
        <w:jc w:val="both"/>
        <w:rPr>
          <w:rFonts w:ascii="Times New Roman" w:hAnsi="Times New Roman" w:cs="Times New Roman"/>
          <w:sz w:val="18"/>
          <w:szCs w:val="18"/>
          <w:vertAlign w:val="superscript"/>
        </w:rPr>
      </w:pPr>
      <w:r>
        <w:rPr>
          <w:rFonts w:cs="Times New Roman" w:ascii="Times New Roman" w:hAnsi="Times New Roman"/>
          <w:sz w:val="18"/>
          <w:szCs w:val="18"/>
          <w:vertAlign w:val="superscript"/>
        </w:rPr>
        <w:t xml:space="preserve">4 </w:t>
      </w:r>
      <w:r>
        <w:rPr>
          <w:rFonts w:cs="Times New Roman" w:ascii="Times New Roman" w:hAnsi="Times New Roman"/>
          <w:sz w:val="18"/>
          <w:szCs w:val="18"/>
        </w:rPr>
        <w:t>Department of Medicine, School of Medical Sciences, Universiti Sains Malaysia, 16150, Kubang Kerian, Kelantan, Malaysia; mungseong@yahoo.com, vincenttee1996@gmail.com, tengku.a.iskandar@gmail.com, azamhazwani2528@gmail.com,</w:t>
      </w:r>
    </w:p>
    <w:p>
      <w:pPr>
        <w:pStyle w:val="Normal1"/>
        <w:spacing w:before="0" w:after="0"/>
        <w:jc w:val="both"/>
        <w:rPr>
          <w:rFonts w:ascii="Times New Roman" w:hAnsi="Times New Roman" w:cs="Times New Roman"/>
          <w:sz w:val="18"/>
          <w:szCs w:val="18"/>
        </w:rPr>
      </w:pPr>
      <w:r>
        <w:rPr>
          <w:rFonts w:cs="Times New Roman" w:ascii="Times New Roman" w:hAnsi="Times New Roman"/>
          <w:sz w:val="18"/>
          <w:szCs w:val="18"/>
          <w:vertAlign w:val="superscript"/>
        </w:rPr>
        <w:t xml:space="preserve">5 </w:t>
      </w:r>
      <w:r>
        <w:rPr>
          <w:rFonts w:cs="Times New Roman" w:ascii="Times New Roman" w:hAnsi="Times New Roman"/>
          <w:sz w:val="18"/>
          <w:szCs w:val="18"/>
        </w:rPr>
        <w:t>GI &amp; Motility Unit, Hospital Universiti Sains Malaysia, 16150, Kubang Kerian, Kelantan, Malaysia; yylee@usm.my</w:t>
      </w:r>
    </w:p>
    <w:p>
      <w:pPr>
        <w:pStyle w:val="Normal1"/>
        <w:spacing w:before="0" w:after="0"/>
        <w:jc w:val="both"/>
        <w:rPr>
          <w:rFonts w:ascii="Times New Roman" w:hAnsi="Times New Roman" w:cs="Times New Roman"/>
          <w:sz w:val="24"/>
        </w:rPr>
      </w:pPr>
      <w:r>
        <w:rPr>
          <w:rFonts w:cs="Times New Roman" w:ascii="Times New Roman" w:hAnsi="Times New Roman"/>
          <w:sz w:val="24"/>
        </w:rPr>
        <w:t xml:space="preserve"> </w:t>
      </w:r>
    </w:p>
    <w:p>
      <w:pPr>
        <w:pStyle w:val="Normal1"/>
        <w:spacing w:before="0" w:after="0"/>
        <w:jc w:val="both"/>
        <w:rPr>
          <w:rFonts w:ascii="Times New Roman" w:hAnsi="Times New Roman" w:cs="Times New Roman"/>
          <w:sz w:val="18"/>
          <w:szCs w:val="18"/>
        </w:rPr>
      </w:pPr>
      <w:r>
        <w:rPr>
          <w:rFonts w:cs="Times New Roman" w:ascii="Times New Roman" w:hAnsi="Times New Roman"/>
          <w:sz w:val="18"/>
          <w:szCs w:val="18"/>
        </w:rPr>
        <w:t>Corresponding Author:</w:t>
      </w:r>
    </w:p>
    <w:p>
      <w:pPr>
        <w:pStyle w:val="Normal1"/>
        <w:spacing w:before="0" w:after="0"/>
        <w:jc w:val="both"/>
        <w:rPr>
          <w:rFonts w:ascii="Times New Roman" w:hAnsi="Times New Roman" w:cs="Times New Roman"/>
          <w:sz w:val="18"/>
          <w:szCs w:val="18"/>
          <w:highlight w:val="cyan"/>
          <w:vertAlign w:val="superscript"/>
        </w:rPr>
      </w:pPr>
      <w:r>
        <w:rPr>
          <w:rFonts w:cs="Times New Roman" w:ascii="Times New Roman" w:hAnsi="Times New Roman"/>
          <w:sz w:val="18"/>
          <w:szCs w:val="18"/>
        </w:rPr>
        <w:t>Yee Cheng Kueh</w:t>
      </w:r>
      <w:r>
        <w:rPr>
          <w:rFonts w:cs="Times New Roman" w:ascii="Times New Roman" w:hAnsi="Times New Roman"/>
          <w:sz w:val="18"/>
          <w:szCs w:val="18"/>
          <w:vertAlign w:val="superscript"/>
        </w:rPr>
        <w:t>1</w:t>
      </w:r>
    </w:p>
    <w:p>
      <w:pPr>
        <w:pStyle w:val="Normal1"/>
        <w:spacing w:before="0" w:after="0"/>
        <w:jc w:val="both"/>
        <w:rPr>
          <w:rFonts w:ascii="Times New Roman" w:hAnsi="Times New Roman" w:cs="Times New Roman"/>
          <w:sz w:val="18"/>
          <w:szCs w:val="18"/>
        </w:rPr>
      </w:pPr>
      <w:r>
        <w:rPr>
          <w:rFonts w:cs="Times New Roman" w:ascii="Times New Roman" w:hAnsi="Times New Roman"/>
          <w:sz w:val="18"/>
          <w:szCs w:val="18"/>
        </w:rPr>
        <w:t>Biostatistics and Research Methodology Unit, School of Medical Sciences, Universiti Sains Malaysia, 16150, Kubang Kerian, Kelantan, Malaysia.</w:t>
      </w:r>
    </w:p>
    <w:p>
      <w:pPr>
        <w:pStyle w:val="Normal1"/>
        <w:spacing w:before="0" w:after="0"/>
        <w:jc w:val="both"/>
        <w:rPr>
          <w:rFonts w:ascii="Times New Roman" w:hAnsi="Times New Roman" w:cs="Times New Roman"/>
          <w:sz w:val="18"/>
          <w:szCs w:val="18"/>
        </w:rPr>
      </w:pPr>
      <w:r>
        <w:rPr>
          <w:rFonts w:cs="Times New Roman" w:ascii="Times New Roman" w:hAnsi="Times New Roman"/>
          <w:sz w:val="18"/>
          <w:szCs w:val="18"/>
        </w:rPr>
        <w:t xml:space="preserve">Email address: yckueh@usm.my (Y.C.K.) </w:t>
      </w:r>
    </w:p>
    <w:p>
      <w:pPr>
        <w:pStyle w:val="Normal1"/>
        <w:spacing w:before="0" w:after="0"/>
        <w:jc w:val="both"/>
        <w:rPr>
          <w:rFonts w:ascii="Times New Roman" w:hAnsi="Times New Roman" w:cs="Times New Roman"/>
        </w:rPr>
      </w:pPr>
      <w:r>
        <w:rPr>
          <w:rFonts w:cs="Times New Roman" w:ascii="Times New Roman" w:hAnsi="Times New Roman"/>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t>Abstract</w:t>
      </w:r>
    </w:p>
    <w:p>
      <w:pPr>
        <w:pStyle w:val="Normal1"/>
        <w:spacing w:before="0" w:after="0"/>
        <w:jc w:val="both"/>
        <w:rPr>
          <w:rFonts w:ascii="Times New Roman" w:hAnsi="Times New Roman" w:cs="Times New Roman"/>
        </w:rPr>
      </w:pPr>
      <w:r>
        <w:rPr>
          <w:rFonts w:cs="Times New Roman" w:ascii="Times New Roman" w:hAnsi="Times New Roman"/>
          <w:b/>
          <w:bCs/>
        </w:rPr>
        <w:t>Background:</w:t>
      </w:r>
      <w:r>
        <w:rPr>
          <w:rFonts w:cs="Times New Roman" w:ascii="Times New Roman" w:hAnsi="Times New Roman"/>
        </w:rPr>
        <w:t xml:space="preserve"> The objective of this study was to investigate the </w:t>
      </w:r>
      <w:r>
        <w:rPr>
          <w:rFonts w:cs="Times New Roman" w:ascii="Times New Roman" w:hAnsi="Times New Roman"/>
          <w:bCs/>
        </w:rPr>
        <w:t xml:space="preserve">inter-relationship </w:t>
      </w:r>
      <w:r>
        <w:rPr>
          <w:rFonts w:cs="Times New Roman" w:ascii="Times New Roman" w:hAnsi="Times New Roman"/>
        </w:rPr>
        <w:t xml:space="preserve">between psychosocial variables and their impact on symptom severity and quality of life (QoL) concerning abdominal bloating. </w:t>
      </w:r>
      <w:r>
        <w:rPr>
          <w:rFonts w:cs="Times New Roman" w:ascii="Times New Roman" w:hAnsi="Times New Roman"/>
          <w:b/>
          <w:bCs/>
        </w:rPr>
        <w:t>Methods:</w:t>
      </w:r>
      <w:r>
        <w:rPr>
          <w:rFonts w:cs="Times New Roman" w:ascii="Times New Roman" w:hAnsi="Times New Roman"/>
        </w:rPr>
        <w:t xml:space="preserve"> The study adopted a cross-sectional design with purposive sampling. Participants who consented and met the criteria for bloating based on the Rome IV classification completed designated questionnaires. Independent variables comprised health beliefs, intentions, health-promoting behaviors, social support, depression, and anxiety, while dependent variables included bloating severity (general and within 24 hours) and QoL. Structural Equation Modeling (SEM) was conducted utilizing Mplus 8.0 to analyze the relationships between these factors. </w:t>
      </w:r>
      <w:r>
        <w:rPr>
          <w:rFonts w:cs="Times New Roman" w:ascii="Times New Roman" w:hAnsi="Times New Roman"/>
          <w:b/>
          <w:bCs/>
        </w:rPr>
        <w:t>Results:</w:t>
      </w:r>
      <w:r>
        <w:rPr>
          <w:rFonts w:cs="Times New Roman" w:ascii="Times New Roman" w:hAnsi="Times New Roman"/>
        </w:rPr>
        <w:t xml:space="preserve"> A total of 323 participants, with a mean age of 27.69 years (SD = 11.50), predominantly females (64.7%), volunteered to participate in the study. The final SEM model exhibited good fit based on various indices (CFI = 0.922, SRMR = 0.064, RMSEA (95% CI) = 0.048 (0.041, 0.054), </w:t>
      </w:r>
      <w:r>
        <w:rPr>
          <w:rFonts w:cs="Times New Roman" w:ascii="Times New Roman" w:hAnsi="Times New Roman"/>
          <w:i/>
          <w:iCs/>
        </w:rPr>
        <w:t>p</w:t>
      </w:r>
      <w:r>
        <w:rPr>
          <w:rFonts w:cs="Times New Roman" w:ascii="Times New Roman" w:hAnsi="Times New Roman"/>
        </w:rPr>
        <w:t xml:space="preserve">-value = 0.714), with 15 significant path relationships identified. The model explained 12.0% of the variance in severity within 24 hours, 6% in general severity, and 53.8% in QoL. </w:t>
      </w:r>
      <w:r>
        <w:rPr>
          <w:rFonts w:cs="Times New Roman" w:ascii="Times New Roman" w:hAnsi="Times New Roman"/>
          <w:b/>
          <w:bCs/>
        </w:rPr>
        <w:t>Conclusion:</w:t>
      </w:r>
      <w:r>
        <w:rPr>
          <w:rFonts w:cs="Times New Roman" w:ascii="Times New Roman" w:hAnsi="Times New Roman"/>
        </w:rPr>
        <w:t xml:space="preserve"> The findings underscore the significant influence of health beliefs, intentions, behaviors, social support, depression, and anxiety on symptom severity and QoL in individuals experiencing abdominal bloating.</w:t>
      </w:r>
    </w:p>
    <w:p>
      <w:pPr>
        <w:pStyle w:val="Normal1"/>
        <w:spacing w:before="0" w:after="0"/>
        <w:jc w:val="both"/>
        <w:rPr>
          <w:rFonts w:ascii="Times New Roman" w:hAnsi="Times New Roman" w:cs="Times New Roman"/>
          <w:b/>
          <w:b/>
          <w:bCs/>
        </w:rPr>
      </w:pPr>
      <w:r>
        <w:rPr>
          <w:rFonts w:cs="Times New Roman" w:ascii="Times New Roman" w:hAnsi="Times New Roman"/>
          <w:b/>
          <w:bCs/>
        </w:rPr>
      </w:r>
    </w:p>
    <w:p>
      <w:pPr>
        <w:pStyle w:val="Normal1"/>
        <w:spacing w:before="0" w:after="0"/>
        <w:jc w:val="both"/>
        <w:rPr>
          <w:rFonts w:ascii="Times New Roman" w:hAnsi="Times New Roman" w:cs="Times New Roman"/>
          <w:bCs/>
        </w:rPr>
      </w:pPr>
      <w:r>
        <w:rPr>
          <w:rFonts w:cs="Times New Roman" w:ascii="Times New Roman" w:hAnsi="Times New Roman"/>
          <w:bCs/>
        </w:rPr>
        <w:t>Keywords: bloating, health belief, intention, health promoting behaviour, severity, quality of life</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r>
    </w:p>
    <w:p>
      <w:pPr>
        <w:pStyle w:val="Normal1"/>
        <w:spacing w:before="0" w:after="0"/>
        <w:jc w:val="both"/>
        <w:rPr>
          <w:rFonts w:ascii="Times New Roman" w:hAnsi="Times New Roman" w:cs="Times New Roman"/>
          <w:b/>
          <w:b/>
        </w:rPr>
      </w:pPr>
      <w:r>
        <w:rPr>
          <w:rFonts w:cs="Times New Roman" w:ascii="Times New Roman" w:hAnsi="Times New Roman"/>
          <w:b/>
          <w:sz w:val="28"/>
        </w:rPr>
        <w:t>Introduction</w:t>
      </w:r>
    </w:p>
    <w:p>
      <w:pPr>
        <w:pStyle w:val="Normal1"/>
        <w:spacing w:before="0" w:after="0"/>
        <w:jc w:val="both"/>
        <w:rPr>
          <w:rFonts w:ascii="Times New Roman" w:hAnsi="Times New Roman" w:cs="Times New Roman"/>
          <w:sz w:val="24"/>
        </w:rPr>
      </w:pPr>
      <w:r>
        <w:rPr>
          <w:rFonts w:cs="Times New Roman" w:ascii="Times New Roman" w:hAnsi="Times New Roman"/>
          <w:sz w:val="24"/>
        </w:rPr>
        <w:t>The symptoms of abdominal bloating (AB) are prevalent in the general population, often experienced without seeking medical treatment. Study has shown that AB can significantly diminish the quality of life (QoL), a phenomenon that is increasingly recognised. Malaysian, influenced by the diverse culinary offering resulting from the fusion of carious cultural traditions, are more prone to experiencing AB (Abdullah et al., 2021). According to Malagelada et al. (2017), AB was one of the common symptoms in a healthy adult and reduced the QoL by negatively impacting the adult's well-being. Besides, Lacy and Patel (2017) reported that more than half of the Irritable Bowel Syndrom (IBS) patients complained about reducing daily activities due to AB. AB was believed to be one of the contributors to the severity of IBS, which led to an increase in health care utilisation (Lacy &amp; Patel, 2017). Symptom of AB poses a disturbance in almost any individual's busy daily routine as it dramatically impacts one's well-being. Besides, it might also trigger other problems and deteriorate health, thus it should not be taken lightly. Yet, the researchers found a lack of research on the related variables among Malaysian people with AB.</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 xml:space="preserve">Even though AB symptoms were not life threatening, several researchers reported it as a cause for the limitation in daily activities (Kanazawa et al., 2016). It can increase absenteeism, reduce productivity, increase healthcare costs, and reduce the chances of elongating years of living. AB was also a significant marker for various underlying diseases (Tuteja et al., 2008). The most common related disorders associated with AB were gastrointestinal problems such as IBS, Irritable Bowel Disease (IBD), colon cancer, and stomach cancer. Physicians may perceive AB as common and bothersome but not enough to be life-threatening. Thus, AB is less frequently explored despite its prevalence and importance. Due to the above reasons, researchers have shown a growing interest in the treatment of AB to reduce the frequency of episodes or its severity (Thiwan, 2019; Kamboj &amp; Oxentenko, 2018; Khoshoo et al., 2006). </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The Theory of Planned Behaviour (TPB) proposed that belief, intention, and behaviour correlate to each other and manipulating these three cores concept may help to improve a symptom or disease (Ajzen, 2012). Initially developed in 1990 by Ajzen, the TPB evolved through the ideas which circled around the prediction of behaviour and extended originally from the Theory of Reasoned Action (TRA) with the additional domain of perceived behaviour control under the health belief construct (Ajzen, 2012). There were many research associate TPB with other different and variety of variables (Bai &amp; Dinour, 2017;Chin &amp; Mansori, 2019; Li, Figg &amp; Schuz 2019).</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 xml:space="preserve">The recent treatment algorithm has promoted the implementation of a Multidimensional Clinical Profile (MDCP) and Biopsychosocial Model to provide better patient management (Drossman, 2017; Levy et al., 2006; Oudenhove, et al., 2016; Schumulson &amp; Drossman, 2017). Both models emphasized the psychological comorbidities, impacts, and disturbances aside from the contemporary clinical kaleidoscope. Therefore, understanding the psychological and psychosocial variables among patients with AB is crucial in treating patients from the Disorder of Gut-brain Interaction (DGBI) spectrum, especially IBS. </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The conceptual framework of the current study is founded on these models, incorporating a comprehensive range of variables to better comprehend outcomes, not confined solely to a clinical standpoint. Simoes et al. (2016) proposed that individuals can enhance their quality of life (QoL) through improved adaptive behavior skills, even with less social support. In contrast, Doogan et al. (2019) highlighted the pivotal role of social support in fostering good QoL. Additionally, health-promoting behaviors play a crucial role in health education, commencing from early stages (Kuan et al., 2019). Vilten et al. (2014) discovered that increased physical and mental activity correlates with improved mental health due to heightened life satisfaction and reduced psychological distress. Depression and anxiety, considered as indicators of psychological distress alongside stress and life satisfaction, underscore the multifaceted nature of mental health. Given that mental health is influenced by various factors such as personality traits, living conditions, and major life events affecting QoL satisfaction, proactive lifestyle modifications are crucial in curbing the prevalence of psychological disorders. Understanding the levels of social support, depression, and anxiety among individuals with AB can contribute to a deeper understanding of related variables that influence QoL in this specific cohort.</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Some literature suggests that IBS significantly lowers the QoL and affects their activities of daily living, which are commonly present in people with IBS and other diseases (Kanazawa et al., 2016; Thiwan, 2019; Kamboj &amp; Oxentenko, 2018). By reducing the severity of AB, the QoL and productivity of individual with AB is expected to be improved. Therefore, more research has been initiated to explore the alternative ways to treat AB, considering various aspects beyond just the clinical perspective, but also integrating cultural and environmental influences. For nearly two decades, other than medication, other psychological or social variables have been considered as foundation in the AB management (Drossman, 2006; Tanaka et al., 2011; Cao et al., 2020; Chin &amp; Mansori, 2019; Bai &amp; Dinour, 2017, Li, Figg &amp; Schuz, 2019). Developing and maintaining positive attitudes and psychological behaviour toward addressing AB is crucial, as it may be an approach for the management and treatment of the disease. By taking into account mediating factors, individuals with AB can potentially mitigate or exacerbate the impact of the condition on outcomes such as severity and QoL through the management of other variables such as intention, social support, depression, and anxiety. The application and integration of these constructs among Malaysians with AB could potentially have a positive impact on their symptom management. Therefore, the primary objective of this study is to investigate the direct and indirect relationships between TPB psychological constructs, other psychosocial variables, symptom severity, and QoL among Malaysians living with AB, utilizing structural equation modeling (SEM) as the analytical approach.</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By examining these interrelated factors, the study seeks to provide insights into how psychological factors and psychosocial variables influence symptom management and overall quality of life for individuals dealing with AB in Malaysia. This research aims to contribute valuable knowledge that could inform interventions and strategies aimed at improving the well-being and health outcomes of individuals with AB in the Malaysian context.</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Figure 1 shows the conceptual framework proposed in the present study.</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(Figure 1)</w:t>
      </w:r>
    </w:p>
    <w:p>
      <w:pPr>
        <w:pStyle w:val="Para1"/>
        <w:rPr>
          <w:rFonts w:cs="Times New Roman"/>
          <w:color w:val="FF0000"/>
          <w:lang w:val="ms-MY"/>
        </w:rPr>
      </w:pPr>
      <w:r>
        <w:rPr>
          <w:rFonts w:cs="Times New Roman"/>
          <w:color w:val="FF0000"/>
          <w:lang w:val="ms-MY"/>
        </w:rPr>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t>Materials &amp; Methods</w:t>
      </w:r>
    </w:p>
    <w:p>
      <w:pPr>
        <w:pStyle w:val="Normal1"/>
        <w:spacing w:before="0" w:after="0"/>
        <w:jc w:val="both"/>
        <w:rPr>
          <w:rFonts w:ascii="Times New Roman" w:hAnsi="Times New Roman" w:cs="Times New Roman"/>
          <w:sz w:val="24"/>
        </w:rPr>
      </w:pPr>
      <w:r>
        <w:rPr>
          <w:rFonts w:cs="Times New Roman" w:ascii="Times New Roman" w:hAnsi="Times New Roman"/>
          <w:sz w:val="24"/>
        </w:rPr>
        <w:t>2.1. Study Design, Ethical approval</w:t>
      </w:r>
    </w:p>
    <w:p>
      <w:pPr>
        <w:pStyle w:val="Normal1"/>
        <w:spacing w:before="0" w:after="0"/>
        <w:jc w:val="both"/>
        <w:rPr>
          <w:rFonts w:ascii="Times New Roman" w:hAnsi="Times New Roman" w:cs="Times New Roman"/>
          <w:sz w:val="24"/>
        </w:rPr>
      </w:pPr>
      <w:r>
        <w:rPr>
          <w:rFonts w:cs="Times New Roman" w:ascii="Times New Roman" w:hAnsi="Times New Roman"/>
          <w:sz w:val="24"/>
        </w:rPr>
        <w:t>A cross-sectional study design was employed. People with AB who satisfied the Rome IV criteria for AB were recruited via purposive sampling from Hospital Universiti Sains Malaysia, the largest tertiary center in the north-eastern region of Peninsular Malaysia. Briefly, the Rome IV criteria (Mari et al., 2019) for AB are as follow: 1) recurrent feeling of AB or visible distention for at least one day per week, 2) onset of symptoms at least six months before diagnosis, 3) the presence of symptoms for at least three months and insufficient criteria to establish other diagnosis and 4) may also co-exist with mild abdominal pain and minor bowel disorders. All participants who met the eligibility criteria of the study, including the following: ROME IV criteria, aged 18 years and above, in the absence of organic GI diseases (e.g., inflammatory bowel disease, gastrointestinal (GI) infections and colorectal cancer), no past abdominal surgery, not on drugs which cause or worsen AB (e.g., opiates), and did not have any psychiatric illnesses (e.g., schizophrenia) were approached. All participants were required to complete an informed consent form before being recruited. Ethical approval from the Human Research Ethics Committee of Universiti Sains Malaysia (USM/JEPeM/17010012)) was obtained. The study was conducted in accordance with the Declaration of Helsinki.</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2.2. Instruments</w:t>
      </w:r>
    </w:p>
    <w:p>
      <w:pPr>
        <w:pStyle w:val="Normal1"/>
        <w:spacing w:before="0" w:after="0"/>
        <w:jc w:val="both"/>
        <w:rPr>
          <w:rFonts w:ascii="Times New Roman" w:hAnsi="Times New Roman" w:cs="Times New Roman"/>
          <w:sz w:val="24"/>
        </w:rPr>
      </w:pPr>
      <w:r>
        <w:rPr>
          <w:rFonts w:cs="Times New Roman" w:ascii="Times New Roman" w:hAnsi="Times New Roman"/>
          <w:sz w:val="24"/>
        </w:rPr>
        <w:t>Demographic Information</w:t>
      </w:r>
    </w:p>
    <w:p>
      <w:pPr>
        <w:pStyle w:val="Normal1"/>
        <w:spacing w:before="0" w:after="0"/>
        <w:jc w:val="both"/>
        <w:rPr>
          <w:rFonts w:ascii="Times New Roman" w:hAnsi="Times New Roman" w:cs="Times New Roman"/>
          <w:sz w:val="24"/>
        </w:rPr>
      </w:pPr>
      <w:r>
        <w:rPr>
          <w:rFonts w:cs="Times New Roman" w:ascii="Times New Roman" w:hAnsi="Times New Roman"/>
          <w:sz w:val="24"/>
        </w:rPr>
        <w:t>Socio-demographic information included the following: age, sex, body mass index (BMI), living area (either rural or urban) and history of other symptoms.</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Health Belief for Bloating (HB-Bloat) Scale.</w:t>
      </w:r>
    </w:p>
    <w:p>
      <w:pPr>
        <w:pStyle w:val="Normal1"/>
        <w:spacing w:before="0" w:after="0"/>
        <w:jc w:val="both"/>
        <w:rPr>
          <w:rFonts w:ascii="Times New Roman" w:hAnsi="Times New Roman" w:cs="Times New Roman"/>
          <w:sz w:val="24"/>
        </w:rPr>
      </w:pPr>
      <w:r>
        <w:rPr>
          <w:rFonts w:cs="Times New Roman" w:ascii="Times New Roman" w:hAnsi="Times New Roman"/>
          <w:sz w:val="24"/>
        </w:rPr>
        <w:t>Based on the TPB, the Malay version of the Health Belief for bloating (HB-Bloat) scale is a 32-items initially developed by Abdullah et al. (2020) measuring the health belief or individuals' perception toward AB improvement. The scale is divided into three main subscales, including attitudes (13 items), subjective norm (8 items) and perceived control (11 items). The items were measured on 5-point Likert scales ranging from 1 (strongly agree) to 5 (strongly disagree), where higher scores reflect positive belief toward AB improvement. Model fit indices of HB-Bloat also showed an acceptable range value of comparative fit index (CFI) = 0.941, Tucker-Lewis index (TLI) = 0.924, root mean square error of approximation (RMSEA) = 0.054, and standardized root mean square residual (SRMR) = 0.044. HB-Bloat also showed acceptable reliability based on composite reliability, 0.70 for attitude, 0.78 for subjective norm and 0.75 for perceived behavioural control.</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Intention.</w:t>
      </w:r>
    </w:p>
    <w:p>
      <w:pPr>
        <w:pStyle w:val="Normal1"/>
        <w:spacing w:before="0" w:after="0"/>
        <w:jc w:val="both"/>
        <w:rPr>
          <w:rFonts w:ascii="Times New Roman" w:hAnsi="Times New Roman" w:cs="Times New Roman"/>
          <w:sz w:val="24"/>
        </w:rPr>
      </w:pPr>
      <w:r>
        <w:rPr>
          <w:rFonts w:cs="Times New Roman" w:ascii="Times New Roman" w:hAnsi="Times New Roman"/>
          <w:sz w:val="24"/>
        </w:rPr>
        <w:t>One item measures the intention to promote healthy behaviour towards AB improvement. It consisted of 5-point Likert scales ranging from 1 (strongly agree) to 5 (strongly disagree), where a higher score reflects a greater intention to improve AB.</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Health Promoting Behaviour for Bloating (HPB-Bloat) Scale.</w:t>
      </w:r>
    </w:p>
    <w:p>
      <w:pPr>
        <w:pStyle w:val="Normal1"/>
        <w:spacing w:before="0" w:after="0"/>
        <w:jc w:val="both"/>
        <w:rPr>
          <w:rFonts w:ascii="Times New Roman" w:hAnsi="Times New Roman" w:cs="Times New Roman"/>
          <w:sz w:val="24"/>
        </w:rPr>
      </w:pPr>
      <w:r>
        <w:rPr>
          <w:rFonts w:cs="Times New Roman" w:ascii="Times New Roman" w:hAnsi="Times New Roman"/>
          <w:sz w:val="24"/>
        </w:rPr>
        <w:t>The HPB-Bloat scale consists of 35 items with five subscales. The scale measures individuals' daily lifestyles and behaviour that are helping them reduce AB symptoms Abdullah et al., 2021). The domains include any activity undertaken by a person believing him or herself to be healthy for improving AB or preventing it from deteriorating stage, and a person doing it either through 1) diet, 2) health awareness, 3) stress management, 4) physical activity or 5) alternative treatments. Responses are 5-point Likert scales ranging from 1 (never) to 5 (very often), where higher scores reflect a greater lifestyle change to improve AB. The HPB-Bloat demonstrated good model fit indices, with CFI = 0.93, TLI = 0.91, RMSEA = 0.044, and SRMR = 0.052. The composite reliability ranged from 0.64 to 0.82.</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Social Support for Bloating (SS-Bloat) Scale.</w:t>
      </w:r>
    </w:p>
    <w:p>
      <w:pPr>
        <w:pStyle w:val="Normal1"/>
        <w:spacing w:before="0" w:after="0"/>
        <w:jc w:val="both"/>
        <w:rPr>
          <w:rFonts w:ascii="Times New Roman" w:hAnsi="Times New Roman" w:cs="Times New Roman"/>
          <w:sz w:val="24"/>
        </w:rPr>
      </w:pPr>
      <w:r>
        <w:rPr>
          <w:rFonts w:cs="Times New Roman" w:ascii="Times New Roman" w:hAnsi="Times New Roman"/>
          <w:sz w:val="24"/>
        </w:rPr>
        <w:t>Social support refers to any support given by any individual, either their spouse or other closest relatives or friends, in dealing with AB symptoms either physically or emotionally. Responses are on a 5-point Likert scale ranging from 1 (strongly agree) to 5 (strongly disagree), where higher scores reflect greater social support. This scale has five items under one subscale (Abdullah et al., 2021). The total variance explained by the EFA model was 35.6%, and the Cronbach alpha of the single factor was 0.66.</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Hospital Anxiety and Depression Scale (HADS).</w:t>
      </w:r>
    </w:p>
    <w:p>
      <w:pPr>
        <w:pStyle w:val="Normal"/>
        <w:shd w:val="clear" w:color="auto" w:fill="FEFEFE"/>
        <w:spacing w:lineRule="atLeast" w:line="360"/>
        <w:jc w:val="both"/>
        <w:rPr>
          <w:rFonts w:ascii="Times New Roman" w:hAnsi="Times New Roman" w:eastAsia="Times New Roman" w:cs="Times New Roman"/>
          <w:color w:val="FF0000"/>
          <w:lang w:eastAsia="en-GB"/>
        </w:rPr>
      </w:pPr>
      <w:r>
        <w:rPr>
          <w:rFonts w:cs="Times New Roman" w:ascii="Times New Roman" w:hAnsi="Times New Roman"/>
          <w:sz w:val="24"/>
        </w:rPr>
        <w:t xml:space="preserve">The Malay version of HADS has been validated by Yahya and Othman (2015). The 14-item HADS is used to assess the presence of psychological disorders, including depression and anxiety (Yahya &amp; Othman, 2015) </w:t>
      </w:r>
      <w:r>
        <w:rPr>
          <w:rFonts w:cs="Times New Roman" w:ascii="Times New Roman" w:hAnsi="Times New Roman"/>
          <w:sz w:val="24"/>
          <w:szCs w:val="24"/>
        </w:rPr>
        <w:t xml:space="preserve">in general medical population of patient (Stern, 2014). </w:t>
      </w:r>
      <w:r>
        <w:rPr>
          <w:rFonts w:eastAsia="Times New Roman" w:cs="Times New Roman" w:ascii="Times New Roman" w:hAnsi="Times New Roman"/>
          <w:color w:val="000000" w:themeColor="text1"/>
          <w:sz w:val="24"/>
          <w:szCs w:val="24"/>
          <w:lang w:eastAsia="en-GB"/>
        </w:rPr>
        <w:t>Eventhough it was devised 30 years ago by the original author of Zigmind and Snaith (1983). HADS is one of the ways to discover the symptoms of anxiety or/and depression (none to severe cases), even though it is merely a non-physical symptom it can trigger more problem if treated lightly. So, we want to cater all level of anxiety and depression which we believe can be trace using HADS. It was reported that HADS does not include all the diagnostic criteria of depression where additional question on appetite, sleep and self/harm/suicidal though have to be asked for risk assessment, we believe that in the future study it can be additional point to be noted</w:t>
      </w:r>
      <w:r>
        <w:rPr>
          <w:rFonts w:eastAsia="Times New Roman" w:cs="Times New Roman" w:ascii="Times New Roman" w:hAnsi="Times New Roman"/>
          <w:color w:val="FF0000"/>
          <w:sz w:val="24"/>
          <w:szCs w:val="24"/>
          <w:lang w:eastAsia="en-GB"/>
        </w:rPr>
        <w:t>.</w:t>
      </w:r>
      <w:r>
        <w:rPr>
          <w:rFonts w:eastAsia="Times New Roman" w:cs="Times New Roman" w:ascii="Times New Roman" w:hAnsi="Times New Roman"/>
          <w:color w:val="FF0000"/>
          <w:lang w:eastAsia="en-GB"/>
        </w:rPr>
        <w:t xml:space="preserve"> </w:t>
      </w:r>
      <w:r>
        <w:rPr>
          <w:rFonts w:cs="Times New Roman" w:ascii="Times New Roman" w:hAnsi="Times New Roman"/>
          <w:sz w:val="24"/>
        </w:rPr>
        <w:t xml:space="preserve">The scores can be summed up for each subscale of anxiety and depression or summed up as a total score to represent the level of psychological distress (Montazeri et al., 2003; Snaith 2003). HADS is well-established and widely used (Azlan et al., 2020; Basnayake, 2020; Khan et al., 2019; Tominaga et al., 2018; Yousuf et al., 2020). The sensitivity and specificity values for depression were 93.2% and 90.8%, respectively, and for anxiety, 90.0% and 86.2%, respectively (20). </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Malay version of Bloating Severity Questionnaire (BSQ-M).</w:t>
      </w:r>
    </w:p>
    <w:p>
      <w:pPr>
        <w:pStyle w:val="Normal1"/>
        <w:spacing w:before="0" w:after="0"/>
        <w:jc w:val="both"/>
        <w:rPr>
          <w:rFonts w:ascii="Times New Roman" w:hAnsi="Times New Roman" w:cs="Times New Roman"/>
          <w:sz w:val="24"/>
        </w:rPr>
      </w:pPr>
      <w:r>
        <w:rPr>
          <w:rFonts w:cs="Times New Roman" w:ascii="Times New Roman" w:hAnsi="Times New Roman"/>
          <w:sz w:val="24"/>
        </w:rPr>
        <w:t>The original English version of the 12-item BSQ was developed to measure the symptom severity of AB (Palsson et al., 2004; Thiwan et al., 2005; Thiwan, 2004). It measures overall severity (general or SevGen, 7-item) and severity for the past 24 hours (Sev24, 5-item). Responses for BSQ are in the format of multiple-choice answers on a different degree of effect on individuals based on intensity, frequency, and severity (less severe to more severe, ranging from 1 to 4 or 5 or 6 or 7 or 8 varied by items). The present study used the translated Malay version BSQ-M (30), which has been validated with good fit indices (CFI=0.976, TLI=0.956, RMSEA=0.050 and SRMR=0.051). For SevGen, items 1, 3,4,5, and 6 measured 1-5 scale, item 2 measured 1-4 scale, and item 7 measured 1-7 scale. For sev24, all items measured 1-5 scale except for item 5 (estimated 1-8 scale). Both subscales of BSQ had good internal consistency (Cronbach alpha values for SevGen and Sev24 were 0.76 and 0.85, respectively (Palsson et al., 2004). There is an abbreviated 3-item Sev24, with similar internal consistency to 5-item Sev24, but the original 5-items Sev24 was used (Palsson et al., 2004; Thiwan et al., 2005; Thiwan, 2004). The composite reliability of the two domains, i.e., SevGen and Sev24 were 0.797 and 0.909, respectively.</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Malay version of Bloating Quality of Life (BLQoL-M).</w:t>
      </w:r>
    </w:p>
    <w:p>
      <w:pPr>
        <w:pStyle w:val="Normal1"/>
        <w:spacing w:before="0" w:after="0"/>
        <w:jc w:val="both"/>
        <w:rPr>
          <w:rFonts w:ascii="Times New Roman" w:hAnsi="Times New Roman" w:cs="Times New Roman"/>
          <w:sz w:val="24"/>
        </w:rPr>
      </w:pPr>
      <w:r>
        <w:rPr>
          <w:rFonts w:cs="Times New Roman" w:ascii="Times New Roman" w:hAnsi="Times New Roman"/>
          <w:sz w:val="24"/>
        </w:rPr>
        <w:t>The original 5-item BLQoL was developed by Palsson et al. (2004) to measure the impact of AB on QoL. The BLQoL included questions on interference with work, intimate relationships, hobbies, social activities, and emotion. Responses are on seven points Likert scales ranging from 1= "never/not related to me" to 7= "always" with higher scores indicating a greater impact on QoL (Palsson et al., 2004). The present study used the translated and validated Malay version of BLQoL-M (Mahd-Ab.lah et al., 2021) with good fit indices (CFI=0.955, TLI=0.962, RMSEA=0.071 and SRMR=0.021).</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2.3. Procedure</w:t>
      </w:r>
    </w:p>
    <w:p>
      <w:pPr>
        <w:pStyle w:val="Normal1"/>
        <w:spacing w:before="0" w:after="0"/>
        <w:jc w:val="both"/>
        <w:rPr>
          <w:rFonts w:ascii="Times New Roman" w:hAnsi="Times New Roman" w:cs="Times New Roman"/>
          <w:sz w:val="24"/>
        </w:rPr>
      </w:pPr>
      <w:r>
        <w:rPr>
          <w:rFonts w:cs="Times New Roman" w:ascii="Times New Roman" w:hAnsi="Times New Roman"/>
          <w:sz w:val="24"/>
        </w:rPr>
        <w:t>The study was conducted around Hospital Universiti Sains Malaysia, Kelantan, Malaysia where purposive sampling method was employed.</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All possible participants were further screened according to the inclusion and exclusion criteria. Written consent was obtained before inclusion in the study. The present study used the self-reported questionnaires with additional sociodemographic questions. The participants voluntarily completed the questionnaires and returned it to the researchers. The estimated time to complete the survey was 40–45 minutes.</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There were 355 new potential participants screened and eventually, 330 participants ful-filled the eligibility criteria and were invited to complete the survey. Among all who re-turned the questionnaires, 323 were complete and usable for the subsequent SEM data analysis. The response rate was 97.9% which was considered good.</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t>2.4. Data Analysis</w:t>
      </w:r>
    </w:p>
    <w:p>
      <w:pPr>
        <w:pStyle w:val="Normal1"/>
        <w:spacing w:before="0" w:after="0"/>
        <w:jc w:val="both"/>
        <w:rPr>
          <w:rFonts w:ascii="Times New Roman" w:hAnsi="Times New Roman" w:cs="Times New Roman"/>
          <w:sz w:val="24"/>
        </w:rPr>
      </w:pPr>
      <w:r>
        <w:rPr>
          <w:rFonts w:cs="Times New Roman" w:ascii="Times New Roman" w:hAnsi="Times New Roman"/>
          <w:sz w:val="24"/>
        </w:rPr>
        <w:t xml:space="preserve">Mplus 8.0 was used to perform the statistical analysis. Numerical variables were presented as mean and standard deviation (SD), while categorical variables were expressed as frequency and percentage. SEM was used to examine the interrelationship between the variables including direct and indirect relationships. Standardised path coefficient (β) with 95% Confidence Interval (CI) and p-value &lt;0.050 as significant were determined. The reported output was also assessed for adequacy of fit indices and a significant hypothesised path relationship. The estimator of maximum likelihood robust (MLR) by Yuan and Bentler (2000) was used in the SEM analysis. The evaluation of the model’s fitness was based on several model fit indices: CFI &gt; 0.92, TLI &gt; 0.92, RMSEA &lt; 0.08, and SRMR ≤ 0.08 (33-34). If inadequate fit indices, the model would re-specified by removing insignificant paths, adding additional correlation between the variance of items based on suggestions from modification indices and inspection of additional possible pathways. All re-specification models were done after adequate theoretical support was considered by the researchers including discussion with the experts. </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b/>
          <w:b/>
          <w:sz w:val="28"/>
        </w:rPr>
      </w:pPr>
      <w:r>
        <w:rPr>
          <w:rFonts w:cs="Times New Roman" w:ascii="Times New Roman" w:hAnsi="Times New Roman"/>
          <w:sz w:val="24"/>
        </w:rPr>
        <w:t xml:space="preserve">The models were reviewed after each amendment was done to the model as any changes would bring some effects to the model. The process stopped after a good fit model was achieved. The final and best fit of the structural model to the data was reported at the end of the analysis. The significant paths were concluded with the fit indices as evidence for the validity of the model. </w:t>
      </w:r>
    </w:p>
    <w:p>
      <w:pPr>
        <w:pStyle w:val="Normal1"/>
        <w:spacing w:before="0" w:after="0"/>
        <w:jc w:val="both"/>
        <w:rPr>
          <w:rFonts w:ascii="Times New Roman" w:hAnsi="Times New Roman" w:cs="Times New Roman"/>
          <w:b/>
          <w:b/>
          <w:sz w:val="28"/>
        </w:rPr>
      </w:pPr>
      <w:r>
        <w:rPr>
          <w:rFonts w:cs="Times New Roman" w:ascii="Times New Roman" w:hAnsi="Times New Roman"/>
          <w:b/>
          <w:sz w:val="28"/>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t>Results</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3.1 Participants</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Of 350 screened participants, 323 participants were analysed, with the rest did not satisfy the eligibility criteria. The participants had a mean age of 27.69 years old (SD =11.50), more than half were males (59.4%), mean BMI was 24.90 (SD=14.20), half were from rural (52.6%), and 20.4% had other symptoms including headache, nausea, abdominal pain.</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3.2 Structural Model</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The initial structural model has 21 hypothesised path relationships based on the recommendation of the correlation analysis. Table 1 shows the test findings for model 1 to model 4 based on fit indices. There were improvements in all the fit indices in the final model, where most of the fit indices had achieved the required thresholds.</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(Table 1)</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The results showed that the final hypothesised model explained the variance of SevGen 6%, depression 9%, physical activity 10%, Sev24 10%, health and treatment awareness 12%, social support 16%, diet 24%, intention 39%, and QoL 53.8%. The detailed description for each significant path is summarised in Table 2. Attitudes were positively associated with intention, social support, and physical activity, whereas they were negatively associated with severity 24 hours. Perceived behavioural control, which is also a domain for health belief significantly associated with intention, diet, health and treatment awareness and social support. Intention was positively associated with diet but negatively with severity general and depression. While social support is negatively associated with severity general, severity general significantly increases the impact on QoL. Lastly, stress management negatively impacted depression levels, and depression increased directly with severity 24 hours.</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(Table 2)</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The final model 4 is illustrated in Figure 2.</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(Figure 2)</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3.3 Structural model testing for indirect relationship</w:t>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jc w:val="both"/>
        <w:rPr>
          <w:rFonts w:ascii="Times New Roman" w:hAnsi="Times New Roman" w:cs="Times New Roman"/>
          <w:bCs/>
          <w:sz w:val="24"/>
          <w:szCs w:val="24"/>
        </w:rPr>
      </w:pPr>
      <w:r>
        <w:rPr>
          <w:rFonts w:cs="Times New Roman" w:ascii="Times New Roman" w:hAnsi="Times New Roman"/>
          <w:bCs/>
          <w:sz w:val="24"/>
          <w:szCs w:val="24"/>
        </w:rPr>
        <w:t>Two variables (attitude and perceived behavioural control) exhibited positive indirect effects on other outcome variables (severity 24 hours, diet under health-promoting behaviour). Table 3 presents the results of indirect relationships in the final model. Attitude had a significant indirect effect on severity 24 hours through intention and depression. Perceived behavioural control had a significant indirect effect on diet through intention.</w:t>
      </w:r>
    </w:p>
    <w:p>
      <w:pPr>
        <w:pStyle w:val="Normal1"/>
        <w:spacing w:before="0" w:after="0"/>
        <w:jc w:val="both"/>
        <w:rPr>
          <w:rFonts w:ascii="Times New Roman" w:hAnsi="Times New Roman" w:cs="Times New Roman"/>
          <w:bCs/>
        </w:rPr>
      </w:pPr>
      <w:r>
        <w:rPr>
          <w:rFonts w:cs="Times New Roman" w:ascii="Times New Roman" w:hAnsi="Times New Roman"/>
          <w:bCs/>
        </w:rPr>
      </w:r>
    </w:p>
    <w:p>
      <w:pPr>
        <w:pStyle w:val="Normal1"/>
        <w:spacing w:before="0" w:after="0"/>
        <w:jc w:val="both"/>
        <w:rPr>
          <w:rFonts w:ascii="Times New Roman" w:hAnsi="Times New Roman" w:cs="Times New Roman"/>
          <w:bCs/>
        </w:rPr>
      </w:pPr>
      <w:r>
        <w:rPr>
          <w:rFonts w:cs="Times New Roman" w:ascii="Times New Roman" w:hAnsi="Times New Roman"/>
          <w:bCs/>
        </w:rPr>
        <w:t>(Table 3)</w:t>
      </w:r>
    </w:p>
    <w:p>
      <w:pPr>
        <w:pStyle w:val="Normal1"/>
        <w:spacing w:before="0" w:after="0"/>
        <w:jc w:val="both"/>
        <w:rPr>
          <w:rFonts w:ascii="Times New Roman" w:hAnsi="Times New Roman" w:cs="Times New Roman"/>
          <w:b/>
          <w:b/>
        </w:rPr>
      </w:pPr>
      <w:r>
        <w:rPr>
          <w:rFonts w:cs="Times New Roman" w:ascii="Times New Roman" w:hAnsi="Times New Roman"/>
          <w:b/>
        </w:rPr>
      </w:r>
    </w:p>
    <w:p>
      <w:pPr>
        <w:pStyle w:val="Normal1"/>
        <w:spacing w:before="0" w:after="0"/>
        <w:jc w:val="both"/>
        <w:rPr>
          <w:rFonts w:ascii="Times New Roman" w:hAnsi="Times New Roman" w:cs="Times New Roman"/>
          <w:sz w:val="24"/>
        </w:rPr>
      </w:pPr>
      <w:r>
        <w:rPr>
          <w:rFonts w:cs="Times New Roman" w:ascii="Times New Roman" w:hAnsi="Times New Roman"/>
          <w:b/>
          <w:sz w:val="28"/>
        </w:rPr>
        <w:t>Discussion</w:t>
        <w:br/>
      </w:r>
    </w:p>
    <w:p>
      <w:pPr>
        <w:pStyle w:val="Normal1"/>
        <w:spacing w:before="0" w:after="0"/>
        <w:jc w:val="both"/>
        <w:rPr>
          <w:rFonts w:ascii="Times New Roman" w:hAnsi="Times New Roman" w:cs="Times New Roman"/>
          <w:sz w:val="24"/>
        </w:rPr>
      </w:pPr>
      <w:r>
        <w:rPr>
          <w:rFonts w:cs="Times New Roman" w:ascii="Times New Roman" w:hAnsi="Times New Roman"/>
          <w:sz w:val="24"/>
        </w:rPr>
        <w:tab/>
        <w:t>Based on the findings of the current study, health beliefs (including attitude and perceived behavioural control) exhibited a significant direct relationship with intention, a trend observed in various health conditions such as cardiovascular disease, diabetes mellitus, breast cancer, and obesity (Lim et al., 2021; Kueh et al., 2016; Chin &amp; Mansori, 2019; Moeini et al., 2017; Saghafi-Asl et al., 2020). Moreover, intention was found to directly impact diet, a key component of health-promoting behaviour, aligning with findings from other studies (Kueh et al., 2016; Li et al., 2019; Uchendu et al., 2020). Trinh et al. (2012) suggested that intention plays a crucial role in affecting QoL through detailed planning for adopting a healthier lifestyle, particularly noted in kidney cancer survivors, emphasizing the importance of intention formation in creating actionable plans. Additionally, perceived behavioural control was shown to influence diet and health outcomes through treatment awareness. Louis et al. (2009) proposed that perceived behavioural control may directly or indirectly impact behaviour, with intentions playing a mediating role by reflecting actual controls that enhance an individual's capacity to act on their intentions. Various aspects of health behaviour, including eating habits, exercise routines, and health awareness, have been shown to benefit from the TPB, as it provides a framework for predicting dietary patterns and promoting positive health-related actions (Louis et al., 2009; Wang &amp; Wang, 2015). Trinh et al. (2012) introduced health belief as a latent variable within the TPB, suggesting its influence on intention, health behaviors (such as physical activity), and QoL (Päivi et al., 2010; Wasshenova, 2018; Villoria et al., 2006; Orji et al., 2012). Positive changes in participants' beliefs and intentions regarding AB management have the potential to enhance decision-making processes geared towards positively modifying behaviors to achieve the goal of improved symptom severity and reduced impact on QoL.</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The current study highlights a positive correlation between health beliefs (including attitude and perceived behavioural control) and social support. This underscores the interconnected nature of health beliefs in addressing AB through fostering the right attitude, building confidence or control over actions, and cultivating strong social support to achieve the desired intentions or behavioral changes (Abdullah et al., 2020; Lackner et al., 2010). The significance of belief systems and social support has been widely recognised in the literature, demonstrating improvements in health symptoms among different populations, such as older women, individuals with osteoporosis, those with eating disorders, diabetes, fatigue symptoms in multiple sclerosis, and mental health issues (Hirai et al., 2020; Wang et al., 2018). Research findings indicate that social support plays a pivotal role in influencing QoL through intentions and health beliefs (Fong et al., 2018). Furthermore, studies have shown direct relationships between intention and various factors like socio-demographics, accessibility, and emotional aspects toward social support (Lo et al., 2018; Jones et al., 2015). Lackner et al. (2010) also noted that patients with IBS who perceive low levels of social support tend to struggle with disease management and exhibit reduced intentions for self-management.</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In the final Structural Equation Modeling (SEM) analysis, a significant pathway between intention and overall AB severity was identified, with intention inversely related to general severity levels. This inverse relationship between intention and severity is not extensively documented in the literature, with only a few studies reporting similar findings (Kim et al., 2019; Riaz &amp; Khan, 2016). Health belief is consistently recognised as a crucial factor in influencing health-seeking behaviour (Prins et al., 2008). Zhang (2017) observed a more substantial reduction in anxiety and depression scores among participants in the Health Belief Model (HBM)-guided rehabilitation group compared to the conventional group. This highlights the potential of positive health beliefs to stimulate intentions for lifestyle changes that can effectively mitigate the impact of negative emotions, ultimately contributing to reduced severity and enhanced QoL.</w:t>
      </w:r>
    </w:p>
    <w:p>
      <w:pPr>
        <w:pStyle w:val="Normal1"/>
        <w:spacing w:before="0" w:after="0"/>
        <w:ind w:firstLine="720"/>
        <w:jc w:val="both"/>
        <w:rPr>
          <w:rFonts w:ascii="Times New Roman" w:hAnsi="Times New Roman" w:cs="Times New Roman"/>
          <w:sz w:val="24"/>
        </w:rPr>
      </w:pPr>
      <w:r>
        <w:rPr>
          <w:rFonts w:cs="Times New Roman" w:ascii="Times New Roman" w:hAnsi="Times New Roman"/>
          <w:sz w:val="24"/>
        </w:rPr>
        <w:t>The final model of the study revealed a reciprocal relationship between social support and general severity levels. It is hypothesised that individuals with robust social support networks possess the resilience and resources to overcome challenges effectively (Aghaei et al., 2016). Additionally, Lackner et al. (2010) suggested an inverse association between social support and severity, indicating that higher levels of social support were linked to reduced pain and perceived stress levels among patients with IBS. These findings resonate with similar results from previous studies (Lackner et al., 2010; Aghaei et al., 2016). General severity emerged as the primary factor influencing QoL, consistent with findings from multiple studies (Abdullah et al., 2021; Tuteja et al., 2008; Malagelada et al., 2017; Lacy &amp; Patel, 2017; Kanazawa et al., 2016). For instance, Tuteja et al. (2008) and Malagelada et al. (2017) reported a positive correlation between symptom severity and QoL in individuals with AB associated with functional gastrointestinal disorders. Similarly, Lacy &amp; Patel (2017) postulated that heightened severity of AB leads to a decrease in QoL and an increase in healthcare utilisation. These findings underscore the critical role of social support and symptom severity in influencing individuals' well-being and health outcomes. The reciprocal relationship between social support and severity, coupled with the substantial impact of general severity on QoL, highlights the interconnected nature of these factors in the context of managing and addressing AB.</w:t>
      </w:r>
    </w:p>
    <w:p>
      <w:pPr>
        <w:pStyle w:val="Normal1"/>
        <w:spacing w:before="0" w:after="0"/>
        <w:ind w:firstLine="720"/>
        <w:jc w:val="both"/>
        <w:rPr>
          <w:rFonts w:ascii="Times New Roman" w:hAnsi="Times New Roman" w:cs="Times New Roman"/>
          <w:sz w:val="24"/>
          <w:szCs w:val="24"/>
        </w:rPr>
      </w:pPr>
      <w:r>
        <w:rPr>
          <w:rFonts w:cs="Times New Roman" w:ascii="Times New Roman" w:hAnsi="Times New Roman"/>
          <w:sz w:val="24"/>
          <w:szCs w:val="24"/>
        </w:rPr>
        <w:t>The current study conducted among the hospital-community-based adult population in Kelantan aimed to comprehensively explore AB and successfully addressed all objectives regarding the interrelationships among the pertinent variables. The significant findings unearthed in this study provide valuable insights into the correlations among the variables under scrutiny. This knowledge offers a foundation for devising strategies to enhance QoL through various pathways, as illuminated by the study's results. For instance, rather than solely focusing on the impact of severity on QoL, the study suggests that fostering robust social support, enhancing health management practices, nurturing a positive attitude towards self-care coupled with resolute intentions, could potentially mitigate the negative effects of severity on QoL. These findings underscore the potential for intervention studies aimed at improving the management of AB, fostering healthier lifestyles, and boosting productivity. By increasing awareness of the implications of AB and exploring innovative technologies that can facilitate the treatment of AB in daily routines, there is an opportunity to enhance the well-being of individuals not only dealing with AB but also various other health conditions commonly discussed. It is crucial to disseminate accurate and beneficial information pertaining to AB to diverse audiences and instill positive beliefs to drive intentions for AB-improvement. However, it is essential to acknowledge the limitations of the study. Firstly, the recruitment of adult participants from a specific region within one country may limit the generalisability of the findings to the broader population. Additionally, the accuracy of the data analysis hinges on the thorough completion of questionnaires by the respondents, signifying a potential source of bias or error.</w:t>
      </w:r>
      <w:r>
        <w:rPr/>
        <w:t xml:space="preserve"> </w:t>
      </w:r>
      <w:r>
        <w:rPr>
          <w:rFonts w:cs="Times New Roman" w:ascii="Times New Roman" w:hAnsi="Times New Roman"/>
          <w:sz w:val="24"/>
          <w:szCs w:val="24"/>
        </w:rPr>
        <w:t>For future research endeavors, exploring the effects of guided imagery could be beneficial in fostering psychological well-being, promoting healthy behaviors, and enhancing QoL among individuals grappling with AB. These interventions may contribute to increased productivity and overall well-being of individuals dealing with AB-related challenges. By delving into the potential benefits of guided imagery and its impact on psychological health, behaviour modification, and QoL improvement for individuals coping with AB, future studies can further enrich our understanding and pave the way for tailored interventions to address the multifaceted aspects of AB management.</w:t>
      </w:r>
    </w:p>
    <w:p>
      <w:pPr>
        <w:pStyle w:val="Normal1"/>
        <w:spacing w:before="0" w:after="0"/>
        <w:jc w:val="both"/>
        <w:rPr>
          <w:rFonts w:ascii="Times New Roman" w:hAnsi="Times New Roman" w:cs="Times New Roman"/>
          <w:b/>
          <w:b/>
          <w:sz w:val="28"/>
        </w:rPr>
      </w:pPr>
      <w:r>
        <w:rPr>
          <w:rFonts w:cs="Times New Roman" w:ascii="Times New Roman" w:hAnsi="Times New Roman"/>
          <w:b/>
          <w:sz w:val="28"/>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t>Conclusions</w:t>
      </w:r>
    </w:p>
    <w:p>
      <w:pPr>
        <w:pStyle w:val="Para1"/>
        <w:spacing w:lineRule="auto" w:line="240"/>
        <w:rPr>
          <w:rFonts w:cs="Times New Roman"/>
        </w:rPr>
      </w:pPr>
      <w:r>
        <w:rPr>
          <w:rFonts w:cs="Times New Roman"/>
        </w:rPr>
        <w:t xml:space="preserve">The final SEM analysis revealed 15 statistically significant paths. Among these, direct effects were observed between TPB constructs, SS-bloat, HADS, BSQ-M, and BLQoL-M. Additionally, there were indirect effects noted between TPB constructs and behaviors, as well as symptom severity. These findings hold potential implications for health educators and healthcare providers, particularly in populations affected by AB, notably in Malaysia, aiming to enhance AB management. The empirical evidence generated from these significant paths underscores the importance of healthcare providers in implementing strategies to improve AB among individuals experiencing symptoms. These insights suggest the necessity for interventions and support systems to address AB effectively. </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b/>
          <w:b/>
          <w:sz w:val="28"/>
        </w:rPr>
      </w:pPr>
      <w:r>
        <w:rPr>
          <w:rFonts w:cs="Times New Roman" w:ascii="Times New Roman" w:hAnsi="Times New Roman"/>
          <w:b/>
          <w:sz w:val="28"/>
        </w:rPr>
        <w:t>Acknowledgements</w:t>
      </w:r>
    </w:p>
    <w:p>
      <w:pPr>
        <w:pStyle w:val="Normal1"/>
        <w:spacing w:before="0" w:after="0"/>
        <w:jc w:val="both"/>
        <w:rPr>
          <w:rFonts w:ascii="Times New Roman" w:hAnsi="Times New Roman" w:cs="Times New Roman"/>
          <w:sz w:val="24"/>
        </w:rPr>
      </w:pPr>
      <w:r>
        <w:rPr>
          <w:rFonts w:cs="Times New Roman" w:ascii="Times New Roman" w:hAnsi="Times New Roman"/>
          <w:sz w:val="24"/>
        </w:rPr>
        <w:t xml:space="preserve">We want to thank all the participants who volunteered and participated in the present study. We also want to convey our sincere gratitude to the staff in HUSM for their support and co-operation during the data collection. </w:t>
      </w:r>
    </w:p>
    <w:p>
      <w:pPr>
        <w:pStyle w:val="Normal1"/>
        <w:spacing w:lineRule="auto" w:line="410" w:before="160" w:after="180"/>
        <w:ind w:left="720" w:hanging="0"/>
        <w:jc w:val="both"/>
        <w:rPr>
          <w:rFonts w:ascii="Times New Roman" w:hAnsi="Times New Roman" w:cs="Times New Roman"/>
          <w:b/>
          <w:b/>
        </w:rPr>
      </w:pPr>
      <w:r>
        <w:rPr>
          <w:rFonts w:cs="Times New Roman" w:ascii="Times New Roman" w:hAnsi="Times New Roman"/>
          <w:b/>
        </w:rPr>
      </w:r>
    </w:p>
    <w:p>
      <w:pPr>
        <w:pStyle w:val="Normal1"/>
        <w:spacing w:before="0" w:after="0"/>
        <w:jc w:val="both"/>
        <w:rPr>
          <w:rFonts w:ascii="Times New Roman" w:hAnsi="Times New Roman" w:cs="Times New Roman"/>
          <w:b/>
          <w:b/>
          <w:sz w:val="28"/>
        </w:rPr>
      </w:pPr>
      <w:r>
        <mc:AlternateContent>
          <mc:Choice Requires="wps">
            <w:drawing>
              <wp:anchor behindDoc="0" distT="0" distB="0" distL="114300" distR="114300" simplePos="0" locked="0" layoutInCell="1" allowOverlap="1" relativeHeight="4" wp14:anchorId="056389B1">
                <wp:simplePos x="0" y="0"/>
                <wp:positionH relativeFrom="column">
                  <wp:posOffset>2743200</wp:posOffset>
                </wp:positionH>
                <wp:positionV relativeFrom="paragraph">
                  <wp:posOffset>-703580</wp:posOffset>
                </wp:positionV>
                <wp:extent cx="114935" cy="572135"/>
                <wp:effectExtent l="0" t="3175" r="0" b="0"/>
                <wp:wrapTight wrapText="bothSides">
                  <wp:wrapPolygon edited="0">
                    <wp:start x="0" y="0"/>
                    <wp:lineTo x="21600" y="0"/>
                    <wp:lineTo x="21600" y="21600"/>
                    <wp:lineTo x="0" y="21600"/>
                    <wp:lineTo x="0" y="0"/>
                  </wp:wrapPolygon>
                </wp:wrapTight>
                <wp:docPr id="1" name="Text Box 8"/>
                <a:graphic xmlns:a="http://schemas.openxmlformats.org/drawingml/2006/main">
                  <a:graphicData uri="http://schemas.microsoft.com/office/word/2010/wordprocessingShape">
                    <wps:wsp>
                      <wps:cNvSpPr/>
                      <wps:spPr>
                        <a:xfrm>
                          <a:off x="0" y="0"/>
                          <a:ext cx="114480" cy="571680"/>
                        </a:xfrm>
                        <a:prstGeom prst="rect">
                          <a:avLst/>
                        </a:prstGeom>
                        <a:noFill/>
                        <a:ln>
                          <a:noFill/>
                        </a:ln>
                      </wps:spPr>
                      <wps:style>
                        <a:lnRef idx="0"/>
                        <a:fillRef idx="0"/>
                        <a:effectRef idx="0"/>
                        <a:fontRef idx="minor"/>
                      </wps:style>
                      <wps:txbx>
                        <w:txbxContent>
                          <w:p>
                            <w:pPr>
                              <w:pStyle w:val="FrameContents"/>
                              <w:rPr/>
                            </w:pPr>
                            <w:r>
                              <w:rPr/>
                            </w:r>
                          </w:p>
                        </w:txbxContent>
                      </wps:txbx>
                      <wps:bodyPr tIns="91440" bIns="91440">
                        <a:noAutofit/>
                      </wps:bodyPr>
                    </wps:wsp>
                  </a:graphicData>
                </a:graphic>
              </wp:anchor>
            </w:drawing>
          </mc:Choice>
          <mc:Fallback>
            <w:pict>
              <v:rect id="shape_0" ID="Text Box 8" stroked="f" style="position:absolute;margin-left:216pt;margin-top:-55.4pt;width:8.95pt;height:44.95pt" wp14:anchorId="056389B1">
                <w10:wrap type="none"/>
                <v:fill o:detectmouseclick="t" on="false"/>
                <v:stroke color="#3465a4" joinstyle="round" endcap="flat"/>
                <v:textbox>
                  <w:txbxContent>
                    <w:p>
                      <w:pPr>
                        <w:pStyle w:val="FrameContents"/>
                        <w:rPr/>
                      </w:pPr>
                      <w:r>
                        <w:rPr/>
                      </w:r>
                    </w:p>
                  </w:txbxContent>
                </v:textbox>
              </v:rect>
            </w:pict>
          </mc:Fallback>
        </mc:AlternateContent>
      </w:r>
      <w:r>
        <w:rPr>
          <w:rFonts w:cs="Times New Roman" w:ascii="Times New Roman" w:hAnsi="Times New Roman"/>
          <w:b/>
          <w:sz w:val="28"/>
        </w:rPr>
        <w:t>References</w:t>
      </w:r>
    </w:p>
    <w:p>
      <w:pPr>
        <w:pStyle w:val="Normal1"/>
        <w:spacing w:before="0" w:after="0"/>
        <w:jc w:val="both"/>
        <w:rPr>
          <w:rFonts w:ascii="Times New Roman" w:hAnsi="Times New Roman" w:cs="Times New Roman"/>
          <w:sz w:val="24"/>
        </w:rPr>
      </w:pPr>
      <w:r>
        <w:rPr>
          <w:rFonts w:cs="Times New Roman" w:ascii="Times New Roman" w:hAnsi="Times New Roman"/>
          <w:sz w:val="24"/>
        </w:rPr>
        <w:t>1.</w:t>
        <w:tab/>
        <w:t>Abdullah, N., Kueh, Y.C., Kuan, G., &amp; Lee, Y.Y. 2021. Bloating experience among Malaysian. In Environmental Health in Malaysia, Edinur, H.A., Safuan, S., Abdullah, M.T. Nova Medicine &amp; Health. doi:10.52305/YAHR6834.</w:t>
      </w:r>
    </w:p>
    <w:p>
      <w:pPr>
        <w:pStyle w:val="Normal1"/>
        <w:spacing w:before="0" w:after="0"/>
        <w:jc w:val="both"/>
        <w:rPr>
          <w:rFonts w:ascii="Times New Roman" w:hAnsi="Times New Roman" w:cs="Times New Roman"/>
          <w:sz w:val="24"/>
        </w:rPr>
      </w:pPr>
      <w:r>
        <w:rPr>
          <w:rFonts w:cs="Times New Roman" w:ascii="Times New Roman" w:hAnsi="Times New Roman"/>
          <w:sz w:val="24"/>
        </w:rPr>
        <w:t>2.</w:t>
        <w:tab/>
        <w:t>Abdullah, N., Kueh, Y.C., Kuan, G., Wong, M.S., Yahaya, F.H., &amp; Lee, Y.Y. 2020. Validity and Reliability of the Newly Developed Malay-Language Health Belief of Bloating (HB-Bloat) Scale. IJERPH, 17, 2773.</w:t>
      </w:r>
    </w:p>
    <w:p>
      <w:pPr>
        <w:pStyle w:val="Normal1"/>
        <w:spacing w:before="0" w:after="0"/>
        <w:jc w:val="both"/>
        <w:rPr>
          <w:rFonts w:ascii="Times New Roman" w:hAnsi="Times New Roman" w:cs="Times New Roman"/>
          <w:sz w:val="24"/>
        </w:rPr>
      </w:pPr>
      <w:r>
        <w:rPr>
          <w:rFonts w:cs="Times New Roman" w:ascii="Times New Roman" w:hAnsi="Times New Roman"/>
          <w:sz w:val="24"/>
        </w:rPr>
        <w:t>3.</w:t>
        <w:tab/>
        <w:t>Abdullah, N., Kueh, Y.C., Kuan, G., Wong, M.S., Yahaya, F.H., Abd Samat, N.A., Zulkifli, K.K., &amp; Lee, Y.Y. 2021. Development and validation of the Bloating Health Promoting Behaviour (HPB-Bloat) scale. PeerJ.  9, e11444. doi:10.7717/peerj.11444.</w:t>
      </w:r>
    </w:p>
    <w:p>
      <w:pPr>
        <w:pStyle w:val="Normal1"/>
        <w:spacing w:before="0" w:after="0"/>
        <w:jc w:val="both"/>
        <w:rPr>
          <w:rFonts w:ascii="Times New Roman" w:hAnsi="Times New Roman" w:cs="Times New Roman"/>
          <w:sz w:val="24"/>
        </w:rPr>
      </w:pPr>
      <w:r>
        <w:rPr>
          <w:rFonts w:cs="Times New Roman" w:ascii="Times New Roman" w:hAnsi="Times New Roman"/>
          <w:sz w:val="24"/>
        </w:rPr>
        <w:t>4.</w:t>
        <w:tab/>
        <w:t>Abdullah, N., Kueh, Y.C., Kuan, G., Yahaya, F.H., &amp; Lee, Y.Y. 2021. Development and validation of the Abdominal Bloating Social Support (SS-Bloat) scale. Proceedings of YSN-ASM International Science Virtual Conference. Malaysia, 29th March -1st April.</w:t>
      </w:r>
    </w:p>
    <w:p>
      <w:pPr>
        <w:pStyle w:val="Normal1"/>
        <w:spacing w:before="0" w:after="0"/>
        <w:jc w:val="both"/>
        <w:rPr>
          <w:rFonts w:ascii="Times New Roman" w:hAnsi="Times New Roman" w:cs="Times New Roman"/>
          <w:sz w:val="24"/>
        </w:rPr>
      </w:pPr>
      <w:r>
        <w:rPr>
          <w:rFonts w:cs="Times New Roman" w:ascii="Times New Roman" w:hAnsi="Times New Roman"/>
          <w:sz w:val="24"/>
        </w:rPr>
        <w:t>5.</w:t>
        <w:tab/>
        <w:t>Aghaei, N., Karbandi, S., Gorji, M.H., Golkhatmi, M., &amp; Alizadeh, B. 2016. Social support in relation to fatigue symptoms among patients with multiple sclerosis. Indian J. Palliat. Care. 22(2), 163.</w:t>
      </w:r>
    </w:p>
    <w:p>
      <w:pPr>
        <w:pStyle w:val="Normal1"/>
        <w:spacing w:before="0" w:after="0"/>
        <w:jc w:val="both"/>
        <w:rPr>
          <w:rFonts w:ascii="Times New Roman" w:hAnsi="Times New Roman" w:cs="Times New Roman"/>
          <w:sz w:val="24"/>
        </w:rPr>
      </w:pPr>
      <w:r>
        <w:rPr>
          <w:rFonts w:cs="Times New Roman" w:ascii="Times New Roman" w:hAnsi="Times New Roman"/>
          <w:sz w:val="24"/>
        </w:rPr>
        <w:t>6.</w:t>
        <w:tab/>
        <w:t>Ajzen I. 2012. The theory of planned behavior. In Van Lange PAM, Kruglanski AW, Higgins ET (Eds.). Handbook of theories of social psychology. Sage Publications Ltd. 438–459.</w:t>
      </w:r>
    </w:p>
    <w:p>
      <w:pPr>
        <w:pStyle w:val="Normal1"/>
        <w:spacing w:before="0" w:after="0"/>
        <w:jc w:val="both"/>
        <w:rPr>
          <w:rFonts w:ascii="Times New Roman" w:hAnsi="Times New Roman" w:cs="Times New Roman"/>
          <w:sz w:val="24"/>
          <w:szCs w:val="24"/>
        </w:rPr>
      </w:pPr>
      <w:r>
        <w:rPr>
          <w:rFonts w:cs="Times New Roman" w:ascii="Times New Roman" w:hAnsi="Times New Roman"/>
          <w:sz w:val="24"/>
        </w:rPr>
        <w:t>7.</w:t>
        <w:tab/>
        <w:t xml:space="preserve">Azlan, W.A.W., Ramalingam, M., Razali, R., Abdullah, M.F., &amp; Rahman, F.N.A. 2020. Anxiety, depression and marital satisfaction in women with hyperemesis gravidarum: A comparative cross-sectional study in Hospital Tengku Ampuan Rahimah, Klang, Malaysia. Asia-Pac </w:t>
      </w:r>
      <w:r>
        <w:rPr>
          <w:rFonts w:cs="Times New Roman" w:ascii="Times New Roman" w:hAnsi="Times New Roman"/>
          <w:sz w:val="24"/>
          <w:szCs w:val="24"/>
        </w:rPr>
        <w:t>Psychiatry. e12416.</w:t>
      </w:r>
    </w:p>
    <w:p>
      <w:pPr>
        <w:pStyle w:val="Normal1"/>
        <w:spacing w:before="0" w:after="0"/>
        <w:jc w:val="both"/>
        <w:rPr>
          <w:rFonts w:ascii="Times New Roman" w:hAnsi="Times New Roman" w:cs="Times New Roman"/>
          <w:sz w:val="24"/>
          <w:szCs w:val="24"/>
        </w:rPr>
      </w:pPr>
      <w:r>
        <w:rPr>
          <w:rFonts w:cs="Times New Roman" w:ascii="Times New Roman" w:hAnsi="Times New Roman"/>
          <w:sz w:val="24"/>
          <w:szCs w:val="24"/>
        </w:rPr>
        <w:t>8.</w:t>
        <w:tab/>
        <w:t>Bai, Y. K., &amp; Dinour, L. M. (2017). Validation of a theory of planned behavior-based questionnaire to examine factors associated with milk expression. Journal of Human Lactation. 33(4), 658–665. doi:10.1177/0890334417695205</w:t>
      </w:r>
    </w:p>
    <w:p>
      <w:pPr>
        <w:pStyle w:val="Normal1"/>
        <w:spacing w:before="0" w:after="0"/>
        <w:jc w:val="both"/>
        <w:rPr>
          <w:rFonts w:ascii="Times New Roman" w:hAnsi="Times New Roman" w:cs="Times New Roman"/>
          <w:sz w:val="24"/>
        </w:rPr>
      </w:pPr>
      <w:r>
        <w:rPr>
          <w:rFonts w:cs="Times New Roman" w:ascii="Times New Roman" w:hAnsi="Times New Roman"/>
          <w:sz w:val="24"/>
        </w:rPr>
        <w:t xml:space="preserve">9. </w:t>
        <w:tab/>
        <w:t>Basnayake, C., Kamm, M., Stanley, A., Wilson-O'Brien, A., Burrell, K., Lees-Trinca, I., Khera, A., Kantidakis, J., Wong, O., Fox, K., Talley, N.J., Liew, D., Salzberg, M.R., &amp; Thompson, A.J. 2020. Standard gastroenterologist versus multidisciplinary treatment for functional gastrointestinal disorders (MANTRA): an open-label, single-centre, randomised controlled trial. Lancet Gastroenterol. Hepatol.. 5(10), 890–899. doi: 10.1016/S2468-1253(20)30215-6</w:t>
      </w:r>
    </w:p>
    <w:p>
      <w:pPr>
        <w:pStyle w:val="Normal1"/>
        <w:jc w:val="both"/>
        <w:rPr>
          <w:rFonts w:ascii="Times New Roman" w:hAnsi="Times New Roman" w:eastAsia="Georgia" w:cs="Times New Roman"/>
          <w:color w:val="282828"/>
          <w:sz w:val="24"/>
          <w:szCs w:val="24"/>
        </w:rPr>
      </w:pPr>
      <w:r>
        <w:rPr>
          <w:rFonts w:cs="Times New Roman" w:ascii="Times New Roman" w:hAnsi="Times New Roman"/>
          <w:sz w:val="24"/>
        </w:rPr>
        <w:t>10.</w:t>
        <w:tab/>
      </w:r>
      <w:r>
        <w:rPr>
          <w:rFonts w:eastAsia="Georgia" w:cs="Times New Roman" w:ascii="Times New Roman" w:hAnsi="Times New Roman"/>
          <w:color w:val="282828"/>
          <w:sz w:val="24"/>
          <w:szCs w:val="24"/>
        </w:rPr>
        <w:t xml:space="preserve">Cao, W., Fang, Z., Hou, G., Han, M., Xu, X., Dong, J., et al. (2020). The psychological impact of the COVID-19 epidemic on college students in China. </w:t>
      </w:r>
      <w:r>
        <w:rPr>
          <w:rFonts w:eastAsia="Helvetica" w:cs="Times New Roman" w:ascii="Times New Roman" w:hAnsi="Times New Roman"/>
          <w:color w:val="282828"/>
          <w:sz w:val="24"/>
          <w:szCs w:val="24"/>
        </w:rPr>
        <w:t>Psychiatry Res.</w:t>
      </w:r>
      <w:r>
        <w:rPr>
          <w:rFonts w:eastAsia="Georgia" w:cs="Times New Roman" w:ascii="Times New Roman" w:hAnsi="Times New Roman"/>
          <w:color w:val="282828"/>
          <w:sz w:val="24"/>
          <w:szCs w:val="24"/>
        </w:rPr>
        <w:t xml:space="preserve"> 287:112934. doi: 10.1016/j.psychres.2020.112934</w:t>
      </w:r>
    </w:p>
    <w:p>
      <w:pPr>
        <w:pStyle w:val="Normal1"/>
        <w:jc w:val="both"/>
        <w:rPr>
          <w:rFonts w:ascii="Times New Roman" w:hAnsi="Times New Roman" w:eastAsia="Georgia" w:cs="Times New Roman"/>
          <w:color w:val="282828"/>
          <w:sz w:val="24"/>
          <w:szCs w:val="24"/>
        </w:rPr>
      </w:pPr>
      <w:r>
        <w:rPr>
          <w:rFonts w:eastAsia="Georgia" w:cs="Times New Roman" w:ascii="Times New Roman" w:hAnsi="Times New Roman"/>
          <w:color w:val="282828"/>
          <w:sz w:val="24"/>
          <w:szCs w:val="24"/>
        </w:rPr>
        <w:t>11.</w:t>
        <w:tab/>
      </w:r>
      <w:r>
        <w:rPr>
          <w:rFonts w:cs="Times New Roman" w:ascii="Times New Roman" w:hAnsi="Times New Roman"/>
          <w:sz w:val="24"/>
        </w:rPr>
        <w:t>Chin, J.H., &amp; Mansori, S. 2019. Theory of Planned Behaviour and Health Belief Model: females' intention on breast cancer screening. Cogent. Psychol. 6(1), 1647927.</w:t>
      </w:r>
    </w:p>
    <w:p>
      <w:pPr>
        <w:pStyle w:val="Normal1"/>
        <w:spacing w:before="0" w:after="0"/>
        <w:jc w:val="both"/>
        <w:rPr>
          <w:rFonts w:ascii="Times New Roman" w:hAnsi="Times New Roman" w:cs="Times New Roman"/>
          <w:sz w:val="24"/>
        </w:rPr>
      </w:pPr>
      <w:r>
        <w:rPr>
          <w:rFonts w:cs="Times New Roman" w:ascii="Times New Roman" w:hAnsi="Times New Roman"/>
          <w:sz w:val="24"/>
        </w:rPr>
        <w:t>12.</w:t>
        <w:tab/>
        <w:t>Drossman, D.A 2006. The functional gastrointestinal disorders and the Rome III process. In Rome III: The functional gastrointestinal disorders, 3rd ed., Drossman, D.A., Corazziari, E., Delvaux, M. et al. McLean, VA: Degnon Associates, 1-30.</w:t>
      </w:r>
    </w:p>
    <w:p>
      <w:pPr>
        <w:pStyle w:val="Normal1"/>
        <w:spacing w:before="0" w:after="0"/>
        <w:jc w:val="both"/>
        <w:rPr>
          <w:rFonts w:ascii="Times New Roman" w:hAnsi="Times New Roman" w:cs="Times New Roman"/>
          <w:sz w:val="24"/>
        </w:rPr>
      </w:pPr>
      <w:r>
        <w:rPr>
          <w:rFonts w:cs="Times New Roman" w:ascii="Times New Roman" w:hAnsi="Times New Roman"/>
          <w:sz w:val="24"/>
        </w:rPr>
        <w:t>13.</w:t>
        <w:tab/>
        <w:t xml:space="preserve">Drossman, D.A. 2017. Improving the treatment of irritable bowel syndrome with the ROME IV multidimensional clinical profile. Gastroenterol. Hepatol. 13(11):694. </w:t>
      </w:r>
    </w:p>
    <w:p>
      <w:pPr>
        <w:pStyle w:val="Normal1"/>
        <w:spacing w:before="0" w:after="0"/>
        <w:jc w:val="both"/>
        <w:rPr>
          <w:rFonts w:ascii="Times New Roman" w:hAnsi="Times New Roman" w:cs="Times New Roman"/>
          <w:sz w:val="24"/>
        </w:rPr>
      </w:pPr>
      <w:r>
        <w:rPr>
          <w:rFonts w:cs="Times New Roman" w:ascii="Times New Roman" w:hAnsi="Times New Roman"/>
          <w:sz w:val="24"/>
        </w:rPr>
        <w:t>14.</w:t>
        <w:tab/>
        <w:t>Fong, L.H.N., Chui, P.M.W., Cheong, I.S.C., &amp; Fong, D.K.C. 2018. Moderating effects of social support on job stress and turnover intentions. J. Hosp. Mark. Manag. 27(7), 795–810.</w:t>
      </w:r>
    </w:p>
    <w:p>
      <w:pPr>
        <w:pStyle w:val="Normal1"/>
        <w:spacing w:before="0" w:after="0"/>
        <w:jc w:val="both"/>
        <w:rPr>
          <w:rFonts w:ascii="Times New Roman" w:hAnsi="Times New Roman" w:cs="Times New Roman"/>
          <w:sz w:val="24"/>
        </w:rPr>
      </w:pPr>
      <w:r>
        <w:rPr>
          <w:rFonts w:cs="Times New Roman" w:ascii="Times New Roman" w:hAnsi="Times New Roman"/>
          <w:sz w:val="24"/>
        </w:rPr>
        <w:t>15.</w:t>
        <w:tab/>
        <w:t>Hair, J.F., Black, W.C., Babin, B.J., &amp; Anderson, R.E. 2013. Multivariate data analysis. Pearson new international edition: Pearson Higher Ed.</w:t>
      </w:r>
    </w:p>
    <w:p>
      <w:pPr>
        <w:pStyle w:val="Normal1"/>
        <w:spacing w:before="0" w:after="0"/>
        <w:jc w:val="both"/>
        <w:rPr>
          <w:rFonts w:ascii="Times New Roman" w:hAnsi="Times New Roman" w:cs="Times New Roman"/>
          <w:sz w:val="24"/>
        </w:rPr>
      </w:pPr>
      <w:r>
        <w:rPr>
          <w:rFonts w:cs="Times New Roman" w:ascii="Times New Roman" w:hAnsi="Times New Roman"/>
          <w:sz w:val="24"/>
        </w:rPr>
        <w:t>16.</w:t>
        <w:tab/>
        <w:t>Hirai, M., Charak, R., Seligman, L.D., Hovey, J.D., &amp; Ruiz, J.M. 2020. An Association between perceived social support and posttraumatic stress symptom severity among women with lifetime sexual victimisation: The serial mediating role of resilience and coping. Violence Against Women. 26(15–16), 1966–1986.</w:t>
      </w:r>
    </w:p>
    <w:p>
      <w:pPr>
        <w:pStyle w:val="Normal1"/>
        <w:spacing w:before="0" w:after="0"/>
        <w:jc w:val="both"/>
        <w:rPr>
          <w:rFonts w:ascii="Times New Roman" w:hAnsi="Times New Roman" w:cs="Times New Roman"/>
          <w:sz w:val="24"/>
        </w:rPr>
      </w:pPr>
      <w:r>
        <w:rPr>
          <w:rFonts w:cs="Times New Roman" w:ascii="Times New Roman" w:hAnsi="Times New Roman"/>
          <w:sz w:val="24"/>
        </w:rPr>
        <w:t>17.</w:t>
        <w:tab/>
        <w:t>Jones, D.E., Greenberg, M., &amp; Crowley, M. 2015. Early social-emotional functioning and public health: The relationship between kindergarten social competence and future wellness. Am. J. Public Health. 105(11), 2283–2290.</w:t>
      </w:r>
    </w:p>
    <w:p>
      <w:pPr>
        <w:pStyle w:val="Normal1"/>
        <w:spacing w:before="0" w:after="0"/>
        <w:jc w:val="both"/>
        <w:rPr>
          <w:rFonts w:ascii="Times New Roman" w:hAnsi="Times New Roman" w:cs="Times New Roman"/>
          <w:sz w:val="24"/>
        </w:rPr>
      </w:pPr>
      <w:r>
        <w:rPr>
          <w:rFonts w:cs="Times New Roman" w:ascii="Times New Roman" w:hAnsi="Times New Roman"/>
          <w:sz w:val="24"/>
        </w:rPr>
        <w:t>18.</w:t>
        <w:tab/>
        <w:t>Kamboj, A.K., &amp; Oxentenko, A.S. 2018. Workup and management of bloating. Clin. Gastroentero. Hepatol. 16(7):1030–1033.</w:t>
      </w:r>
    </w:p>
    <w:p>
      <w:pPr>
        <w:pStyle w:val="Normal1"/>
        <w:spacing w:before="0" w:after="0"/>
        <w:jc w:val="both"/>
        <w:rPr>
          <w:rFonts w:ascii="Times New Roman" w:hAnsi="Times New Roman" w:cs="Times New Roman"/>
          <w:sz w:val="24"/>
        </w:rPr>
      </w:pPr>
      <w:r>
        <w:rPr>
          <w:rFonts w:cs="Times New Roman" w:ascii="Times New Roman" w:hAnsi="Times New Roman"/>
          <w:sz w:val="24"/>
        </w:rPr>
        <w:t>19.</w:t>
        <w:tab/>
        <w:t>Kanazawa, M., Miwa, H., Nakagawa, A., Kosako, M., Akiho, H., &amp; Fukudo, S. 2016. Abdominal bloating is the most bothersome symptom in irritable bowel syndrome with constipation (IBS-C): A large population-based Internet survey in Japan. Biopsychosoc. Med. 10(1):1–8. doi:10.1186/s13030-016-0070-8.</w:t>
      </w:r>
    </w:p>
    <w:p>
      <w:pPr>
        <w:pStyle w:val="Normal1"/>
        <w:spacing w:before="0" w:after="0"/>
        <w:jc w:val="both"/>
        <w:rPr>
          <w:rFonts w:ascii="Times New Roman" w:hAnsi="Times New Roman" w:cs="Times New Roman"/>
          <w:sz w:val="24"/>
        </w:rPr>
      </w:pPr>
      <w:r>
        <w:rPr>
          <w:rFonts w:cs="Times New Roman" w:ascii="Times New Roman" w:hAnsi="Times New Roman"/>
          <w:sz w:val="24"/>
        </w:rPr>
        <w:t>20.</w:t>
        <w:tab/>
        <w:t>Khan, P., Qayyum, N., Malik, F., Khan, T., Khan, M., &amp; Tahir, A. 2019. Incidence of anxiety and depression among patients with type 2 diabetes and the predicting factors. Cureus. 11(3), e4254. 10.7759/cureus.4254.</w:t>
      </w:r>
    </w:p>
    <w:p>
      <w:pPr>
        <w:pStyle w:val="Normal1"/>
        <w:spacing w:before="0" w:after="0"/>
        <w:jc w:val="both"/>
        <w:rPr>
          <w:rFonts w:ascii="Times New Roman" w:hAnsi="Times New Roman" w:cs="Times New Roman"/>
          <w:sz w:val="24"/>
        </w:rPr>
      </w:pPr>
      <w:r>
        <w:rPr>
          <w:rFonts w:cs="Times New Roman" w:ascii="Times New Roman" w:hAnsi="Times New Roman"/>
          <w:sz w:val="24"/>
        </w:rPr>
        <w:t>21.</w:t>
        <w:tab/>
        <w:t>Khoshoo, V., Armstead, C., &amp; Landry, L. 2006. Effect of a laxative with and without tegaserod in adolescents with constipation predominant irritable bowel syndrome. Aliment. Pharmacol. Ther. 23(1):191–196.</w:t>
      </w:r>
    </w:p>
    <w:p>
      <w:pPr>
        <w:pStyle w:val="Normal1"/>
        <w:spacing w:before="0" w:after="0"/>
        <w:jc w:val="both"/>
        <w:rPr>
          <w:rFonts w:ascii="Times New Roman" w:hAnsi="Times New Roman" w:cs="Times New Roman"/>
          <w:sz w:val="24"/>
        </w:rPr>
      </w:pPr>
      <w:r>
        <w:rPr>
          <w:rFonts w:cs="Times New Roman" w:ascii="Times New Roman" w:hAnsi="Times New Roman"/>
          <w:sz w:val="24"/>
        </w:rPr>
        <w:t>22.</w:t>
        <w:tab/>
        <w:t>Kim, H.W., Kim, S.E., Ahn, H.Y., Lee, E.J., Lee, J.L., Kang, S.Y., Kim, S.Y., Lee, Y.J., &amp; Kim, Y. 2019. Association of the perceived severity of the human papillomavirus with the preventive intention of hpv infection in male adolescents: A cross-sectional survey. J. Men's Health. 15(2), e50–e60. doi: 10.22374/jomh.v15i2.127</w:t>
      </w:r>
    </w:p>
    <w:p>
      <w:pPr>
        <w:pStyle w:val="Normal1"/>
        <w:spacing w:before="0" w:after="0"/>
        <w:jc w:val="both"/>
        <w:rPr>
          <w:rFonts w:ascii="Times New Roman" w:hAnsi="Times New Roman" w:cs="Times New Roman"/>
          <w:sz w:val="24"/>
        </w:rPr>
      </w:pPr>
      <w:r>
        <w:rPr>
          <w:rFonts w:cs="Times New Roman" w:ascii="Times New Roman" w:hAnsi="Times New Roman"/>
          <w:sz w:val="24"/>
        </w:rPr>
        <w:t>23.</w:t>
        <w:tab/>
        <w:t>Kline, R.B. 2011. Principles and practice of structural equation modeling. The Guilford Press:2011.</w:t>
      </w:r>
    </w:p>
    <w:p>
      <w:pPr>
        <w:pStyle w:val="Normal1"/>
        <w:spacing w:before="0" w:after="0"/>
        <w:jc w:val="both"/>
        <w:rPr>
          <w:rFonts w:ascii="Times New Roman" w:hAnsi="Times New Roman" w:cs="Times New Roman"/>
          <w:sz w:val="24"/>
        </w:rPr>
      </w:pPr>
      <w:r>
        <w:rPr>
          <w:rFonts w:cs="Times New Roman" w:ascii="Times New Roman" w:hAnsi="Times New Roman"/>
          <w:sz w:val="24"/>
        </w:rPr>
        <w:t>24.</w:t>
        <w:tab/>
        <w:t>Kueh, Y.C., Morris, T., &amp; Ismail, A. 2016. The effect of diabetes knowledge and attitudes on self-management and quality of life among people with type 2 diabetes. Psychol. Health Med. 10.1080/13548506.2016.1147055</w:t>
      </w:r>
    </w:p>
    <w:p>
      <w:pPr>
        <w:pStyle w:val="Normal1"/>
        <w:spacing w:before="0" w:after="0"/>
        <w:jc w:val="both"/>
        <w:rPr>
          <w:rFonts w:ascii="Times New Roman" w:hAnsi="Times New Roman" w:cs="Times New Roman"/>
          <w:sz w:val="24"/>
        </w:rPr>
      </w:pPr>
      <w:r>
        <w:rPr>
          <w:rFonts w:cs="Times New Roman" w:ascii="Times New Roman" w:hAnsi="Times New Roman"/>
          <w:sz w:val="24"/>
        </w:rPr>
        <w:t>25.</w:t>
        <w:tab/>
        <w:t>Lackner, J.M., Brasel, A.M., Quigley, B.M., Keefer, L., Krasner, S.S., Powell, C., Katz, L.A., &amp; Sitrin, M.D. 2010. The ties that bind: Perceived social support, stress, and IBS in severely affected patients. Neurogastroenterol. Motil. 22(8), 893–900. doi: 10.1111/j.1365-2982.2010.01516.x</w:t>
      </w:r>
    </w:p>
    <w:p>
      <w:pPr>
        <w:pStyle w:val="Normal1"/>
        <w:spacing w:before="0" w:after="0"/>
        <w:jc w:val="both"/>
        <w:rPr>
          <w:rFonts w:ascii="Times New Roman" w:hAnsi="Times New Roman" w:cs="Times New Roman"/>
          <w:sz w:val="24"/>
        </w:rPr>
      </w:pPr>
      <w:r>
        <w:rPr>
          <w:rFonts w:cs="Times New Roman" w:ascii="Times New Roman" w:hAnsi="Times New Roman"/>
          <w:sz w:val="24"/>
        </w:rPr>
        <w:t>26.</w:t>
        <w:tab/>
        <w:t>Lacy, B.E., &amp; Patel, N. 2017. Rome criteria and a diagnostic approach to irritable bowel syndrome. J. Clin. Med. 6(11): 99. doi:10.3390/jcm6110099.</w:t>
      </w:r>
    </w:p>
    <w:p>
      <w:pPr>
        <w:pStyle w:val="Normal1"/>
        <w:spacing w:before="0" w:after="0"/>
        <w:jc w:val="both"/>
        <w:rPr>
          <w:rFonts w:ascii="Times New Roman" w:hAnsi="Times New Roman" w:cs="Times New Roman"/>
          <w:sz w:val="24"/>
        </w:rPr>
      </w:pPr>
      <w:r>
        <w:rPr>
          <w:rFonts w:cs="Times New Roman" w:ascii="Times New Roman" w:hAnsi="Times New Roman"/>
          <w:sz w:val="24"/>
        </w:rPr>
        <w:t>27.</w:t>
        <w:tab/>
        <w:t>Levy, R.L., Olden, K.W., Naliboff, B.D., Bradley, L.A., Francisconi, C., Drossman, D.A., &amp; Creed, F. 2006. Psychosocial Aspects of the Functional Gastrointestinal Disorders. Gastroenterology. 130(5):1447–1458. doi:10.1053/j.gastro.2005.11.057</w:t>
      </w:r>
    </w:p>
    <w:p>
      <w:pPr>
        <w:pStyle w:val="Normal1"/>
        <w:spacing w:before="0" w:after="0"/>
        <w:jc w:val="both"/>
        <w:rPr>
          <w:rFonts w:ascii="Times New Roman" w:hAnsi="Times New Roman" w:cs="Times New Roman"/>
          <w:sz w:val="24"/>
        </w:rPr>
      </w:pPr>
      <w:r>
        <w:rPr>
          <w:rFonts w:cs="Times New Roman" w:ascii="Times New Roman" w:hAnsi="Times New Roman"/>
          <w:sz w:val="24"/>
        </w:rPr>
        <w:t>28.</w:t>
        <w:tab/>
        <w:t>Li, A.S.W., Figg, G., &amp; Schüz, B. 2019. Socioeconomic status and the prediction of health promoting dietary behaviours: a systematic review and meta‐analysis based on the theory of planned behaviour. Appl. Psychol. Health Well-Being. 11(3), 382–406.</w:t>
      </w:r>
    </w:p>
    <w:p>
      <w:pPr>
        <w:pStyle w:val="Normal1"/>
        <w:spacing w:before="0" w:after="0"/>
        <w:jc w:val="both"/>
        <w:rPr>
          <w:rFonts w:ascii="Times New Roman" w:hAnsi="Times New Roman" w:cs="Times New Roman"/>
          <w:sz w:val="24"/>
        </w:rPr>
      </w:pPr>
      <w:r>
        <w:rPr>
          <w:rFonts w:cs="Times New Roman" w:ascii="Times New Roman" w:hAnsi="Times New Roman"/>
          <w:sz w:val="24"/>
        </w:rPr>
        <w:t>29.</w:t>
        <w:tab/>
        <w:t>Lim, B.C., Kueh, Y.C., Arifin, W.N., &amp; Ng, K.H. 2021. Modelling knowledge, health beliefs, and health-promoting behaviours related to cardiovascular disease prevention among Malaysian university students. PLoS ONE. 16(4), e0250627. 10.1371/journal. pone.0250627</w:t>
      </w:r>
    </w:p>
    <w:p>
      <w:pPr>
        <w:pStyle w:val="Normal1"/>
        <w:spacing w:before="0" w:after="0"/>
        <w:jc w:val="both"/>
        <w:rPr>
          <w:rFonts w:ascii="Times New Roman" w:hAnsi="Times New Roman" w:cs="Times New Roman"/>
          <w:sz w:val="24"/>
        </w:rPr>
      </w:pPr>
      <w:r>
        <w:rPr>
          <w:rFonts w:cs="Times New Roman" w:ascii="Times New Roman" w:hAnsi="Times New Roman"/>
          <w:sz w:val="24"/>
        </w:rPr>
        <w:t>30.</w:t>
        <w:tab/>
        <w:t>Lo, J., Guo, C., &amp; Bradley, B. 2018. The buffer effect of receiving social support on SNS exhaustion and SNS satisfaction: an exploratory study of the lonely and emotionally unstable. Hawaii International Conference on System Sciences (HICSS-51). https://aisel.aisnet.org/hicss-51/dsm/dsm_and_communities/6. 2018. (Accessed June 2018)</w:t>
      </w:r>
    </w:p>
    <w:p>
      <w:pPr>
        <w:pStyle w:val="Normal1"/>
        <w:spacing w:before="0" w:after="0"/>
        <w:jc w:val="both"/>
        <w:rPr>
          <w:rFonts w:ascii="Times New Roman" w:hAnsi="Times New Roman" w:cs="Times New Roman"/>
          <w:sz w:val="24"/>
        </w:rPr>
      </w:pPr>
      <w:r>
        <w:rPr>
          <w:rFonts w:cs="Times New Roman" w:ascii="Times New Roman" w:hAnsi="Times New Roman"/>
          <w:sz w:val="24"/>
        </w:rPr>
        <w:t>31.</w:t>
        <w:tab/>
        <w:t xml:space="preserve">Louis, W.R., Chan, M.K-H., &amp; Greenbaum, S. 2009. Stress and the Theory of Planned Behavior: Understanding healthy and unhealthy eating intentions. J. Appl. Soc. Psychol. 39(2), 472–493. </w:t>
      </w:r>
    </w:p>
    <w:p>
      <w:pPr>
        <w:pStyle w:val="Normal1"/>
        <w:spacing w:before="0" w:after="0"/>
        <w:jc w:val="both"/>
        <w:rPr>
          <w:rFonts w:ascii="Times New Roman" w:hAnsi="Times New Roman" w:cs="Times New Roman"/>
          <w:sz w:val="24"/>
        </w:rPr>
      </w:pPr>
      <w:r>
        <w:rPr>
          <w:rFonts w:cs="Times New Roman" w:ascii="Times New Roman" w:hAnsi="Times New Roman"/>
          <w:sz w:val="24"/>
        </w:rPr>
        <w:t>32.</w:t>
        <w:tab/>
        <w:t>Mahd-Ab.lah, N., Kueh, Y.C., Kuan, G., Yahaya, F.H., Wong, M.S., Abd Samat, N.A., Hamid, N., Mohamad Nor, N., Whitehead, W.E., Thiwan, S.I., &amp; Lee, Y.Y. 2021. Validity and Reliability of the Malay Versions of Bloating Severity (BSQ-M) and Quality of Life (BLQoL-M). IJERPH, 18(5), 2487. doi: 10.3390/ijerph18052487</w:t>
      </w:r>
    </w:p>
    <w:p>
      <w:pPr>
        <w:pStyle w:val="Normal1"/>
        <w:spacing w:before="0" w:after="0"/>
        <w:jc w:val="both"/>
        <w:rPr>
          <w:rFonts w:ascii="Times New Roman" w:hAnsi="Times New Roman" w:cs="Times New Roman"/>
          <w:sz w:val="24"/>
        </w:rPr>
      </w:pPr>
      <w:r>
        <w:rPr>
          <w:rFonts w:cs="Times New Roman" w:ascii="Times New Roman" w:hAnsi="Times New Roman"/>
          <w:sz w:val="24"/>
        </w:rPr>
        <w:t>33.</w:t>
        <w:tab/>
        <w:t>Malagelada, J.R., Accarino, A., &amp; Azpiroz, F. 2017. Abdominal bloating and abdominal distension: Old misconceptions and current knowledge. Am. J. Gastroenterol, 112(8), 1221-31. doi:10.1038/ajg.2017.129.</w:t>
      </w:r>
    </w:p>
    <w:p>
      <w:pPr>
        <w:pStyle w:val="Normal1"/>
        <w:spacing w:before="0" w:after="0"/>
        <w:jc w:val="both"/>
        <w:rPr>
          <w:rFonts w:ascii="Times New Roman" w:hAnsi="Times New Roman" w:cs="Times New Roman"/>
          <w:sz w:val="24"/>
        </w:rPr>
      </w:pPr>
      <w:r>
        <w:rPr>
          <w:rFonts w:cs="Times New Roman" w:ascii="Times New Roman" w:hAnsi="Times New Roman"/>
          <w:sz w:val="24"/>
        </w:rPr>
        <w:t>34.</w:t>
        <w:tab/>
        <w:t>Mari, A., Abu Backer, F., Mahamid, M., Amanara, H., Carter, D., Boltin, D., &amp; Dickman, R. 2019. Bloating and Abdominal Distension: Clinical Approach and Management. Adv. Ther. 36, 1075–1084. doi:10.1007/s12325-019-00924-7</w:t>
      </w:r>
    </w:p>
    <w:p>
      <w:pPr>
        <w:pStyle w:val="Normal1"/>
        <w:spacing w:before="0" w:after="0"/>
        <w:jc w:val="both"/>
        <w:rPr>
          <w:rFonts w:ascii="Times New Roman" w:hAnsi="Times New Roman" w:cs="Times New Roman"/>
          <w:sz w:val="24"/>
        </w:rPr>
      </w:pPr>
      <w:r>
        <w:rPr>
          <w:rFonts w:cs="Times New Roman" w:ascii="Times New Roman" w:hAnsi="Times New Roman"/>
          <w:sz w:val="24"/>
        </w:rPr>
        <w:t>35.</w:t>
        <w:tab/>
        <w:t>Moeini, B., Barati, M., Hazavehei, S.M.M., Soltanian, A.R., Zareban, I., &amp; Mousali, A.M. 2017. Applying theory of planned behavior to predict condom use intention among Iranian substance users covered by addiction treatment centers. J. Subst. Use.17, 22(5), 511–515.</w:t>
      </w:r>
    </w:p>
    <w:p>
      <w:pPr>
        <w:pStyle w:val="Normal1"/>
        <w:spacing w:before="0" w:after="0"/>
        <w:jc w:val="both"/>
        <w:rPr>
          <w:rFonts w:ascii="Times New Roman" w:hAnsi="Times New Roman" w:cs="Times New Roman"/>
          <w:sz w:val="24"/>
        </w:rPr>
      </w:pPr>
      <w:r>
        <w:rPr>
          <w:rFonts w:cs="Times New Roman" w:ascii="Times New Roman" w:hAnsi="Times New Roman"/>
          <w:sz w:val="24"/>
        </w:rPr>
        <w:t>36.</w:t>
        <w:tab/>
        <w:t>Montazeri, A., Vahdaninia, M., Ebrahimi, M., &amp; Jarvandi, S. 2003. The Hospital Anxiety and Depression Scale (HADS): Translation and validation study of the Iranian version. Health Qual. Life Outcomes. 1, 14. 10.1186/1477-7525-1-14.</w:t>
      </w:r>
    </w:p>
    <w:p>
      <w:pPr>
        <w:pStyle w:val="Normal1"/>
        <w:spacing w:before="0" w:after="0"/>
        <w:jc w:val="both"/>
        <w:rPr>
          <w:rFonts w:ascii="Times New Roman" w:hAnsi="Times New Roman" w:cs="Times New Roman"/>
          <w:sz w:val="24"/>
        </w:rPr>
      </w:pPr>
      <w:r>
        <w:rPr>
          <w:rFonts w:cs="Times New Roman" w:ascii="Times New Roman" w:hAnsi="Times New Roman"/>
          <w:sz w:val="24"/>
        </w:rPr>
        <w:t>37.</w:t>
        <w:tab/>
        <w:t>Orji, R., Vassileva, J., &amp; Mandryk, R. 2012. Towards an effective health interventions design: An extension of the health belief model. Online J. Public Health Inform. 4(3). 10.5210/ojphi.v4i3.4321.</w:t>
      </w:r>
    </w:p>
    <w:p>
      <w:pPr>
        <w:pStyle w:val="Normal1"/>
        <w:spacing w:before="0" w:after="0"/>
        <w:jc w:val="both"/>
        <w:rPr>
          <w:rFonts w:ascii="Times New Roman" w:hAnsi="Times New Roman" w:cs="Times New Roman"/>
          <w:sz w:val="24"/>
        </w:rPr>
      </w:pPr>
      <w:r>
        <w:rPr>
          <w:rFonts w:cs="Times New Roman" w:ascii="Times New Roman" w:hAnsi="Times New Roman"/>
          <w:sz w:val="24"/>
        </w:rPr>
        <w:t>38.</w:t>
        <w:tab/>
        <w:t>Oudenhove, L., Crowell, M.D., Drossman, D. A., Halpert, A.D., Keefer, L., Lackner, J.M., Murphy, T.B., Naliboff, B.D., &amp; Levy, R.L. 2016. Biopsychosocial Aspects of Functional Gastrointestinal Disorders. Gastroenterology. S0016-5085(16)00218-3. doi:10.1053/j.gastro.2016.02.027</w:t>
      </w:r>
    </w:p>
    <w:p>
      <w:pPr>
        <w:pStyle w:val="Normal1"/>
        <w:spacing w:before="0" w:after="0"/>
        <w:jc w:val="both"/>
        <w:rPr>
          <w:rFonts w:ascii="Times New Roman" w:hAnsi="Times New Roman" w:cs="Times New Roman"/>
          <w:sz w:val="24"/>
        </w:rPr>
      </w:pPr>
      <w:r>
        <w:rPr>
          <w:rFonts w:cs="Times New Roman" w:ascii="Times New Roman" w:hAnsi="Times New Roman"/>
          <w:sz w:val="24"/>
        </w:rPr>
        <w:t>39.</w:t>
        <w:tab/>
        <w:t>Päivi, M., Mirja, H., &amp; Terttu, P. 2010. Changes in physical activity involvement and attitude to physical activity in a 16-year follow-up study among the elderly. J. Aging Res. 10.4061/2010/174290 (2010).</w:t>
      </w:r>
    </w:p>
    <w:p>
      <w:pPr>
        <w:pStyle w:val="Normal1"/>
        <w:spacing w:before="0" w:after="0"/>
        <w:jc w:val="both"/>
        <w:rPr>
          <w:rFonts w:ascii="Times New Roman" w:hAnsi="Times New Roman" w:cs="Times New Roman"/>
          <w:sz w:val="24"/>
        </w:rPr>
      </w:pPr>
      <w:r>
        <w:rPr>
          <w:rFonts w:cs="Times New Roman" w:ascii="Times New Roman" w:hAnsi="Times New Roman"/>
          <w:sz w:val="24"/>
        </w:rPr>
        <w:t>40.</w:t>
        <w:tab/>
        <w:t>Palsson, O.S., Thiwan, S., Whitehead, W., &amp; Turner, M. 2004. Development of a bloating questionnaire. Am. J. Gatroenterol. 99(S286).</w:t>
      </w:r>
    </w:p>
    <w:p>
      <w:pPr>
        <w:pStyle w:val="Normal1"/>
        <w:spacing w:before="0" w:after="0"/>
        <w:jc w:val="both"/>
        <w:rPr>
          <w:rFonts w:ascii="Times New Roman" w:hAnsi="Times New Roman" w:cs="Times New Roman"/>
          <w:sz w:val="24"/>
        </w:rPr>
      </w:pPr>
      <w:r>
        <w:rPr>
          <w:rFonts w:cs="Times New Roman" w:ascii="Times New Roman" w:hAnsi="Times New Roman"/>
          <w:sz w:val="24"/>
        </w:rPr>
        <w:t>41.</w:t>
        <w:tab/>
        <w:t>Prins, M.A., Verhaak, P.F.M., Bensing, J.M., &amp; van der Meer, K. 2008. Health beliefs and perceived need for mental health care of anxiety and depression-The patients' perspective explored. Clin.  Psychol. Rev. 28(6), 1038–1058.</w:t>
      </w:r>
    </w:p>
    <w:p>
      <w:pPr>
        <w:pStyle w:val="Normal1"/>
        <w:spacing w:before="0" w:after="0"/>
        <w:jc w:val="both"/>
        <w:rPr>
          <w:rFonts w:ascii="Times New Roman" w:hAnsi="Times New Roman" w:cs="Times New Roman"/>
          <w:sz w:val="24"/>
        </w:rPr>
      </w:pPr>
      <w:r>
        <w:rPr>
          <w:rFonts w:cs="Times New Roman" w:ascii="Times New Roman" w:hAnsi="Times New Roman"/>
          <w:sz w:val="24"/>
        </w:rPr>
        <w:t>42.</w:t>
        <w:tab/>
        <w:t>Riaz, Z., &amp; Khan, M.I. 2016. Impact of service failure severity and agreeableness on consumer switchover intention: Mediating role of consumer forgiveness. Asia Pacific J. Mark. Logist. 28(3), 420–434.</w:t>
      </w:r>
    </w:p>
    <w:p>
      <w:pPr>
        <w:pStyle w:val="Normal1"/>
        <w:spacing w:before="0" w:after="0"/>
        <w:jc w:val="both"/>
        <w:rPr>
          <w:rFonts w:ascii="Times New Roman" w:hAnsi="Times New Roman" w:cs="Times New Roman"/>
          <w:sz w:val="24"/>
        </w:rPr>
      </w:pPr>
      <w:r>
        <w:rPr>
          <w:rFonts w:cs="Times New Roman" w:ascii="Times New Roman" w:hAnsi="Times New Roman"/>
          <w:sz w:val="24"/>
        </w:rPr>
        <w:t>43.</w:t>
        <w:tab/>
        <w:t>Saghafi-Asl, M., Aliasgharzadeh, S., &amp; Asghari-Jafarabadi, M. 2020. Factors influencing weight management behavior among college students: An application of the Health Belief Model. PLoS ONE. 15(2). 10.1371/journal.pone.0228058.</w:t>
      </w:r>
    </w:p>
    <w:p>
      <w:pPr>
        <w:pStyle w:val="Normal1"/>
        <w:spacing w:before="0" w:after="0"/>
        <w:jc w:val="both"/>
        <w:rPr>
          <w:rFonts w:ascii="Times New Roman" w:hAnsi="Times New Roman" w:cs="Times New Roman"/>
          <w:sz w:val="24"/>
        </w:rPr>
      </w:pPr>
      <w:r>
        <w:rPr>
          <w:rFonts w:cs="Times New Roman" w:ascii="Times New Roman" w:hAnsi="Times New Roman"/>
          <w:sz w:val="24"/>
        </w:rPr>
        <w:t>44.</w:t>
        <w:tab/>
        <w:t>Schmulson, M.J., Drossman, D.A. 2017. What is new in Rome IV. J. Neurogastroenterol. Motil. 23(2):151–163. 10.5056/jnm16214</w:t>
      </w:r>
    </w:p>
    <w:p>
      <w:pPr>
        <w:pStyle w:val="Normal1"/>
        <w:spacing w:before="0" w:after="0"/>
        <w:jc w:val="both"/>
        <w:rPr>
          <w:rFonts w:ascii="Times New Roman" w:hAnsi="Times New Roman" w:cs="Times New Roman"/>
          <w:sz w:val="24"/>
        </w:rPr>
      </w:pPr>
      <w:r>
        <w:rPr>
          <w:rFonts w:cs="Times New Roman" w:ascii="Times New Roman" w:hAnsi="Times New Roman"/>
          <w:sz w:val="24"/>
        </w:rPr>
        <w:t>45.</w:t>
        <w:tab/>
        <w:t>Si, H., Shi, J., Tang, D., Wen, S., Miao, W., &amp; Duan, K. 2019. Application of the theory of planned behavior in environmental science: a comprehensive bibliometric analysis. IJERPH. 16(15). 10.3390/ijerph16152788.</w:t>
      </w:r>
    </w:p>
    <w:p>
      <w:pPr>
        <w:pStyle w:val="Normal1"/>
        <w:spacing w:before="0" w:after="0"/>
        <w:jc w:val="both"/>
        <w:rPr>
          <w:rFonts w:ascii="Times New Roman" w:hAnsi="Times New Roman" w:cs="Times New Roman"/>
          <w:sz w:val="24"/>
        </w:rPr>
      </w:pPr>
      <w:r>
        <w:rPr>
          <w:rFonts w:cs="Times New Roman" w:ascii="Times New Roman" w:hAnsi="Times New Roman"/>
          <w:sz w:val="24"/>
        </w:rPr>
        <w:t>46.</w:t>
        <w:tab/>
        <w:t>Snaith, R.P. 2003. The hospital anxiety and depression scale. Health Qual. Life Outcomes. 1(1), 29. doi:10.1186/1477-7525-1-29.</w:t>
      </w:r>
    </w:p>
    <w:p>
      <w:pPr>
        <w:pStyle w:val="Normal1"/>
        <w:jc w:val="both"/>
        <w:rPr>
          <w:rFonts w:ascii="Times New Roman" w:hAnsi="Times New Roman" w:cs="Times New Roman"/>
          <w:sz w:val="24"/>
          <w:szCs w:val="24"/>
        </w:rPr>
      </w:pPr>
      <w:r>
        <w:rPr>
          <w:rFonts w:cs="Times New Roman" w:ascii="Times New Roman" w:hAnsi="Times New Roman"/>
          <w:sz w:val="24"/>
        </w:rPr>
        <w:t>47.</w:t>
        <w:tab/>
      </w:r>
      <w:r>
        <w:rPr>
          <w:rFonts w:cs="Times New Roman" w:ascii="Times New Roman" w:hAnsi="Times New Roman"/>
          <w:color w:val="2A2A2A"/>
          <w:sz w:val="24"/>
          <w:szCs w:val="24"/>
          <w:shd w:fill="FFFFFF" w:val="clear"/>
        </w:rPr>
        <w:t>Stern, A.F. 2014. The Hospital Anxiety and Depression Scale,</w:t>
      </w:r>
      <w:r>
        <w:rPr>
          <w:rStyle w:val="Appleconvertedspace"/>
          <w:rFonts w:cs="Times New Roman" w:ascii="Times New Roman" w:hAnsi="Times New Roman"/>
          <w:color w:val="2A2A2A"/>
          <w:sz w:val="24"/>
          <w:szCs w:val="24"/>
          <w:shd w:fill="FFFFFF" w:val="clear"/>
        </w:rPr>
        <w:t> </w:t>
      </w:r>
      <w:r>
        <w:rPr>
          <w:rStyle w:val="Emphasis"/>
          <w:rFonts w:cs="Times New Roman" w:ascii="Times New Roman" w:hAnsi="Times New Roman"/>
          <w:i w:val="false"/>
          <w:iCs w:val="false"/>
          <w:color w:val="2A2A2A"/>
          <w:sz w:val="24"/>
          <w:szCs w:val="24"/>
        </w:rPr>
        <w:t>Occupational Medicine</w:t>
      </w:r>
      <w:r>
        <w:rPr>
          <w:rFonts w:cs="Times New Roman" w:ascii="Times New Roman" w:hAnsi="Times New Roman"/>
          <w:color w:val="2A2A2A"/>
          <w:sz w:val="24"/>
          <w:szCs w:val="24"/>
          <w:shd w:fill="FFFFFF" w:val="clear"/>
        </w:rPr>
        <w:t>. 64 (5), 393–394,</w:t>
      </w:r>
      <w:r>
        <w:rPr>
          <w:rStyle w:val="Appleconvertedspace"/>
          <w:rFonts w:cs="Times New Roman" w:ascii="Times New Roman" w:hAnsi="Times New Roman"/>
          <w:color w:val="2A2A2A"/>
          <w:sz w:val="24"/>
          <w:szCs w:val="24"/>
          <w:shd w:fill="FFFFFF" w:val="clear"/>
        </w:rPr>
        <w:t> </w:t>
      </w:r>
      <w:hyperlink r:id="rId2">
        <w:r>
          <w:rPr>
            <w:rStyle w:val="InternetLink"/>
            <w:rFonts w:cs="Times New Roman" w:ascii="Times New Roman" w:hAnsi="Times New Roman"/>
            <w:color w:val="006FB7"/>
            <w:sz w:val="24"/>
            <w:szCs w:val="24"/>
          </w:rPr>
          <w:t>https://doi.org/10.1093/occmed/kqu024</w:t>
        </w:r>
      </w:hyperlink>
      <w:r>
        <w:rPr>
          <w:rFonts w:cs="Times New Roman" w:ascii="Times New Roman" w:hAnsi="Times New Roman"/>
          <w:sz w:val="24"/>
          <w:szCs w:val="24"/>
        </w:rPr>
        <w:t>.</w:t>
      </w:r>
    </w:p>
    <w:p>
      <w:pPr>
        <w:pStyle w:val="Normal1"/>
        <w:spacing w:before="0" w:after="0"/>
        <w:jc w:val="both"/>
        <w:rPr>
          <w:rFonts w:ascii="Times New Roman" w:hAnsi="Times New Roman" w:cs="Times New Roman"/>
          <w:sz w:val="24"/>
        </w:rPr>
      </w:pPr>
      <w:r>
        <w:rPr>
          <w:rFonts w:cs="Times New Roman" w:ascii="Times New Roman" w:hAnsi="Times New Roman"/>
          <w:sz w:val="24"/>
        </w:rPr>
        <w:t xml:space="preserve">48. </w:t>
        <w:tab/>
        <w:t>Tanaka, Y., Kanazawa, M., Fukudo, S., &amp; Drossman, D.A. 2011. Biopsychosocial model of irritable bowel syndrome. J. Neurogastroenterol. Motil. 17(2): 131–139.</w:t>
      </w:r>
    </w:p>
    <w:p>
      <w:pPr>
        <w:pStyle w:val="Normal1"/>
        <w:spacing w:before="0" w:after="0"/>
        <w:jc w:val="both"/>
        <w:rPr>
          <w:rFonts w:ascii="Times New Roman" w:hAnsi="Times New Roman" w:cs="Times New Roman"/>
          <w:sz w:val="24"/>
        </w:rPr>
      </w:pPr>
      <w:r>
        <w:rPr>
          <w:rFonts w:cs="Times New Roman" w:ascii="Times New Roman" w:hAnsi="Times New Roman"/>
          <w:sz w:val="24"/>
        </w:rPr>
        <w:t>49.</w:t>
        <w:tab/>
        <w:t>Thiwan, S. 2019. Abdominal bloating: A Mysterious Symptom. Available online: https://www.med.unc.edu/ibs/files/educational-gi-handouts/Abdominal%20Bloating.pdf (accessed on 31 December 2019).</w:t>
      </w:r>
    </w:p>
    <w:p>
      <w:pPr>
        <w:pStyle w:val="Normal1"/>
        <w:spacing w:before="0" w:after="0"/>
        <w:jc w:val="both"/>
        <w:rPr>
          <w:rFonts w:ascii="Times New Roman" w:hAnsi="Times New Roman" w:cs="Times New Roman"/>
          <w:sz w:val="24"/>
        </w:rPr>
      </w:pPr>
      <w:r>
        <w:rPr>
          <w:rFonts w:cs="Times New Roman" w:ascii="Times New Roman" w:hAnsi="Times New Roman"/>
          <w:sz w:val="24"/>
        </w:rPr>
        <w:t>50.</w:t>
        <w:tab/>
        <w:t>Thiwan, S.M., Palsson, O.S., Turner, M.J., &amp; Whitehead, W.E. 2005. Responsiveness of the bloating severity Questionnaire (BLSQ). Gastroenterol. 128, A462.</w:t>
      </w:r>
    </w:p>
    <w:p>
      <w:pPr>
        <w:pStyle w:val="Normal1"/>
        <w:spacing w:before="0" w:after="0"/>
        <w:jc w:val="both"/>
        <w:rPr>
          <w:rFonts w:ascii="Times New Roman" w:hAnsi="Times New Roman" w:cs="Times New Roman"/>
          <w:sz w:val="24"/>
        </w:rPr>
      </w:pPr>
      <w:r>
        <w:rPr>
          <w:rFonts w:cs="Times New Roman" w:ascii="Times New Roman" w:hAnsi="Times New Roman"/>
          <w:sz w:val="24"/>
        </w:rPr>
        <w:t>51.</w:t>
        <w:tab/>
        <w:t xml:space="preserve">Thiwan, S.M., Whitehead, W.E., &amp; Palsson, O. 2004. Bloating severity questionnaire (BSQ). Available online at http://www.medpubinc.com/abfiles/AMS2004/AMS2004_100.PDF. </w:t>
      </w:r>
    </w:p>
    <w:p>
      <w:pPr>
        <w:pStyle w:val="Normal1"/>
        <w:spacing w:before="0" w:after="0"/>
        <w:jc w:val="both"/>
        <w:rPr>
          <w:rFonts w:ascii="Times New Roman" w:hAnsi="Times New Roman" w:cs="Times New Roman"/>
          <w:sz w:val="24"/>
        </w:rPr>
      </w:pPr>
      <w:r>
        <w:rPr>
          <w:rFonts w:cs="Times New Roman" w:ascii="Times New Roman" w:hAnsi="Times New Roman"/>
          <w:sz w:val="24"/>
        </w:rPr>
        <w:t>52.</w:t>
        <w:tab/>
        <w:t>Tominaga, K., Sakata, Y., Kusunoki, H., Odaka, T., Sakurai, K., Kawamura, O., Nagahara, A., Takeuchi, T., Fujikawa, Y., Oshima, T., Kato, M., Furuta, T., Murakami, K., Chiba, T., Miwa, H., Kinoshita, Y., Higuchi, K., Kusano, M., Iwakiri, R., Fujimoto, K., …  &amp; Arakawa, T. 2018. Rikkunshito simultaneously improves dyspepsia correlated with anxiety in patients with functional dyspepsia: A randomised clinical trial (the DREAM study). Neurogastroenterol Motil., 30(7), e13319. doi:10.1111/nmo.13319.</w:t>
      </w:r>
    </w:p>
    <w:p>
      <w:pPr>
        <w:pStyle w:val="Normal1"/>
        <w:spacing w:before="0" w:after="0"/>
        <w:jc w:val="both"/>
        <w:rPr>
          <w:rFonts w:ascii="Times New Roman" w:hAnsi="Times New Roman" w:cs="Times New Roman"/>
          <w:sz w:val="24"/>
        </w:rPr>
      </w:pPr>
      <w:r>
        <w:rPr>
          <w:rFonts w:cs="Times New Roman" w:ascii="Times New Roman" w:hAnsi="Times New Roman"/>
          <w:sz w:val="24"/>
        </w:rPr>
        <w:t>53.</w:t>
        <w:tab/>
        <w:t>Trinh, L., Plotnikoff, R.C., Rhodes, R.E., North, S., &amp; Courneya, K.S. 2012. Correlates of physical activity in a population-based sample of kidney cancer survivors: an application of the theory of planned behavior. IJBNPA. 9. 1.10.1186/1479-5868-9-96.</w:t>
      </w:r>
    </w:p>
    <w:p>
      <w:pPr>
        <w:pStyle w:val="Normal1"/>
        <w:spacing w:before="0" w:after="0"/>
        <w:jc w:val="both"/>
        <w:rPr>
          <w:rFonts w:ascii="Times New Roman" w:hAnsi="Times New Roman" w:cs="Times New Roman"/>
          <w:sz w:val="24"/>
        </w:rPr>
      </w:pPr>
      <w:r>
        <w:rPr>
          <w:rFonts w:cs="Times New Roman" w:ascii="Times New Roman" w:hAnsi="Times New Roman"/>
          <w:sz w:val="24"/>
        </w:rPr>
        <w:t>54.</w:t>
        <w:tab/>
        <w:t xml:space="preserve">Tuteja, A.K., Talley, N.J., Joos, S.K., Tolman, K.G., &amp; Hickam, D.H. 2008. Abdominal bloating in employed adults: Prevalence, risk factors, and association with other bowel disorders. Am. J. Gastroenterol. 103 (5), 1241–1248. doi:10.1111/j.1572-0241.2007.01755.x </w:t>
      </w:r>
    </w:p>
    <w:p>
      <w:pPr>
        <w:pStyle w:val="Normal1"/>
        <w:spacing w:before="0" w:after="0"/>
        <w:jc w:val="both"/>
        <w:rPr>
          <w:rFonts w:ascii="Times New Roman" w:hAnsi="Times New Roman" w:cs="Times New Roman"/>
          <w:sz w:val="24"/>
        </w:rPr>
      </w:pPr>
      <w:r>
        <w:rPr>
          <w:rFonts w:cs="Times New Roman" w:ascii="Times New Roman" w:hAnsi="Times New Roman"/>
          <w:sz w:val="24"/>
        </w:rPr>
        <w:t>55.</w:t>
        <w:tab/>
        <w:t>Uchendu, C., Windle, R., &amp; Blake, H. 2020. Perceived facilitators and barriers to Nigerian nurses' engagement in health promoting behaviors: a socio-ecological model approach. IJERPH.  17(4), 1314.</w:t>
      </w:r>
    </w:p>
    <w:p>
      <w:pPr>
        <w:pStyle w:val="Normal1"/>
        <w:spacing w:before="0" w:after="0"/>
        <w:jc w:val="both"/>
        <w:rPr>
          <w:rFonts w:ascii="Times New Roman" w:hAnsi="Times New Roman" w:cs="Times New Roman"/>
          <w:sz w:val="24"/>
        </w:rPr>
      </w:pPr>
      <w:r>
        <w:rPr>
          <w:rFonts w:cs="Times New Roman" w:ascii="Times New Roman" w:hAnsi="Times New Roman"/>
          <w:sz w:val="24"/>
        </w:rPr>
        <w:t>56.</w:t>
        <w:tab/>
        <w:t>Villoria, A., Serra, J., Azpiroz, F., &amp; Malagelada, J.R. 2006. Physical activity and intestinal gas clearance in patients with bloating. Am. J. Gastroenterol. 101(11), 2552–2557. doi:10.1111/j.1572-0241.2006.00873.x.</w:t>
      </w:r>
    </w:p>
    <w:p>
      <w:pPr>
        <w:pStyle w:val="Normal1"/>
        <w:spacing w:before="0" w:after="0"/>
        <w:jc w:val="both"/>
        <w:rPr>
          <w:rFonts w:ascii="Times New Roman" w:hAnsi="Times New Roman" w:cs="Times New Roman"/>
          <w:sz w:val="24"/>
        </w:rPr>
      </w:pPr>
      <w:r>
        <w:rPr>
          <w:rFonts w:cs="Times New Roman" w:ascii="Times New Roman" w:hAnsi="Times New Roman"/>
          <w:sz w:val="24"/>
        </w:rPr>
        <w:t>57.</w:t>
        <w:tab/>
        <w:t>Wang, J., Mann, F., Lloyd-Evans, B., Ma, R., &amp; Johnson, S. 2018. Associations between loneliness and perceived social support and outcomes of mental health problems: A systematic review. BMC Psychiatry. 18(1). 10.1186/s12888-018-1736-5.</w:t>
      </w:r>
    </w:p>
    <w:p>
      <w:pPr>
        <w:pStyle w:val="Normal1"/>
        <w:spacing w:before="0" w:after="0"/>
        <w:jc w:val="both"/>
        <w:rPr>
          <w:rFonts w:ascii="Times New Roman" w:hAnsi="Times New Roman" w:cs="Times New Roman"/>
          <w:sz w:val="24"/>
        </w:rPr>
      </w:pPr>
      <w:r>
        <w:rPr>
          <w:rFonts w:cs="Times New Roman" w:ascii="Times New Roman" w:hAnsi="Times New Roman"/>
          <w:sz w:val="24"/>
        </w:rPr>
        <w:t>58.</w:t>
        <w:tab/>
        <w:t>Wang, L., &amp; Wang, L. 2015. Using Theory of Planned Behavior to predict the physical activity of children: Probing gender differences. BioMed Res. Int. 10.1155/2015/536904.</w:t>
      </w:r>
    </w:p>
    <w:p>
      <w:pPr>
        <w:pStyle w:val="Normal1"/>
        <w:spacing w:before="0" w:after="0"/>
        <w:jc w:val="both"/>
        <w:rPr>
          <w:rFonts w:ascii="Times New Roman" w:hAnsi="Times New Roman" w:cs="Times New Roman"/>
          <w:sz w:val="24"/>
        </w:rPr>
      </w:pPr>
      <w:r>
        <w:rPr>
          <w:rFonts w:cs="Times New Roman" w:ascii="Times New Roman" w:hAnsi="Times New Roman"/>
          <w:sz w:val="24"/>
        </w:rPr>
        <w:t>59.</w:t>
        <w:tab/>
        <w:t>Wasshenova, E. Van. 2018. Experiential attitudes about physical activity in older adults. Doctor of Philosophy, The University of Toledo</w:t>
      </w:r>
    </w:p>
    <w:p>
      <w:pPr>
        <w:pStyle w:val="Normal1"/>
        <w:spacing w:before="0" w:after="0"/>
        <w:jc w:val="both"/>
        <w:rPr>
          <w:rFonts w:ascii="Times New Roman" w:hAnsi="Times New Roman" w:cs="Times New Roman"/>
          <w:sz w:val="24"/>
        </w:rPr>
      </w:pPr>
      <w:r>
        <w:rPr>
          <w:rFonts w:cs="Times New Roman" w:ascii="Times New Roman" w:hAnsi="Times New Roman"/>
          <w:sz w:val="24"/>
        </w:rPr>
        <w:t>60.</w:t>
        <w:tab/>
        <w:t xml:space="preserve">Yahaya, F., &amp; Othman, Z. 2015. Validation of the malay version of hospital anxiety and depression scale (HADS) in Hospital Universiti Sains Malaysia. Int. Med. J. 22(2), 80–82. http://eprints.usm.my/44323/1/IMJ 2015%3B22%282%2980-82 Validation HADS.pdf. </w:t>
      </w:r>
    </w:p>
    <w:p>
      <w:pPr>
        <w:pStyle w:val="Normal1"/>
        <w:spacing w:before="0" w:after="0"/>
        <w:jc w:val="both"/>
        <w:rPr>
          <w:rFonts w:ascii="Times New Roman" w:hAnsi="Times New Roman" w:cs="Times New Roman"/>
          <w:sz w:val="24"/>
        </w:rPr>
      </w:pPr>
      <w:r>
        <w:rPr>
          <w:rFonts w:cs="Times New Roman" w:ascii="Times New Roman" w:hAnsi="Times New Roman"/>
          <w:sz w:val="24"/>
        </w:rPr>
        <w:t>61.</w:t>
        <w:tab/>
        <w:t>Yousuf, A., Musa, R., Isa, M.L.M., &amp; Arifin, S.R.M. 2020. A validation study of the Hospital Anxiety and Depression Scale (HADS) in WLHIV.  Preprint: 10.21203/rs.3.rs-34238/v1.</w:t>
      </w:r>
    </w:p>
    <w:p>
      <w:pPr>
        <w:pStyle w:val="Normal1"/>
        <w:spacing w:before="0" w:after="0"/>
        <w:jc w:val="both"/>
        <w:rPr>
          <w:rFonts w:ascii="Times New Roman" w:hAnsi="Times New Roman" w:cs="Times New Roman"/>
          <w:sz w:val="24"/>
        </w:rPr>
      </w:pPr>
      <w:r>
        <w:rPr>
          <w:rFonts w:cs="Times New Roman" w:ascii="Times New Roman" w:hAnsi="Times New Roman"/>
          <w:sz w:val="24"/>
        </w:rPr>
        <w:t>62.</w:t>
        <w:tab/>
        <w:t>Yuan, K-H., &amp; Bentler, P.M. 2000. Three likelihood-based methods for mean and covariance structure analysis with nonnormal missing data. Sociol. Methodol. 2000, 30(1), 165-200.</w:t>
      </w:r>
    </w:p>
    <w:p>
      <w:pPr>
        <w:pStyle w:val="Normal1"/>
        <w:spacing w:before="0" w:after="0"/>
        <w:jc w:val="both"/>
        <w:rPr>
          <w:rFonts w:ascii="Times New Roman" w:hAnsi="Times New Roman" w:cs="Times New Roman"/>
          <w:sz w:val="24"/>
        </w:rPr>
      </w:pPr>
      <w:r>
        <w:rPr>
          <w:rFonts w:cs="Times New Roman" w:ascii="Times New Roman" w:hAnsi="Times New Roman"/>
          <w:sz w:val="24"/>
        </w:rPr>
        <w:t>63.</w:t>
        <w:tab/>
        <w:t>Zhang, M. 2017. Effect of HBM rehabilitation exercises on depression, anxiety and health belief in elderly patients with osteoporotic fracture. Psychiatr. Danub. 29(4), 466–472.</w:t>
      </w:r>
    </w:p>
    <w:p>
      <w:pPr>
        <w:pStyle w:val="Normal"/>
        <w:shd w:val="clear" w:color="auto" w:fill="FEFEFE"/>
        <w:spacing w:lineRule="atLeast" w:line="360"/>
        <w:jc w:val="both"/>
        <w:rPr>
          <w:rFonts w:ascii="Times New Roman" w:hAnsi="Times New Roman" w:eastAsia="Times New Roman" w:cs="Times New Roman"/>
          <w:color w:val="000000" w:themeColor="text1"/>
          <w:sz w:val="24"/>
          <w:szCs w:val="24"/>
          <w:lang w:eastAsia="en-GB"/>
        </w:rPr>
      </w:pPr>
      <w:r>
        <w:rPr>
          <w:rFonts w:eastAsia="Times New Roman" w:cs="Times New Roman" w:ascii="Times New Roman" w:hAnsi="Times New Roman"/>
          <w:color w:val="000000" w:themeColor="text1"/>
          <w:sz w:val="24"/>
          <w:szCs w:val="24"/>
          <w:lang w:eastAsia="en-GB"/>
        </w:rPr>
        <w:t>64.</w:t>
        <w:tab/>
        <w:t>Zigmond A.S., &amp; Snaith R.P. 1983. The Hospital Anxiety and Depression Scale. Acta Psychiatr Scand. 67:361–370.</w:t>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
        <w:shd w:val="clear" w:color="auto" w:fill="FEFEFE"/>
        <w:spacing w:lineRule="atLeast" w:line="360"/>
        <w:jc w:val="both"/>
        <w:rPr>
          <w:rFonts w:ascii="Times New Roman" w:hAnsi="Times New Roman" w:eastAsia="Times New Roman" w:cs="Times New Roman"/>
          <w:color w:val="000000" w:themeColor="text1"/>
          <w:lang w:eastAsia="en-GB"/>
        </w:rPr>
      </w:pPr>
      <w:r>
        <w:rPr>
          <w:rFonts w:eastAsia="Times New Roman" w:cs="Times New Roman" w:ascii="Times New Roman" w:hAnsi="Times New Roman"/>
          <w:color w:val="000000" w:themeColor="text1"/>
          <w:lang w:eastAsia="en-GB"/>
        </w:rPr>
      </w:r>
    </w:p>
    <w:p>
      <w:pPr>
        <w:pStyle w:val="Normal1"/>
        <w:spacing w:before="0" w:after="0"/>
        <w:jc w:val="both"/>
        <w:rPr>
          <w:rFonts w:ascii="Times New Roman" w:hAnsi="Times New Roman" w:cs="Times New Roman"/>
          <w:sz w:val="24"/>
        </w:rPr>
      </w:pPr>
      <w:r>
        <w:rPr>
          <w:rFonts w:cs="Times New Roman" w:ascii="Times New Roman" w:hAnsi="Times New Roman"/>
          <w:sz w:val="24"/>
        </w:rPr>
      </w:r>
    </w:p>
    <w:p>
      <w:pPr>
        <w:pStyle w:val="Normal"/>
        <w:rPr/>
      </w:pPr>
      <w:r>
        <w:rPr/>
      </w:r>
      <w:r>
        <w:br w:type="page"/>
      </w:r>
    </w:p>
    <w:p>
      <w:pPr>
        <w:pStyle w:val="Normal"/>
        <w:rPr/>
      </w:pPr>
      <w:r>
        <w:rPr/>
        <w:t>[[TABLE ID="table-1"]]</w:t>
      </w:r>
    </w:p>
    <w:p>
      <w:pPr>
        <w:pStyle w:val="Tabletitle"/>
        <w:jc w:val="both"/>
        <w:rPr/>
      </w:pPr>
      <w:r>
        <w:rPr/>
        <w:t>Table 1. Findings of fitness tests for model 1 to model 4 (n=323).</w:t>
      </w:r>
    </w:p>
    <w:tbl>
      <w:tblPr>
        <w:tblStyle w:val="TableGrid11211"/>
        <w:tblW w:w="5000" w:type="pct"/>
        <w:jc w:val="left"/>
        <w:tblInd w:w="0" w:type="dxa"/>
        <w:tblCellMar>
          <w:top w:w="0" w:type="dxa"/>
          <w:left w:w="108" w:type="dxa"/>
          <w:bottom w:w="0" w:type="dxa"/>
          <w:right w:w="108" w:type="dxa"/>
        </w:tblCellMar>
        <w:tblLook w:val="04a0" w:noHBand="0" w:noVBand="1" w:firstColumn="1" w:lastRow="0" w:lastColumn="0" w:firstRow="1"/>
      </w:tblPr>
      <w:tblGrid>
        <w:gridCol w:w="1467"/>
        <w:gridCol w:w="2348"/>
        <w:gridCol w:w="2001"/>
        <w:gridCol w:w="1151"/>
        <w:gridCol w:w="1151"/>
        <w:gridCol w:w="1241"/>
      </w:tblGrid>
      <w:tr>
        <w:trPr>
          <w:trHeight w:val="144" w:hRule="atLeast"/>
        </w:trPr>
        <w:tc>
          <w:tcPr>
            <w:tcW w:w="1467" w:type="dxa"/>
            <w:tcBorders>
              <w:left w:val="nil"/>
              <w:right w:val="nil"/>
            </w:tcBorders>
            <w:vAlign w:val="center"/>
          </w:tcPr>
          <w:p>
            <w:pPr>
              <w:pStyle w:val="Normal"/>
              <w:spacing w:lineRule="auto" w:line="240" w:before="0" w:after="0"/>
              <w:contextualSpacing/>
              <w:jc w:val="both"/>
              <w:rPr>
                <w:bCs/>
              </w:rPr>
            </w:pPr>
            <w:r>
              <w:rPr>
                <w:bCs/>
                <w:lang w:val="en-US"/>
              </w:rPr>
              <w:t>Model</w:t>
            </w:r>
          </w:p>
        </w:tc>
        <w:tc>
          <w:tcPr>
            <w:tcW w:w="2348" w:type="dxa"/>
            <w:tcBorders>
              <w:left w:val="nil"/>
              <w:right w:val="nil"/>
            </w:tcBorders>
            <w:vAlign w:val="center"/>
          </w:tcPr>
          <w:p>
            <w:pPr>
              <w:pStyle w:val="Normal"/>
              <w:spacing w:lineRule="auto" w:line="240" w:before="0" w:after="0"/>
              <w:contextualSpacing/>
              <w:jc w:val="both"/>
              <w:rPr>
                <w:bCs/>
              </w:rPr>
            </w:pPr>
            <w:r>
              <w:rPr>
                <w:bCs/>
                <w:lang w:val="en-US"/>
              </w:rPr>
              <w:t>RMSEA(90%CI)</w:t>
            </w:r>
          </w:p>
        </w:tc>
        <w:tc>
          <w:tcPr>
            <w:tcW w:w="2001" w:type="dxa"/>
            <w:tcBorders>
              <w:left w:val="nil"/>
              <w:right w:val="nil"/>
            </w:tcBorders>
            <w:vAlign w:val="center"/>
          </w:tcPr>
          <w:p>
            <w:pPr>
              <w:pStyle w:val="Normal"/>
              <w:spacing w:lineRule="auto" w:line="240" w:before="0" w:after="0"/>
              <w:contextualSpacing/>
              <w:jc w:val="both"/>
              <w:rPr>
                <w:bCs/>
              </w:rPr>
            </w:pPr>
            <w:r>
              <w:rPr>
                <w:bCs/>
                <w:lang w:val="en-US"/>
              </w:rPr>
              <w:t>RMSEA p-value</w:t>
            </w:r>
          </w:p>
        </w:tc>
        <w:tc>
          <w:tcPr>
            <w:tcW w:w="1151" w:type="dxa"/>
            <w:tcBorders>
              <w:left w:val="nil"/>
              <w:right w:val="nil"/>
            </w:tcBorders>
            <w:vAlign w:val="center"/>
          </w:tcPr>
          <w:p>
            <w:pPr>
              <w:pStyle w:val="Normal"/>
              <w:spacing w:lineRule="auto" w:line="240" w:before="0" w:after="0"/>
              <w:contextualSpacing/>
              <w:jc w:val="both"/>
              <w:rPr>
                <w:bCs/>
              </w:rPr>
            </w:pPr>
            <w:r>
              <w:rPr>
                <w:bCs/>
                <w:lang w:val="en-US"/>
              </w:rPr>
              <w:t>CFI</w:t>
            </w:r>
          </w:p>
        </w:tc>
        <w:tc>
          <w:tcPr>
            <w:tcW w:w="1151" w:type="dxa"/>
            <w:tcBorders>
              <w:left w:val="nil"/>
              <w:right w:val="nil"/>
            </w:tcBorders>
            <w:vAlign w:val="center"/>
          </w:tcPr>
          <w:p>
            <w:pPr>
              <w:pStyle w:val="Normal"/>
              <w:spacing w:lineRule="auto" w:line="240" w:before="0" w:after="0"/>
              <w:contextualSpacing/>
              <w:jc w:val="both"/>
              <w:rPr>
                <w:bCs/>
              </w:rPr>
            </w:pPr>
            <w:r>
              <w:rPr>
                <w:bCs/>
                <w:lang w:val="en-US"/>
              </w:rPr>
              <w:t>TLI</w:t>
            </w:r>
          </w:p>
        </w:tc>
        <w:tc>
          <w:tcPr>
            <w:tcW w:w="1241" w:type="dxa"/>
            <w:tcBorders>
              <w:left w:val="nil"/>
              <w:right w:val="nil"/>
            </w:tcBorders>
            <w:vAlign w:val="center"/>
          </w:tcPr>
          <w:p>
            <w:pPr>
              <w:pStyle w:val="Normal"/>
              <w:spacing w:lineRule="auto" w:line="240" w:before="0" w:after="0"/>
              <w:contextualSpacing/>
              <w:jc w:val="both"/>
              <w:rPr>
                <w:bCs/>
              </w:rPr>
            </w:pPr>
            <w:r>
              <w:rPr>
                <w:bCs/>
                <w:lang w:val="en-US"/>
              </w:rPr>
              <w:t>SRMR</w:t>
            </w:r>
          </w:p>
        </w:tc>
      </w:tr>
      <w:tr>
        <w:trPr>
          <w:trHeight w:val="144" w:hRule="atLeast"/>
        </w:trPr>
        <w:tc>
          <w:tcPr>
            <w:tcW w:w="1467" w:type="dxa"/>
            <w:tcBorders>
              <w:top w:val="nil"/>
              <w:left w:val="nil"/>
              <w:bottom w:val="nil"/>
              <w:right w:val="nil"/>
            </w:tcBorders>
          </w:tcPr>
          <w:p>
            <w:pPr>
              <w:pStyle w:val="Normal"/>
              <w:spacing w:lineRule="auto" w:line="240" w:before="0" w:after="0"/>
              <w:contextualSpacing/>
              <w:jc w:val="both"/>
              <w:rPr>
                <w:bCs/>
              </w:rPr>
            </w:pPr>
            <w:r>
              <w:rPr>
                <w:bCs/>
                <w:lang w:val="en-US"/>
              </w:rPr>
              <w:t>Model 1</w:t>
            </w:r>
          </w:p>
        </w:tc>
        <w:tc>
          <w:tcPr>
            <w:tcW w:w="2348" w:type="dxa"/>
            <w:tcBorders>
              <w:top w:val="nil"/>
              <w:left w:val="nil"/>
              <w:bottom w:val="nil"/>
              <w:right w:val="nil"/>
            </w:tcBorders>
          </w:tcPr>
          <w:p>
            <w:pPr>
              <w:pStyle w:val="Normal"/>
              <w:spacing w:lineRule="auto" w:line="240" w:before="0" w:after="0"/>
              <w:contextualSpacing/>
              <w:jc w:val="both"/>
              <w:rPr>
                <w:bCs/>
              </w:rPr>
            </w:pPr>
            <w:r>
              <w:rPr>
                <w:bCs/>
                <w:lang w:val="en-US"/>
              </w:rPr>
              <w:t>0.060(0.057,0.063)</w:t>
            </w:r>
          </w:p>
        </w:tc>
        <w:tc>
          <w:tcPr>
            <w:tcW w:w="2001" w:type="dxa"/>
            <w:tcBorders>
              <w:top w:val="nil"/>
              <w:left w:val="nil"/>
              <w:bottom w:val="nil"/>
              <w:right w:val="nil"/>
            </w:tcBorders>
          </w:tcPr>
          <w:p>
            <w:pPr>
              <w:pStyle w:val="Normal"/>
              <w:spacing w:lineRule="auto" w:line="240" w:before="0" w:after="0"/>
              <w:contextualSpacing/>
              <w:jc w:val="both"/>
              <w:rPr>
                <w:bCs/>
              </w:rPr>
            </w:pPr>
            <w:r>
              <w:rPr>
                <w:bCs/>
                <w:lang w:val="en-US"/>
              </w:rPr>
              <w:t>&lt;0.001</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0.757</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0.742</w:t>
            </w:r>
          </w:p>
        </w:tc>
        <w:tc>
          <w:tcPr>
            <w:tcW w:w="1241" w:type="dxa"/>
            <w:tcBorders>
              <w:top w:val="nil"/>
              <w:left w:val="nil"/>
              <w:bottom w:val="nil"/>
              <w:right w:val="nil"/>
            </w:tcBorders>
          </w:tcPr>
          <w:p>
            <w:pPr>
              <w:pStyle w:val="Normal"/>
              <w:spacing w:lineRule="auto" w:line="240" w:before="0" w:after="0"/>
              <w:contextualSpacing/>
              <w:jc w:val="both"/>
              <w:rPr>
                <w:bCs/>
              </w:rPr>
            </w:pPr>
            <w:r>
              <w:rPr>
                <w:bCs/>
                <w:lang w:val="en-US"/>
              </w:rPr>
              <w:t>0.094</w:t>
            </w:r>
          </w:p>
        </w:tc>
      </w:tr>
      <w:tr>
        <w:trPr>
          <w:trHeight w:val="144" w:hRule="atLeast"/>
        </w:trPr>
        <w:tc>
          <w:tcPr>
            <w:tcW w:w="1467" w:type="dxa"/>
            <w:tcBorders>
              <w:top w:val="nil"/>
              <w:left w:val="nil"/>
              <w:bottom w:val="nil"/>
              <w:right w:val="nil"/>
            </w:tcBorders>
          </w:tcPr>
          <w:p>
            <w:pPr>
              <w:pStyle w:val="Normal"/>
              <w:spacing w:lineRule="auto" w:line="240" w:before="0" w:after="0"/>
              <w:contextualSpacing/>
              <w:jc w:val="both"/>
              <w:rPr>
                <w:bCs/>
              </w:rPr>
            </w:pPr>
            <w:r>
              <w:rPr>
                <w:bCs/>
                <w:lang w:val="en-US"/>
              </w:rPr>
              <w:t>Model 2</w:t>
            </w:r>
          </w:p>
        </w:tc>
        <w:tc>
          <w:tcPr>
            <w:tcW w:w="2348" w:type="dxa"/>
            <w:tcBorders>
              <w:top w:val="nil"/>
              <w:left w:val="nil"/>
              <w:bottom w:val="nil"/>
              <w:right w:val="nil"/>
            </w:tcBorders>
          </w:tcPr>
          <w:p>
            <w:pPr>
              <w:pStyle w:val="Normal"/>
              <w:spacing w:lineRule="auto" w:line="240" w:before="0" w:after="0"/>
              <w:contextualSpacing/>
              <w:jc w:val="both"/>
              <w:rPr>
                <w:bCs/>
              </w:rPr>
            </w:pPr>
            <w:r>
              <w:rPr>
                <w:bCs/>
                <w:lang w:val="en-US"/>
              </w:rPr>
              <w:t>0.079(0.074,0.084)</w:t>
            </w:r>
          </w:p>
        </w:tc>
        <w:tc>
          <w:tcPr>
            <w:tcW w:w="2001" w:type="dxa"/>
            <w:tcBorders>
              <w:top w:val="nil"/>
              <w:left w:val="nil"/>
              <w:bottom w:val="nil"/>
              <w:right w:val="nil"/>
            </w:tcBorders>
          </w:tcPr>
          <w:p>
            <w:pPr>
              <w:pStyle w:val="Normal"/>
              <w:spacing w:lineRule="auto" w:line="240" w:before="0" w:after="0"/>
              <w:contextualSpacing/>
              <w:jc w:val="both"/>
              <w:rPr>
                <w:bCs/>
              </w:rPr>
            </w:pPr>
            <w:r>
              <w:rPr>
                <w:bCs/>
                <w:lang w:val="en-US"/>
              </w:rPr>
              <w:t>&lt; 0.001</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0.761</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0.735</w:t>
            </w:r>
          </w:p>
        </w:tc>
        <w:tc>
          <w:tcPr>
            <w:tcW w:w="1241" w:type="dxa"/>
            <w:tcBorders>
              <w:top w:val="nil"/>
              <w:left w:val="nil"/>
              <w:bottom w:val="nil"/>
              <w:right w:val="nil"/>
            </w:tcBorders>
          </w:tcPr>
          <w:p>
            <w:pPr>
              <w:pStyle w:val="Normal"/>
              <w:spacing w:lineRule="auto" w:line="240" w:before="0" w:after="0"/>
              <w:contextualSpacing/>
              <w:jc w:val="both"/>
              <w:rPr>
                <w:bCs/>
              </w:rPr>
            </w:pPr>
            <w:r>
              <w:rPr>
                <w:bCs/>
                <w:lang w:val="en-US"/>
              </w:rPr>
              <w:t>0.131</w:t>
            </w:r>
          </w:p>
        </w:tc>
      </w:tr>
      <w:tr>
        <w:trPr>
          <w:trHeight w:val="144" w:hRule="atLeast"/>
        </w:trPr>
        <w:tc>
          <w:tcPr>
            <w:tcW w:w="1467" w:type="dxa"/>
            <w:tcBorders>
              <w:top w:val="nil"/>
              <w:left w:val="nil"/>
              <w:bottom w:val="nil"/>
              <w:right w:val="nil"/>
            </w:tcBorders>
          </w:tcPr>
          <w:p>
            <w:pPr>
              <w:pStyle w:val="Normal"/>
              <w:spacing w:lineRule="auto" w:line="240" w:before="0" w:after="0"/>
              <w:contextualSpacing/>
              <w:jc w:val="both"/>
              <w:rPr>
                <w:bCs/>
              </w:rPr>
            </w:pPr>
            <w:r>
              <w:rPr>
                <w:bCs/>
                <w:lang w:val="en-US"/>
              </w:rPr>
              <w:t>Model 3</w:t>
            </w:r>
          </w:p>
        </w:tc>
        <w:tc>
          <w:tcPr>
            <w:tcW w:w="2348" w:type="dxa"/>
            <w:tcBorders>
              <w:top w:val="nil"/>
              <w:left w:val="nil"/>
              <w:bottom w:val="nil"/>
              <w:right w:val="nil"/>
            </w:tcBorders>
          </w:tcPr>
          <w:p>
            <w:pPr>
              <w:pStyle w:val="Normal"/>
              <w:spacing w:lineRule="auto" w:line="240" w:before="0" w:after="0"/>
              <w:contextualSpacing/>
              <w:jc w:val="both"/>
              <w:rPr>
                <w:bCs/>
              </w:rPr>
            </w:pPr>
            <w:r>
              <w:rPr>
                <w:bCs/>
                <w:lang w:val="en-US"/>
              </w:rPr>
              <w:t>0.069(0.063,0.075)</w:t>
            </w:r>
          </w:p>
        </w:tc>
        <w:tc>
          <w:tcPr>
            <w:tcW w:w="2001" w:type="dxa"/>
            <w:tcBorders>
              <w:top w:val="nil"/>
              <w:left w:val="nil"/>
              <w:bottom w:val="nil"/>
              <w:right w:val="nil"/>
            </w:tcBorders>
          </w:tcPr>
          <w:p>
            <w:pPr>
              <w:pStyle w:val="Normal"/>
              <w:spacing w:lineRule="auto" w:line="240" w:before="0" w:after="0"/>
              <w:contextualSpacing/>
              <w:jc w:val="both"/>
              <w:rPr>
                <w:bCs/>
              </w:rPr>
            </w:pPr>
            <w:r>
              <w:rPr>
                <w:bCs/>
                <w:lang w:val="en-US"/>
              </w:rPr>
              <w:t>&lt;0.001</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0.846</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0.827</w:t>
            </w:r>
          </w:p>
        </w:tc>
        <w:tc>
          <w:tcPr>
            <w:tcW w:w="1241" w:type="dxa"/>
            <w:tcBorders>
              <w:top w:val="nil"/>
              <w:left w:val="nil"/>
              <w:bottom w:val="nil"/>
              <w:right w:val="nil"/>
            </w:tcBorders>
          </w:tcPr>
          <w:p>
            <w:pPr>
              <w:pStyle w:val="Normal"/>
              <w:spacing w:lineRule="auto" w:line="240" w:before="0" w:after="0"/>
              <w:contextualSpacing/>
              <w:jc w:val="both"/>
              <w:rPr>
                <w:bCs/>
              </w:rPr>
            </w:pPr>
            <w:r>
              <w:rPr>
                <w:bCs/>
                <w:lang w:val="en-US"/>
              </w:rPr>
              <w:t>0.139</w:t>
            </w:r>
          </w:p>
        </w:tc>
      </w:tr>
      <w:tr>
        <w:trPr>
          <w:trHeight w:val="144" w:hRule="atLeast"/>
        </w:trPr>
        <w:tc>
          <w:tcPr>
            <w:tcW w:w="1467" w:type="dxa"/>
            <w:tcBorders>
              <w:top w:val="nil"/>
              <w:left w:val="nil"/>
              <w:right w:val="nil"/>
            </w:tcBorders>
          </w:tcPr>
          <w:p>
            <w:pPr>
              <w:pStyle w:val="Normal"/>
              <w:spacing w:lineRule="auto" w:line="240" w:before="0" w:after="0"/>
              <w:contextualSpacing/>
              <w:jc w:val="both"/>
              <w:rPr>
                <w:bCs/>
              </w:rPr>
            </w:pPr>
            <w:r>
              <w:rPr>
                <w:bCs/>
                <w:lang w:val="en-US"/>
              </w:rPr>
              <w:t>Model 4</w:t>
            </w:r>
          </w:p>
        </w:tc>
        <w:tc>
          <w:tcPr>
            <w:tcW w:w="2348" w:type="dxa"/>
            <w:tcBorders>
              <w:top w:val="nil"/>
              <w:left w:val="nil"/>
              <w:right w:val="nil"/>
            </w:tcBorders>
          </w:tcPr>
          <w:p>
            <w:pPr>
              <w:pStyle w:val="Normal"/>
              <w:spacing w:lineRule="auto" w:line="240" w:before="0" w:after="0"/>
              <w:contextualSpacing/>
              <w:jc w:val="both"/>
              <w:rPr>
                <w:bCs/>
              </w:rPr>
            </w:pPr>
            <w:r>
              <w:rPr>
                <w:bCs/>
                <w:lang w:val="en-US"/>
              </w:rPr>
              <w:t>0.048(0.041,0.054)</w:t>
            </w:r>
          </w:p>
        </w:tc>
        <w:tc>
          <w:tcPr>
            <w:tcW w:w="2001" w:type="dxa"/>
            <w:tcBorders>
              <w:top w:val="nil"/>
              <w:left w:val="nil"/>
              <w:right w:val="nil"/>
            </w:tcBorders>
          </w:tcPr>
          <w:p>
            <w:pPr>
              <w:pStyle w:val="Normal"/>
              <w:spacing w:lineRule="auto" w:line="240" w:before="0" w:after="0"/>
              <w:contextualSpacing/>
              <w:jc w:val="both"/>
              <w:rPr>
                <w:bCs/>
              </w:rPr>
            </w:pPr>
            <w:r>
              <w:rPr>
                <w:bCs/>
                <w:lang w:val="en-US"/>
              </w:rPr>
              <w:t>0.714</w:t>
            </w:r>
          </w:p>
        </w:tc>
        <w:tc>
          <w:tcPr>
            <w:tcW w:w="1151" w:type="dxa"/>
            <w:tcBorders>
              <w:top w:val="nil"/>
              <w:left w:val="nil"/>
              <w:right w:val="nil"/>
            </w:tcBorders>
          </w:tcPr>
          <w:p>
            <w:pPr>
              <w:pStyle w:val="Normal"/>
              <w:spacing w:lineRule="auto" w:line="240" w:before="0" w:after="0"/>
              <w:contextualSpacing/>
              <w:jc w:val="both"/>
              <w:rPr>
                <w:bCs/>
              </w:rPr>
            </w:pPr>
            <w:r>
              <w:rPr>
                <w:bCs/>
                <w:lang w:val="en-US"/>
              </w:rPr>
              <w:t>0.922</w:t>
            </w:r>
          </w:p>
        </w:tc>
        <w:tc>
          <w:tcPr>
            <w:tcW w:w="1151" w:type="dxa"/>
            <w:tcBorders>
              <w:top w:val="nil"/>
              <w:left w:val="nil"/>
              <w:right w:val="nil"/>
            </w:tcBorders>
          </w:tcPr>
          <w:p>
            <w:pPr>
              <w:pStyle w:val="Normal"/>
              <w:spacing w:lineRule="auto" w:line="240" w:before="0" w:after="0"/>
              <w:contextualSpacing/>
              <w:jc w:val="both"/>
              <w:rPr>
                <w:bCs/>
              </w:rPr>
            </w:pPr>
            <w:r>
              <w:rPr>
                <w:bCs/>
                <w:lang w:val="en-US"/>
              </w:rPr>
              <w:t>0.908</w:t>
            </w:r>
          </w:p>
        </w:tc>
        <w:tc>
          <w:tcPr>
            <w:tcW w:w="1241" w:type="dxa"/>
            <w:tcBorders>
              <w:top w:val="nil"/>
              <w:left w:val="nil"/>
              <w:right w:val="nil"/>
            </w:tcBorders>
          </w:tcPr>
          <w:p>
            <w:pPr>
              <w:pStyle w:val="Normal"/>
              <w:spacing w:lineRule="auto" w:line="240" w:before="0" w:after="0"/>
              <w:contextualSpacing/>
              <w:jc w:val="both"/>
              <w:rPr>
                <w:bCs/>
              </w:rPr>
            </w:pPr>
            <w:r>
              <w:rPr>
                <w:bCs/>
                <w:lang w:val="en-US"/>
              </w:rPr>
              <w:t>0.064</w:t>
            </w:r>
          </w:p>
        </w:tc>
      </w:tr>
    </w:tbl>
    <w:p>
      <w:pPr>
        <w:pStyle w:val="Normal"/>
        <w:spacing w:lineRule="auto" w:line="240"/>
        <w:jc w:val="both"/>
        <w:rPr>
          <w:rFonts w:eastAsia="Calibri"/>
          <w:bCs/>
          <w:sz w:val="22"/>
          <w:szCs w:val="22"/>
        </w:rPr>
      </w:pPr>
      <w:r>
        <w:rPr>
          <w:rFonts w:eastAsia="Calibri"/>
          <w:bCs/>
          <w:sz w:val="22"/>
          <w:szCs w:val="22"/>
        </w:rPr>
        <w:t>Note: RMSEA =Root mean square error of approximation, RMSEA p-value = Probability of RMSEA ≤ 0.05, SRMR = standardised Root Means Square Residual, TLI = Tucker Lewis Index, CFI = Comparative Fit Index., Model 1-original model with all observed and latent variables based on hypothesis, Model 2-model with two parcel domain for health belief and health-promoting behaviour, Model 3- model with only significant paths (all insignificant path were removed), Model 4- final model with only significant path (hypothesised and additional path) and additional correlation between residual.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t>[[/TABLE ID="table-1"]]</w:t>
      </w:r>
    </w:p>
    <w:p>
      <w:pPr>
        <w:pStyle w:val="Normal"/>
        <w:rPr/>
      </w:pPr>
      <w:r>
        <w:rPr/>
        <w:t>[[TABLE ID="table-2"]]</w:t>
      </w:r>
    </w:p>
    <w:p>
      <w:pPr>
        <w:pStyle w:val="Normal"/>
        <w:jc w:val="both"/>
        <w:rPr/>
      </w:pPr>
      <w:r>
        <w:rPr/>
        <w:t>Table 2. Paths relationship of the final model (Model 4, n=323).</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076"/>
        <w:gridCol w:w="3246"/>
        <w:gridCol w:w="1522"/>
        <w:gridCol w:w="1395"/>
        <w:gridCol w:w="1121"/>
      </w:tblGrid>
      <w:tr>
        <w:trPr>
          <w:trHeight w:val="271" w:hRule="atLeast"/>
        </w:trPr>
        <w:tc>
          <w:tcPr>
            <w:tcW w:w="2076"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Relationship</w:t>
            </w:r>
          </w:p>
        </w:tc>
        <w:tc>
          <w:tcPr>
            <w:tcW w:w="3246" w:type="dxa"/>
            <w:tcBorders>
              <w:top w:val="single" w:sz="4" w:space="0" w:color="000000"/>
              <w:bottom w:val="single" w:sz="4" w:space="0" w:color="000000"/>
            </w:tcBorders>
          </w:tcPr>
          <w:p>
            <w:pPr>
              <w:pStyle w:val="Normal"/>
              <w:spacing w:lineRule="auto" w:line="240"/>
              <w:jc w:val="both"/>
              <w:rPr>
                <w:rFonts w:eastAsia="Calibri"/>
                <w:bCs/>
                <w:lang w:eastAsia="en-US"/>
              </w:rPr>
            </w:pPr>
            <w:r>
              <w:rPr>
                <w:rFonts w:eastAsia="Calibri"/>
                <w:bCs/>
                <w:lang w:eastAsia="en-US"/>
              </w:rPr>
              <w:t xml:space="preserve">Standardised regression coefficient, </w:t>
            </w:r>
          </w:p>
          <w:p>
            <w:pPr>
              <w:pStyle w:val="Normal"/>
              <w:spacing w:lineRule="auto" w:line="240"/>
              <w:jc w:val="both"/>
              <w:rPr>
                <w:rFonts w:eastAsia="Calibri"/>
                <w:bCs/>
              </w:rPr>
            </w:pPr>
            <w:r>
              <w:rPr>
                <w:rFonts w:eastAsia="Calibri"/>
                <w:bCs/>
              </w:rPr>
              <w:t>β(95%CI)</w:t>
            </w:r>
          </w:p>
        </w:tc>
        <w:tc>
          <w:tcPr>
            <w:tcW w:w="1522"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CR</w:t>
            </w:r>
          </w:p>
        </w:tc>
        <w:tc>
          <w:tcPr>
            <w:tcW w:w="1395"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SE</w:t>
            </w:r>
          </w:p>
        </w:tc>
        <w:tc>
          <w:tcPr>
            <w:tcW w:w="1121"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p-value</w:t>
            </w:r>
          </w:p>
        </w:tc>
      </w:tr>
      <w:tr>
        <w:trPr>
          <w:trHeight w:val="271" w:hRule="atLeast"/>
        </w:trPr>
        <w:tc>
          <w:tcPr>
            <w:tcW w:w="2076"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I1  </w:t>
            </w:r>
          </w:p>
        </w:tc>
        <w:tc>
          <w:tcPr>
            <w:tcW w:w="3246" w:type="dxa"/>
            <w:tcBorders/>
          </w:tcPr>
          <w:p>
            <w:pPr>
              <w:pStyle w:val="Normal"/>
              <w:spacing w:lineRule="auto" w:line="240"/>
              <w:jc w:val="both"/>
              <w:rPr>
                <w:rFonts w:eastAsia="Calibri"/>
                <w:bCs/>
              </w:rPr>
            </w:pPr>
            <w:r>
              <w:rPr>
                <w:rFonts w:eastAsia="Calibri"/>
                <w:bCs/>
              </w:rPr>
              <w:t>0.25(0.01,0.40)</w:t>
            </w:r>
          </w:p>
        </w:tc>
        <w:tc>
          <w:tcPr>
            <w:tcW w:w="1522" w:type="dxa"/>
            <w:tcBorders/>
          </w:tcPr>
          <w:p>
            <w:pPr>
              <w:pStyle w:val="Normal"/>
              <w:spacing w:lineRule="auto" w:line="240"/>
              <w:jc w:val="both"/>
              <w:rPr>
                <w:rFonts w:eastAsia="Calibri"/>
                <w:bCs/>
              </w:rPr>
            </w:pPr>
            <w:r>
              <w:rPr>
                <w:rFonts w:eastAsia="Calibri"/>
                <w:bCs/>
              </w:rPr>
              <w:t>3.18</w:t>
            </w:r>
          </w:p>
        </w:tc>
        <w:tc>
          <w:tcPr>
            <w:tcW w:w="1395" w:type="dxa"/>
            <w:tcBorders/>
          </w:tcPr>
          <w:p>
            <w:pPr>
              <w:pStyle w:val="Normal"/>
              <w:spacing w:lineRule="auto" w:line="240"/>
              <w:jc w:val="both"/>
              <w:rPr>
                <w:rFonts w:eastAsia="Calibri"/>
                <w:bCs/>
              </w:rPr>
            </w:pPr>
            <w:r>
              <w:rPr>
                <w:rFonts w:eastAsia="Calibri"/>
                <w:bCs/>
              </w:rPr>
              <w:t>0.08</w:t>
            </w:r>
          </w:p>
        </w:tc>
        <w:tc>
          <w:tcPr>
            <w:tcW w:w="1121" w:type="dxa"/>
            <w:tcBorders/>
          </w:tcPr>
          <w:p>
            <w:pPr>
              <w:pStyle w:val="Normal"/>
              <w:spacing w:lineRule="auto" w:line="240"/>
              <w:jc w:val="both"/>
              <w:rPr>
                <w:rFonts w:eastAsia="Calibri"/>
                <w:bCs/>
              </w:rPr>
            </w:pPr>
            <w:r>
              <w:rPr>
                <w:rFonts w:eastAsia="Calibri"/>
                <w:bCs/>
              </w:rPr>
              <w:t>0.001</w:t>
            </w:r>
          </w:p>
        </w:tc>
      </w:tr>
      <w:tr>
        <w:trPr>
          <w:trHeight w:val="271" w:hRule="atLeast"/>
        </w:trPr>
        <w:tc>
          <w:tcPr>
            <w:tcW w:w="2076"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I1  </w:t>
            </w:r>
          </w:p>
        </w:tc>
        <w:tc>
          <w:tcPr>
            <w:tcW w:w="3246" w:type="dxa"/>
            <w:tcBorders/>
          </w:tcPr>
          <w:p>
            <w:pPr>
              <w:pStyle w:val="Normal"/>
              <w:spacing w:lineRule="auto" w:line="240"/>
              <w:jc w:val="both"/>
              <w:rPr>
                <w:rFonts w:eastAsia="Calibri"/>
                <w:bCs/>
              </w:rPr>
            </w:pPr>
            <w:r>
              <w:rPr>
                <w:rFonts w:eastAsia="Calibri"/>
                <w:bCs/>
              </w:rPr>
              <w:t>0.42(0.28,0.57)</w:t>
            </w:r>
          </w:p>
        </w:tc>
        <w:tc>
          <w:tcPr>
            <w:tcW w:w="1522" w:type="dxa"/>
            <w:tcBorders/>
          </w:tcPr>
          <w:p>
            <w:pPr>
              <w:pStyle w:val="Normal"/>
              <w:spacing w:lineRule="auto" w:line="240"/>
              <w:jc w:val="both"/>
              <w:rPr>
                <w:rFonts w:eastAsia="Calibri"/>
                <w:bCs/>
              </w:rPr>
            </w:pPr>
            <w:r>
              <w:rPr>
                <w:rFonts w:eastAsia="Calibri"/>
                <w:bCs/>
              </w:rPr>
              <w:t>5.68</w:t>
            </w:r>
          </w:p>
        </w:tc>
        <w:tc>
          <w:tcPr>
            <w:tcW w:w="1395" w:type="dxa"/>
            <w:tcBorders/>
          </w:tcPr>
          <w:p>
            <w:pPr>
              <w:pStyle w:val="Normal"/>
              <w:spacing w:lineRule="auto" w:line="240"/>
              <w:jc w:val="both"/>
              <w:rPr>
                <w:rFonts w:eastAsia="Calibri"/>
                <w:bCs/>
              </w:rPr>
            </w:pPr>
            <w:r>
              <w:rPr>
                <w:rFonts w:eastAsia="Calibri"/>
                <w:bCs/>
              </w:rPr>
              <w:t>0.07</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6" w:type="dxa"/>
            <w:tcBorders/>
          </w:tcPr>
          <w:p>
            <w:pPr>
              <w:pStyle w:val="Normal"/>
              <w:spacing w:lineRule="auto" w:line="240"/>
              <w:jc w:val="both"/>
              <w:rPr>
                <w:rFonts w:eastAsia="Calibri"/>
                <w:bCs/>
              </w:rPr>
            </w:pPr>
            <w:r>
              <w:rPr>
                <w:rFonts w:eastAsia="Calibri"/>
                <w:bCs/>
              </w:rPr>
              <w:t>I1</w:t>
            </w:r>
            <w:r>
              <w:rPr>
                <w:rFonts w:eastAsia="Wingdings" w:cs="Wingdings" w:ascii="Wingdings" w:hAnsi="Wingdings"/>
                <w:bCs/>
              </w:rPr>
              <w:t></w:t>
            </w:r>
            <w:r>
              <w:rPr>
                <w:rFonts w:eastAsia="Calibri"/>
                <w:bCs/>
              </w:rPr>
              <w:t xml:space="preserve">DIET </w:t>
            </w:r>
          </w:p>
        </w:tc>
        <w:tc>
          <w:tcPr>
            <w:tcW w:w="3246" w:type="dxa"/>
            <w:tcBorders/>
          </w:tcPr>
          <w:p>
            <w:pPr>
              <w:pStyle w:val="Normal"/>
              <w:spacing w:lineRule="auto" w:line="240"/>
              <w:jc w:val="both"/>
              <w:rPr>
                <w:rFonts w:eastAsia="Calibri"/>
                <w:bCs/>
              </w:rPr>
            </w:pPr>
            <w:r>
              <w:rPr>
                <w:rFonts w:eastAsia="Calibri"/>
                <w:bCs/>
              </w:rPr>
              <w:t>0.13(0.01,0.25)</w:t>
            </w:r>
          </w:p>
        </w:tc>
        <w:tc>
          <w:tcPr>
            <w:tcW w:w="1522" w:type="dxa"/>
            <w:tcBorders/>
          </w:tcPr>
          <w:p>
            <w:pPr>
              <w:pStyle w:val="Normal"/>
              <w:spacing w:lineRule="auto" w:line="240"/>
              <w:jc w:val="both"/>
              <w:rPr>
                <w:rFonts w:eastAsia="Calibri"/>
                <w:bCs/>
              </w:rPr>
            </w:pPr>
            <w:r>
              <w:rPr>
                <w:rFonts w:eastAsia="Calibri"/>
                <w:bCs/>
              </w:rPr>
              <w:t>2.10</w:t>
            </w:r>
          </w:p>
        </w:tc>
        <w:tc>
          <w:tcPr>
            <w:tcW w:w="1395" w:type="dxa"/>
            <w:tcBorders/>
          </w:tcPr>
          <w:p>
            <w:pPr>
              <w:pStyle w:val="Normal"/>
              <w:spacing w:lineRule="auto" w:line="240"/>
              <w:jc w:val="both"/>
              <w:rPr>
                <w:rFonts w:eastAsia="Calibri"/>
                <w:bCs/>
              </w:rPr>
            </w:pPr>
            <w:r>
              <w:rPr>
                <w:rFonts w:eastAsia="Calibri"/>
                <w:bCs/>
              </w:rPr>
              <w:t>0.06</w:t>
            </w:r>
          </w:p>
        </w:tc>
        <w:tc>
          <w:tcPr>
            <w:tcW w:w="1121" w:type="dxa"/>
            <w:tcBorders/>
          </w:tcPr>
          <w:p>
            <w:pPr>
              <w:pStyle w:val="Normal"/>
              <w:spacing w:lineRule="auto" w:line="240"/>
              <w:jc w:val="both"/>
              <w:rPr>
                <w:rFonts w:eastAsia="Calibri"/>
                <w:bCs/>
              </w:rPr>
            </w:pPr>
            <w:r>
              <w:rPr>
                <w:rFonts w:eastAsia="Calibri"/>
                <w:bCs/>
              </w:rPr>
              <w:t>0.036</w:t>
            </w:r>
          </w:p>
        </w:tc>
      </w:tr>
      <w:tr>
        <w:trPr>
          <w:trHeight w:val="271" w:hRule="atLeast"/>
        </w:trPr>
        <w:tc>
          <w:tcPr>
            <w:tcW w:w="2076" w:type="dxa"/>
            <w:tcBorders/>
          </w:tcPr>
          <w:p>
            <w:pPr>
              <w:pStyle w:val="Normal"/>
              <w:spacing w:lineRule="auto" w:line="240"/>
              <w:jc w:val="both"/>
              <w:rPr>
                <w:rFonts w:eastAsia="Calibri"/>
                <w:bCs/>
              </w:rPr>
            </w:pPr>
            <w:r>
              <w:rPr>
                <w:rFonts w:eastAsia="Calibri"/>
                <w:bCs/>
              </w:rPr>
              <w:t xml:space="preserve">SS </w:t>
            </w:r>
            <w:r>
              <w:rPr>
                <w:rFonts w:eastAsia="Wingdings" w:cs="Wingdings" w:ascii="Wingdings" w:hAnsi="Wingdings"/>
                <w:bCs/>
              </w:rPr>
              <w:t></w:t>
            </w:r>
            <w:r>
              <w:rPr>
                <w:rFonts w:eastAsia="Calibri"/>
                <w:bCs/>
              </w:rPr>
              <w:t xml:space="preserve"> SEVG </w:t>
            </w:r>
          </w:p>
        </w:tc>
        <w:tc>
          <w:tcPr>
            <w:tcW w:w="3246" w:type="dxa"/>
            <w:tcBorders/>
          </w:tcPr>
          <w:p>
            <w:pPr>
              <w:pStyle w:val="Normal"/>
              <w:spacing w:lineRule="auto" w:line="240"/>
              <w:jc w:val="both"/>
              <w:rPr>
                <w:rFonts w:eastAsia="Calibri"/>
                <w:bCs/>
              </w:rPr>
            </w:pPr>
            <w:r>
              <w:rPr>
                <w:rFonts w:eastAsia="Calibri"/>
                <w:bCs/>
              </w:rPr>
              <w:t>-0.21(-0.36, -0.06)</w:t>
            </w:r>
          </w:p>
        </w:tc>
        <w:tc>
          <w:tcPr>
            <w:tcW w:w="1522" w:type="dxa"/>
            <w:tcBorders/>
          </w:tcPr>
          <w:p>
            <w:pPr>
              <w:pStyle w:val="Normal"/>
              <w:spacing w:lineRule="auto" w:line="240"/>
              <w:jc w:val="both"/>
              <w:rPr>
                <w:rFonts w:eastAsia="Calibri"/>
                <w:bCs/>
              </w:rPr>
            </w:pPr>
            <w:r>
              <w:rPr>
                <w:rFonts w:eastAsia="Calibri"/>
                <w:bCs/>
              </w:rPr>
              <w:t>-2.78</w:t>
            </w:r>
          </w:p>
        </w:tc>
        <w:tc>
          <w:tcPr>
            <w:tcW w:w="1395" w:type="dxa"/>
            <w:tcBorders/>
          </w:tcPr>
          <w:p>
            <w:pPr>
              <w:pStyle w:val="Normal"/>
              <w:spacing w:lineRule="auto" w:line="240"/>
              <w:jc w:val="both"/>
              <w:rPr>
                <w:rFonts w:eastAsia="Calibri"/>
                <w:bCs/>
              </w:rPr>
            </w:pPr>
            <w:r>
              <w:rPr>
                <w:rFonts w:eastAsia="Calibri"/>
                <w:bCs/>
              </w:rPr>
              <w:t>0.08</w:t>
            </w:r>
          </w:p>
        </w:tc>
        <w:tc>
          <w:tcPr>
            <w:tcW w:w="1121" w:type="dxa"/>
            <w:tcBorders/>
          </w:tcPr>
          <w:p>
            <w:pPr>
              <w:pStyle w:val="Normal"/>
              <w:spacing w:lineRule="auto" w:line="240"/>
              <w:jc w:val="both"/>
              <w:rPr>
                <w:rFonts w:eastAsia="Calibri"/>
                <w:bCs/>
              </w:rPr>
            </w:pPr>
            <w:r>
              <w:rPr>
                <w:rFonts w:eastAsia="Calibri"/>
                <w:bCs/>
              </w:rPr>
              <w:t>0.005</w:t>
            </w:r>
          </w:p>
        </w:tc>
      </w:tr>
      <w:tr>
        <w:trPr>
          <w:trHeight w:val="271" w:hRule="atLeast"/>
        </w:trPr>
        <w:tc>
          <w:tcPr>
            <w:tcW w:w="2076" w:type="dxa"/>
            <w:tcBorders/>
          </w:tcPr>
          <w:p>
            <w:pPr>
              <w:pStyle w:val="Normal"/>
              <w:spacing w:lineRule="auto" w:line="240"/>
              <w:jc w:val="both"/>
              <w:rPr>
                <w:rFonts w:eastAsia="Calibri"/>
                <w:bCs/>
              </w:rPr>
            </w:pPr>
            <w:r>
              <w:rPr>
                <w:rFonts w:eastAsia="Calibri"/>
                <w:bCs/>
              </w:rPr>
              <w:t>SEVG</w:t>
            </w:r>
            <w:r>
              <w:rPr>
                <w:rFonts w:eastAsia="Wingdings" w:cs="Wingdings" w:ascii="Wingdings" w:hAnsi="Wingdings"/>
                <w:bCs/>
              </w:rPr>
              <w:t></w:t>
            </w:r>
            <w:r>
              <w:rPr>
                <w:rFonts w:eastAsia="Calibri"/>
                <w:bCs/>
              </w:rPr>
              <w:t xml:space="preserve">QOL </w:t>
            </w:r>
          </w:p>
        </w:tc>
        <w:tc>
          <w:tcPr>
            <w:tcW w:w="3246" w:type="dxa"/>
            <w:tcBorders/>
          </w:tcPr>
          <w:p>
            <w:pPr>
              <w:pStyle w:val="Normal"/>
              <w:spacing w:lineRule="auto" w:line="240"/>
              <w:jc w:val="both"/>
              <w:rPr>
                <w:rFonts w:eastAsia="Calibri"/>
                <w:bCs/>
              </w:rPr>
            </w:pPr>
            <w:r>
              <w:rPr>
                <w:rFonts w:eastAsia="Calibri"/>
                <w:bCs/>
              </w:rPr>
              <w:t>0.73(0.66,0.81)</w:t>
            </w:r>
          </w:p>
        </w:tc>
        <w:tc>
          <w:tcPr>
            <w:tcW w:w="1522" w:type="dxa"/>
            <w:tcBorders/>
          </w:tcPr>
          <w:p>
            <w:pPr>
              <w:pStyle w:val="Normal"/>
              <w:spacing w:lineRule="auto" w:line="240"/>
              <w:jc w:val="both"/>
              <w:rPr>
                <w:rFonts w:eastAsia="Calibri"/>
                <w:bCs/>
              </w:rPr>
            </w:pPr>
            <w:r>
              <w:rPr>
                <w:rFonts w:eastAsia="Calibri"/>
                <w:bCs/>
              </w:rPr>
              <w:t>19.87</w:t>
            </w:r>
          </w:p>
        </w:tc>
        <w:tc>
          <w:tcPr>
            <w:tcW w:w="1395" w:type="dxa"/>
            <w:tcBorders/>
          </w:tcPr>
          <w:p>
            <w:pPr>
              <w:pStyle w:val="Normal"/>
              <w:spacing w:lineRule="auto" w:line="240"/>
              <w:jc w:val="both"/>
              <w:rPr>
                <w:rFonts w:eastAsia="Calibri"/>
                <w:bCs/>
              </w:rPr>
            </w:pPr>
            <w:r>
              <w:rPr>
                <w:rFonts w:eastAsia="Calibri"/>
                <w:bCs/>
              </w:rPr>
              <w:t>0.04</w:t>
            </w:r>
          </w:p>
        </w:tc>
        <w:tc>
          <w:tcPr>
            <w:tcW w:w="1121" w:type="dxa"/>
            <w:tcBorders/>
          </w:tcPr>
          <w:p>
            <w:pPr>
              <w:pStyle w:val="Normal"/>
              <w:spacing w:lineRule="auto" w:line="240"/>
              <w:jc w:val="both"/>
              <w:rPr>
                <w:rFonts w:eastAsia="Calibri"/>
                <w:bCs/>
              </w:rPr>
            </w:pPr>
            <w:r>
              <w:rPr>
                <w:rFonts w:eastAsia="Calibri"/>
                <w:bCs/>
              </w:rPr>
              <w:t>&lt;0.001</w:t>
            </w:r>
          </w:p>
        </w:tc>
      </w:tr>
      <w:tr>
        <w:trPr>
          <w:trHeight w:val="257" w:hRule="atLeast"/>
        </w:trPr>
        <w:tc>
          <w:tcPr>
            <w:tcW w:w="2076"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DIET </w:t>
            </w:r>
          </w:p>
        </w:tc>
        <w:tc>
          <w:tcPr>
            <w:tcW w:w="3246" w:type="dxa"/>
            <w:tcBorders/>
          </w:tcPr>
          <w:p>
            <w:pPr>
              <w:pStyle w:val="Normal"/>
              <w:spacing w:lineRule="auto" w:line="240"/>
              <w:jc w:val="both"/>
              <w:rPr>
                <w:rFonts w:eastAsia="Calibri"/>
                <w:bCs/>
              </w:rPr>
            </w:pPr>
            <w:r>
              <w:rPr>
                <w:rFonts w:eastAsia="Calibri"/>
                <w:bCs/>
              </w:rPr>
              <w:t>0.41(0.28,0.53)</w:t>
            </w:r>
          </w:p>
        </w:tc>
        <w:tc>
          <w:tcPr>
            <w:tcW w:w="1522" w:type="dxa"/>
            <w:tcBorders/>
          </w:tcPr>
          <w:p>
            <w:pPr>
              <w:pStyle w:val="Normal"/>
              <w:spacing w:lineRule="auto" w:line="240"/>
              <w:jc w:val="both"/>
              <w:rPr>
                <w:rFonts w:eastAsia="Calibri"/>
                <w:bCs/>
              </w:rPr>
            </w:pPr>
            <w:r>
              <w:rPr>
                <w:rFonts w:eastAsia="Calibri"/>
                <w:bCs/>
              </w:rPr>
              <w:t>6.30</w:t>
            </w:r>
          </w:p>
        </w:tc>
        <w:tc>
          <w:tcPr>
            <w:tcW w:w="1395" w:type="dxa"/>
            <w:tcBorders/>
          </w:tcPr>
          <w:p>
            <w:pPr>
              <w:pStyle w:val="Normal"/>
              <w:spacing w:lineRule="auto" w:line="240"/>
              <w:jc w:val="both"/>
              <w:rPr>
                <w:rFonts w:eastAsia="Calibri"/>
                <w:bCs/>
              </w:rPr>
            </w:pPr>
            <w:r>
              <w:rPr>
                <w:rFonts w:eastAsia="Calibri"/>
                <w:bCs/>
              </w:rPr>
              <w:t>0.07</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6"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HA  </w:t>
            </w:r>
          </w:p>
        </w:tc>
        <w:tc>
          <w:tcPr>
            <w:tcW w:w="3246" w:type="dxa"/>
            <w:tcBorders/>
          </w:tcPr>
          <w:p>
            <w:pPr>
              <w:pStyle w:val="Normal"/>
              <w:spacing w:lineRule="auto" w:line="240"/>
              <w:jc w:val="both"/>
              <w:rPr>
                <w:rFonts w:eastAsia="Calibri"/>
                <w:bCs/>
              </w:rPr>
            </w:pPr>
            <w:r>
              <w:rPr>
                <w:rFonts w:eastAsia="Calibri"/>
                <w:bCs/>
              </w:rPr>
              <w:t>0.35(0.22,0.48)</w:t>
            </w:r>
          </w:p>
        </w:tc>
        <w:tc>
          <w:tcPr>
            <w:tcW w:w="1522" w:type="dxa"/>
            <w:tcBorders/>
          </w:tcPr>
          <w:p>
            <w:pPr>
              <w:pStyle w:val="Normal"/>
              <w:spacing w:lineRule="auto" w:line="240"/>
              <w:jc w:val="both"/>
              <w:rPr>
                <w:rFonts w:eastAsia="Calibri"/>
                <w:bCs/>
              </w:rPr>
            </w:pPr>
            <w:r>
              <w:rPr>
                <w:rFonts w:eastAsia="Calibri"/>
                <w:bCs/>
              </w:rPr>
              <w:t>5.22</w:t>
            </w:r>
          </w:p>
        </w:tc>
        <w:tc>
          <w:tcPr>
            <w:tcW w:w="1395" w:type="dxa"/>
            <w:tcBorders/>
          </w:tcPr>
          <w:p>
            <w:pPr>
              <w:pStyle w:val="Normal"/>
              <w:spacing w:lineRule="auto" w:line="240"/>
              <w:jc w:val="both"/>
              <w:rPr>
                <w:rFonts w:eastAsia="Calibri"/>
                <w:bCs/>
              </w:rPr>
            </w:pPr>
            <w:r>
              <w:rPr>
                <w:rFonts w:eastAsia="Calibri"/>
                <w:bCs/>
              </w:rPr>
              <w:t>0.07</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6"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SS  </w:t>
            </w:r>
          </w:p>
        </w:tc>
        <w:tc>
          <w:tcPr>
            <w:tcW w:w="3246" w:type="dxa"/>
            <w:tcBorders/>
          </w:tcPr>
          <w:p>
            <w:pPr>
              <w:pStyle w:val="Normal"/>
              <w:spacing w:lineRule="auto" w:line="240"/>
              <w:jc w:val="both"/>
              <w:rPr>
                <w:rFonts w:eastAsia="Calibri"/>
                <w:bCs/>
              </w:rPr>
            </w:pPr>
            <w:r>
              <w:rPr>
                <w:rFonts w:eastAsia="Calibri"/>
                <w:bCs/>
              </w:rPr>
              <w:t>0.21(0.01,0.41)</w:t>
            </w:r>
          </w:p>
        </w:tc>
        <w:tc>
          <w:tcPr>
            <w:tcW w:w="1522" w:type="dxa"/>
            <w:tcBorders/>
          </w:tcPr>
          <w:p>
            <w:pPr>
              <w:pStyle w:val="Normal"/>
              <w:spacing w:lineRule="auto" w:line="240"/>
              <w:jc w:val="both"/>
              <w:rPr>
                <w:rFonts w:eastAsia="Calibri"/>
                <w:bCs/>
              </w:rPr>
            </w:pPr>
            <w:r>
              <w:rPr>
                <w:rFonts w:eastAsia="Calibri"/>
                <w:bCs/>
              </w:rPr>
              <w:t>2.06</w:t>
            </w:r>
          </w:p>
        </w:tc>
        <w:tc>
          <w:tcPr>
            <w:tcW w:w="1395" w:type="dxa"/>
            <w:tcBorders/>
          </w:tcPr>
          <w:p>
            <w:pPr>
              <w:pStyle w:val="Normal"/>
              <w:spacing w:lineRule="auto" w:line="240"/>
              <w:jc w:val="both"/>
              <w:rPr>
                <w:rFonts w:eastAsia="Calibri"/>
                <w:bCs/>
              </w:rPr>
            </w:pPr>
            <w:r>
              <w:rPr>
                <w:rFonts w:eastAsia="Calibri"/>
                <w:bCs/>
              </w:rPr>
              <w:t>0.10</w:t>
            </w:r>
          </w:p>
        </w:tc>
        <w:tc>
          <w:tcPr>
            <w:tcW w:w="1121" w:type="dxa"/>
            <w:tcBorders/>
          </w:tcPr>
          <w:p>
            <w:pPr>
              <w:pStyle w:val="Normal"/>
              <w:spacing w:lineRule="auto" w:line="240"/>
              <w:jc w:val="both"/>
              <w:rPr>
                <w:rFonts w:eastAsia="Calibri"/>
                <w:bCs/>
              </w:rPr>
            </w:pPr>
            <w:r>
              <w:rPr>
                <w:rFonts w:eastAsia="Calibri"/>
                <w:bCs/>
              </w:rPr>
              <w:t>0.039</w:t>
            </w:r>
          </w:p>
        </w:tc>
      </w:tr>
      <w:tr>
        <w:trPr>
          <w:trHeight w:val="271" w:hRule="atLeast"/>
        </w:trPr>
        <w:tc>
          <w:tcPr>
            <w:tcW w:w="2076"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SS  </w:t>
            </w:r>
          </w:p>
        </w:tc>
        <w:tc>
          <w:tcPr>
            <w:tcW w:w="3246" w:type="dxa"/>
            <w:tcBorders/>
          </w:tcPr>
          <w:p>
            <w:pPr>
              <w:pStyle w:val="Normal"/>
              <w:spacing w:lineRule="auto" w:line="240"/>
              <w:jc w:val="both"/>
              <w:rPr>
                <w:rFonts w:eastAsia="Calibri"/>
                <w:bCs/>
              </w:rPr>
            </w:pPr>
            <w:r>
              <w:rPr>
                <w:rFonts w:eastAsia="Calibri"/>
                <w:bCs/>
              </w:rPr>
              <w:t>0.22(0.03,0.42)</w:t>
            </w:r>
          </w:p>
        </w:tc>
        <w:tc>
          <w:tcPr>
            <w:tcW w:w="1522" w:type="dxa"/>
            <w:tcBorders/>
          </w:tcPr>
          <w:p>
            <w:pPr>
              <w:pStyle w:val="Normal"/>
              <w:spacing w:lineRule="auto" w:line="240"/>
              <w:jc w:val="both"/>
              <w:rPr>
                <w:rFonts w:eastAsia="Calibri"/>
                <w:bCs/>
              </w:rPr>
            </w:pPr>
            <w:r>
              <w:rPr>
                <w:rFonts w:eastAsia="Calibri"/>
                <w:bCs/>
              </w:rPr>
              <w:t>2.25</w:t>
            </w:r>
          </w:p>
        </w:tc>
        <w:tc>
          <w:tcPr>
            <w:tcW w:w="1395" w:type="dxa"/>
            <w:tcBorders/>
          </w:tcPr>
          <w:p>
            <w:pPr>
              <w:pStyle w:val="Normal"/>
              <w:spacing w:lineRule="auto" w:line="240"/>
              <w:jc w:val="both"/>
              <w:rPr>
                <w:rFonts w:eastAsia="Calibri"/>
                <w:bCs/>
              </w:rPr>
            </w:pPr>
            <w:r>
              <w:rPr>
                <w:rFonts w:eastAsia="Calibri"/>
                <w:bCs/>
              </w:rPr>
              <w:t>0.10</w:t>
            </w:r>
          </w:p>
        </w:tc>
        <w:tc>
          <w:tcPr>
            <w:tcW w:w="1121" w:type="dxa"/>
            <w:tcBorders/>
          </w:tcPr>
          <w:p>
            <w:pPr>
              <w:pStyle w:val="Normal"/>
              <w:spacing w:lineRule="auto" w:line="240"/>
              <w:jc w:val="both"/>
              <w:rPr>
                <w:rFonts w:eastAsia="Calibri"/>
                <w:bCs/>
              </w:rPr>
            </w:pPr>
            <w:r>
              <w:rPr>
                <w:rFonts w:eastAsia="Calibri"/>
                <w:bCs/>
              </w:rPr>
              <w:t>0.025</w:t>
            </w:r>
          </w:p>
        </w:tc>
      </w:tr>
      <w:tr>
        <w:trPr>
          <w:trHeight w:val="271" w:hRule="atLeast"/>
        </w:trPr>
        <w:tc>
          <w:tcPr>
            <w:tcW w:w="2076"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PA  </w:t>
            </w:r>
          </w:p>
        </w:tc>
        <w:tc>
          <w:tcPr>
            <w:tcW w:w="3246" w:type="dxa"/>
            <w:tcBorders/>
          </w:tcPr>
          <w:p>
            <w:pPr>
              <w:pStyle w:val="Normal"/>
              <w:spacing w:lineRule="auto" w:line="240"/>
              <w:jc w:val="both"/>
              <w:rPr>
                <w:rFonts w:eastAsia="Calibri"/>
                <w:bCs/>
              </w:rPr>
            </w:pPr>
            <w:r>
              <w:rPr>
                <w:rFonts w:eastAsia="Calibri"/>
                <w:bCs/>
              </w:rPr>
              <w:t>0.32(0.16,0.49)</w:t>
            </w:r>
          </w:p>
        </w:tc>
        <w:tc>
          <w:tcPr>
            <w:tcW w:w="1522" w:type="dxa"/>
            <w:tcBorders/>
          </w:tcPr>
          <w:p>
            <w:pPr>
              <w:pStyle w:val="Normal"/>
              <w:spacing w:lineRule="auto" w:line="240"/>
              <w:jc w:val="both"/>
              <w:rPr>
                <w:rFonts w:eastAsia="Calibri"/>
                <w:bCs/>
              </w:rPr>
            </w:pPr>
            <w:r>
              <w:rPr>
                <w:rFonts w:eastAsia="Calibri"/>
                <w:bCs/>
              </w:rPr>
              <w:t>3.91</w:t>
            </w:r>
          </w:p>
        </w:tc>
        <w:tc>
          <w:tcPr>
            <w:tcW w:w="1395" w:type="dxa"/>
            <w:tcBorders/>
          </w:tcPr>
          <w:p>
            <w:pPr>
              <w:pStyle w:val="Normal"/>
              <w:spacing w:lineRule="auto" w:line="240"/>
              <w:jc w:val="both"/>
              <w:rPr>
                <w:rFonts w:eastAsia="Calibri"/>
                <w:bCs/>
              </w:rPr>
            </w:pPr>
            <w:r>
              <w:rPr>
                <w:rFonts w:eastAsia="Calibri"/>
                <w:bCs/>
              </w:rPr>
              <w:t>0.08</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6"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SEV24 </w:t>
            </w:r>
          </w:p>
        </w:tc>
        <w:tc>
          <w:tcPr>
            <w:tcW w:w="3246" w:type="dxa"/>
            <w:tcBorders/>
          </w:tcPr>
          <w:p>
            <w:pPr>
              <w:pStyle w:val="Normal"/>
              <w:spacing w:lineRule="auto" w:line="240"/>
              <w:jc w:val="both"/>
              <w:rPr>
                <w:rFonts w:eastAsia="Calibri"/>
                <w:bCs/>
              </w:rPr>
            </w:pPr>
            <w:r>
              <w:rPr>
                <w:rFonts w:eastAsia="Calibri"/>
                <w:bCs/>
              </w:rPr>
              <w:t>-0.26(-0.36, -0.17)</w:t>
            </w:r>
          </w:p>
        </w:tc>
        <w:tc>
          <w:tcPr>
            <w:tcW w:w="1522" w:type="dxa"/>
            <w:tcBorders/>
          </w:tcPr>
          <w:p>
            <w:pPr>
              <w:pStyle w:val="Normal"/>
              <w:spacing w:lineRule="auto" w:line="240"/>
              <w:jc w:val="both"/>
              <w:rPr>
                <w:rFonts w:eastAsia="Calibri"/>
                <w:bCs/>
              </w:rPr>
            </w:pPr>
            <w:r>
              <w:rPr>
                <w:rFonts w:eastAsia="Calibri"/>
                <w:bCs/>
              </w:rPr>
              <w:t>-5.31</w:t>
            </w:r>
          </w:p>
        </w:tc>
        <w:tc>
          <w:tcPr>
            <w:tcW w:w="1395" w:type="dxa"/>
            <w:tcBorders/>
          </w:tcPr>
          <w:p>
            <w:pPr>
              <w:pStyle w:val="Normal"/>
              <w:spacing w:lineRule="auto" w:line="240"/>
              <w:jc w:val="both"/>
              <w:rPr>
                <w:rFonts w:eastAsia="Calibri"/>
                <w:bCs/>
              </w:rPr>
            </w:pPr>
            <w:r>
              <w:rPr>
                <w:rFonts w:eastAsia="Calibri"/>
                <w:bCs/>
              </w:rPr>
              <w:t>0.05</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6" w:type="dxa"/>
            <w:tcBorders/>
          </w:tcPr>
          <w:p>
            <w:pPr>
              <w:pStyle w:val="Normal"/>
              <w:spacing w:lineRule="auto" w:line="240"/>
              <w:jc w:val="both"/>
              <w:rPr>
                <w:rFonts w:eastAsia="Calibri"/>
                <w:bCs/>
              </w:rPr>
            </w:pPr>
            <w:r>
              <w:rPr>
                <w:rFonts w:eastAsia="Calibri"/>
                <w:bCs/>
              </w:rPr>
              <w:t>I1</w:t>
            </w:r>
            <w:r>
              <w:rPr>
                <w:rFonts w:eastAsia="Wingdings" w:cs="Wingdings" w:ascii="Wingdings" w:hAnsi="Wingdings"/>
                <w:bCs/>
              </w:rPr>
              <w:t></w:t>
            </w:r>
            <w:r>
              <w:rPr>
                <w:rFonts w:eastAsia="Calibri"/>
                <w:bCs/>
              </w:rPr>
              <w:t>SEVG</w:t>
            </w:r>
          </w:p>
        </w:tc>
        <w:tc>
          <w:tcPr>
            <w:tcW w:w="3246" w:type="dxa"/>
            <w:tcBorders/>
          </w:tcPr>
          <w:p>
            <w:pPr>
              <w:pStyle w:val="Normal"/>
              <w:spacing w:lineRule="auto" w:line="240"/>
              <w:jc w:val="both"/>
              <w:rPr>
                <w:rFonts w:eastAsia="Calibri"/>
                <w:bCs/>
              </w:rPr>
            </w:pPr>
            <w:r>
              <w:rPr>
                <w:rFonts w:eastAsia="Calibri"/>
                <w:bCs/>
              </w:rPr>
              <w:t>-0.11(-0.22, -0.01)</w:t>
            </w:r>
          </w:p>
        </w:tc>
        <w:tc>
          <w:tcPr>
            <w:tcW w:w="1522" w:type="dxa"/>
            <w:tcBorders/>
          </w:tcPr>
          <w:p>
            <w:pPr>
              <w:pStyle w:val="Normal"/>
              <w:spacing w:lineRule="auto" w:line="240"/>
              <w:jc w:val="both"/>
              <w:rPr>
                <w:rFonts w:eastAsia="Calibri"/>
                <w:bCs/>
              </w:rPr>
            </w:pPr>
            <w:r>
              <w:rPr>
                <w:rFonts w:eastAsia="Calibri"/>
                <w:bCs/>
              </w:rPr>
              <w:t>-2.11</w:t>
            </w:r>
          </w:p>
        </w:tc>
        <w:tc>
          <w:tcPr>
            <w:tcW w:w="1395" w:type="dxa"/>
            <w:tcBorders/>
          </w:tcPr>
          <w:p>
            <w:pPr>
              <w:pStyle w:val="Normal"/>
              <w:spacing w:lineRule="auto" w:line="240"/>
              <w:jc w:val="both"/>
              <w:rPr>
                <w:rFonts w:eastAsia="Calibri"/>
                <w:bCs/>
              </w:rPr>
            </w:pPr>
            <w:r>
              <w:rPr>
                <w:rFonts w:eastAsia="Calibri"/>
                <w:bCs/>
              </w:rPr>
              <w:t>0.05</w:t>
            </w:r>
          </w:p>
        </w:tc>
        <w:tc>
          <w:tcPr>
            <w:tcW w:w="1121" w:type="dxa"/>
            <w:tcBorders/>
          </w:tcPr>
          <w:p>
            <w:pPr>
              <w:pStyle w:val="Normal"/>
              <w:spacing w:lineRule="auto" w:line="240"/>
              <w:jc w:val="both"/>
              <w:rPr>
                <w:rFonts w:eastAsia="Calibri"/>
                <w:bCs/>
              </w:rPr>
            </w:pPr>
            <w:r>
              <w:rPr>
                <w:rFonts w:eastAsia="Calibri"/>
                <w:bCs/>
              </w:rPr>
              <w:t>0.035</w:t>
            </w:r>
          </w:p>
        </w:tc>
      </w:tr>
      <w:tr>
        <w:trPr>
          <w:trHeight w:val="271" w:hRule="atLeast"/>
        </w:trPr>
        <w:tc>
          <w:tcPr>
            <w:tcW w:w="2076" w:type="dxa"/>
            <w:tcBorders/>
          </w:tcPr>
          <w:p>
            <w:pPr>
              <w:pStyle w:val="Normal"/>
              <w:spacing w:lineRule="auto" w:line="240"/>
              <w:jc w:val="both"/>
              <w:rPr>
                <w:rFonts w:eastAsia="Calibri"/>
                <w:bCs/>
              </w:rPr>
            </w:pPr>
            <w:r>
              <w:rPr>
                <w:rFonts w:eastAsia="Calibri"/>
                <w:bCs/>
              </w:rPr>
              <w:t>I1</w:t>
            </w:r>
            <w:r>
              <w:rPr>
                <w:rFonts w:eastAsia="Wingdings" w:cs="Wingdings" w:ascii="Wingdings" w:hAnsi="Wingdings"/>
                <w:bCs/>
              </w:rPr>
              <w:t></w:t>
            </w:r>
            <w:r>
              <w:rPr>
                <w:rFonts w:eastAsia="Calibri"/>
                <w:bCs/>
              </w:rPr>
              <w:t xml:space="preserve">DEP </w:t>
            </w:r>
          </w:p>
        </w:tc>
        <w:tc>
          <w:tcPr>
            <w:tcW w:w="3246" w:type="dxa"/>
            <w:tcBorders/>
          </w:tcPr>
          <w:p>
            <w:pPr>
              <w:pStyle w:val="Normal"/>
              <w:spacing w:lineRule="auto" w:line="240"/>
              <w:jc w:val="both"/>
              <w:rPr>
                <w:rFonts w:eastAsia="Calibri"/>
                <w:bCs/>
              </w:rPr>
            </w:pPr>
            <w:r>
              <w:rPr>
                <w:rFonts w:eastAsia="Calibri"/>
                <w:bCs/>
              </w:rPr>
              <w:t>-0.13(-0.23, -0.03)</w:t>
            </w:r>
          </w:p>
        </w:tc>
        <w:tc>
          <w:tcPr>
            <w:tcW w:w="1522" w:type="dxa"/>
            <w:tcBorders/>
          </w:tcPr>
          <w:p>
            <w:pPr>
              <w:pStyle w:val="Normal"/>
              <w:spacing w:lineRule="auto" w:line="240"/>
              <w:jc w:val="both"/>
              <w:rPr>
                <w:rFonts w:eastAsia="Calibri"/>
                <w:bCs/>
              </w:rPr>
            </w:pPr>
            <w:r>
              <w:rPr>
                <w:rFonts w:eastAsia="Calibri"/>
                <w:bCs/>
              </w:rPr>
              <w:t>-2.48</w:t>
            </w:r>
          </w:p>
        </w:tc>
        <w:tc>
          <w:tcPr>
            <w:tcW w:w="1395" w:type="dxa"/>
            <w:tcBorders/>
          </w:tcPr>
          <w:p>
            <w:pPr>
              <w:pStyle w:val="Normal"/>
              <w:spacing w:lineRule="auto" w:line="240"/>
              <w:jc w:val="both"/>
              <w:rPr>
                <w:rFonts w:eastAsia="Calibri"/>
                <w:bCs/>
              </w:rPr>
            </w:pPr>
            <w:r>
              <w:rPr>
                <w:rFonts w:eastAsia="Calibri"/>
                <w:bCs/>
              </w:rPr>
              <w:t>0.05</w:t>
            </w:r>
          </w:p>
        </w:tc>
        <w:tc>
          <w:tcPr>
            <w:tcW w:w="1121" w:type="dxa"/>
            <w:tcBorders/>
          </w:tcPr>
          <w:p>
            <w:pPr>
              <w:pStyle w:val="Normal"/>
              <w:spacing w:lineRule="auto" w:line="240"/>
              <w:jc w:val="both"/>
              <w:rPr>
                <w:rFonts w:eastAsia="Calibri"/>
                <w:bCs/>
              </w:rPr>
            </w:pPr>
            <w:r>
              <w:rPr>
                <w:rFonts w:eastAsia="Calibri"/>
                <w:bCs/>
              </w:rPr>
              <w:t>0.013</w:t>
            </w:r>
          </w:p>
        </w:tc>
      </w:tr>
      <w:tr>
        <w:trPr>
          <w:trHeight w:val="271" w:hRule="atLeast"/>
        </w:trPr>
        <w:tc>
          <w:tcPr>
            <w:tcW w:w="2076" w:type="dxa"/>
            <w:tcBorders/>
          </w:tcPr>
          <w:p>
            <w:pPr>
              <w:pStyle w:val="Normal"/>
              <w:spacing w:lineRule="auto" w:line="240"/>
              <w:jc w:val="both"/>
              <w:rPr>
                <w:rFonts w:eastAsia="Calibri"/>
                <w:bCs/>
              </w:rPr>
            </w:pPr>
            <w:r>
              <w:rPr>
                <w:rFonts w:eastAsia="Calibri"/>
                <w:bCs/>
              </w:rPr>
              <w:t>SM</w:t>
            </w:r>
            <w:r>
              <w:rPr>
                <w:rFonts w:eastAsia="Wingdings" w:cs="Wingdings" w:ascii="Wingdings" w:hAnsi="Wingdings"/>
                <w:bCs/>
              </w:rPr>
              <w:t></w:t>
            </w:r>
            <w:r>
              <w:rPr>
                <w:rFonts w:eastAsia="Calibri"/>
                <w:bCs/>
              </w:rPr>
              <w:t xml:space="preserve">DEP  </w:t>
            </w:r>
          </w:p>
        </w:tc>
        <w:tc>
          <w:tcPr>
            <w:tcW w:w="3246" w:type="dxa"/>
            <w:tcBorders/>
          </w:tcPr>
          <w:p>
            <w:pPr>
              <w:pStyle w:val="Normal"/>
              <w:spacing w:lineRule="auto" w:line="240"/>
              <w:jc w:val="both"/>
              <w:rPr>
                <w:rFonts w:eastAsia="Calibri"/>
                <w:bCs/>
              </w:rPr>
            </w:pPr>
            <w:r>
              <w:rPr>
                <w:rFonts w:eastAsia="Calibri"/>
                <w:bCs/>
              </w:rPr>
              <w:t>-0.28(-0.53, -0.02)</w:t>
            </w:r>
          </w:p>
        </w:tc>
        <w:tc>
          <w:tcPr>
            <w:tcW w:w="1522" w:type="dxa"/>
            <w:tcBorders/>
          </w:tcPr>
          <w:p>
            <w:pPr>
              <w:pStyle w:val="Normal"/>
              <w:spacing w:lineRule="auto" w:line="240"/>
              <w:jc w:val="both"/>
              <w:rPr>
                <w:rFonts w:eastAsia="Calibri"/>
                <w:bCs/>
              </w:rPr>
            </w:pPr>
            <w:r>
              <w:rPr>
                <w:rFonts w:eastAsia="Calibri"/>
                <w:bCs/>
              </w:rPr>
              <w:t>-2.15</w:t>
            </w:r>
          </w:p>
        </w:tc>
        <w:tc>
          <w:tcPr>
            <w:tcW w:w="1395" w:type="dxa"/>
            <w:tcBorders/>
          </w:tcPr>
          <w:p>
            <w:pPr>
              <w:pStyle w:val="Normal"/>
              <w:spacing w:lineRule="auto" w:line="240"/>
              <w:jc w:val="both"/>
              <w:rPr>
                <w:rFonts w:eastAsia="Calibri"/>
                <w:bCs/>
              </w:rPr>
            </w:pPr>
            <w:r>
              <w:rPr>
                <w:rFonts w:eastAsia="Calibri"/>
                <w:bCs/>
              </w:rPr>
              <w:t>0.13</w:t>
            </w:r>
          </w:p>
        </w:tc>
        <w:tc>
          <w:tcPr>
            <w:tcW w:w="1121" w:type="dxa"/>
            <w:tcBorders/>
          </w:tcPr>
          <w:p>
            <w:pPr>
              <w:pStyle w:val="Normal"/>
              <w:spacing w:lineRule="auto" w:line="240"/>
              <w:jc w:val="both"/>
              <w:rPr>
                <w:rFonts w:eastAsia="Calibri"/>
                <w:bCs/>
              </w:rPr>
            </w:pPr>
            <w:r>
              <w:rPr>
                <w:rFonts w:eastAsia="Calibri"/>
                <w:bCs/>
              </w:rPr>
              <w:t>0.032</w:t>
            </w:r>
          </w:p>
        </w:tc>
      </w:tr>
      <w:tr>
        <w:trPr>
          <w:trHeight w:val="271" w:hRule="atLeast"/>
        </w:trPr>
        <w:tc>
          <w:tcPr>
            <w:tcW w:w="2076" w:type="dxa"/>
            <w:tcBorders>
              <w:bottom w:val="single" w:sz="4" w:space="0" w:color="000000"/>
            </w:tcBorders>
          </w:tcPr>
          <w:p>
            <w:pPr>
              <w:pStyle w:val="Normal"/>
              <w:spacing w:lineRule="auto" w:line="240"/>
              <w:jc w:val="both"/>
              <w:rPr>
                <w:rFonts w:eastAsia="Calibri"/>
                <w:bCs/>
              </w:rPr>
            </w:pPr>
            <w:r>
              <w:rPr>
                <w:rFonts w:eastAsia="Calibri"/>
                <w:bCs/>
              </w:rPr>
              <w:t>DEP</w:t>
            </w:r>
            <w:r>
              <w:rPr>
                <w:rFonts w:eastAsia="Wingdings" w:cs="Wingdings" w:ascii="Wingdings" w:hAnsi="Wingdings"/>
                <w:bCs/>
              </w:rPr>
              <w:t></w:t>
            </w:r>
            <w:r>
              <w:rPr>
                <w:rFonts w:eastAsia="Calibri"/>
                <w:bCs/>
              </w:rPr>
              <w:t xml:space="preserve">SEV24 </w:t>
            </w:r>
          </w:p>
        </w:tc>
        <w:tc>
          <w:tcPr>
            <w:tcW w:w="3246" w:type="dxa"/>
            <w:tcBorders>
              <w:bottom w:val="single" w:sz="4" w:space="0" w:color="000000"/>
            </w:tcBorders>
          </w:tcPr>
          <w:p>
            <w:pPr>
              <w:pStyle w:val="Normal"/>
              <w:spacing w:lineRule="auto" w:line="240"/>
              <w:jc w:val="both"/>
              <w:rPr>
                <w:rFonts w:eastAsia="Calibri"/>
                <w:bCs/>
              </w:rPr>
            </w:pPr>
            <w:r>
              <w:rPr>
                <w:rFonts w:eastAsia="Calibri"/>
                <w:bCs/>
              </w:rPr>
              <w:t>0.15(0.08,0.22)</w:t>
            </w:r>
          </w:p>
        </w:tc>
        <w:tc>
          <w:tcPr>
            <w:tcW w:w="1522" w:type="dxa"/>
            <w:tcBorders>
              <w:bottom w:val="single" w:sz="4" w:space="0" w:color="000000"/>
            </w:tcBorders>
          </w:tcPr>
          <w:p>
            <w:pPr>
              <w:pStyle w:val="Normal"/>
              <w:spacing w:lineRule="auto" w:line="240"/>
              <w:jc w:val="both"/>
              <w:rPr>
                <w:rFonts w:eastAsia="Calibri"/>
                <w:bCs/>
              </w:rPr>
            </w:pPr>
            <w:r>
              <w:rPr>
                <w:rFonts w:eastAsia="Calibri"/>
                <w:bCs/>
              </w:rPr>
              <w:t>3.97</w:t>
            </w:r>
          </w:p>
        </w:tc>
        <w:tc>
          <w:tcPr>
            <w:tcW w:w="1395" w:type="dxa"/>
            <w:tcBorders>
              <w:bottom w:val="single" w:sz="4" w:space="0" w:color="000000"/>
            </w:tcBorders>
          </w:tcPr>
          <w:p>
            <w:pPr>
              <w:pStyle w:val="Normal"/>
              <w:spacing w:lineRule="auto" w:line="240"/>
              <w:jc w:val="both"/>
              <w:rPr>
                <w:rFonts w:eastAsia="Calibri"/>
                <w:bCs/>
              </w:rPr>
            </w:pPr>
            <w:r>
              <w:rPr>
                <w:rFonts w:eastAsia="Calibri"/>
                <w:bCs/>
              </w:rPr>
              <w:t>0.04</w:t>
            </w:r>
          </w:p>
        </w:tc>
        <w:tc>
          <w:tcPr>
            <w:tcW w:w="1121" w:type="dxa"/>
            <w:tcBorders>
              <w:bottom w:val="single" w:sz="4" w:space="0" w:color="000000"/>
            </w:tcBorders>
          </w:tcPr>
          <w:p>
            <w:pPr>
              <w:pStyle w:val="Normal"/>
              <w:spacing w:lineRule="auto" w:line="240"/>
              <w:jc w:val="both"/>
              <w:rPr>
                <w:rFonts w:eastAsia="Calibri"/>
                <w:bCs/>
              </w:rPr>
            </w:pPr>
            <w:r>
              <w:rPr>
                <w:rFonts w:eastAsia="Calibri"/>
                <w:bCs/>
              </w:rPr>
              <w:t>&lt;0.001</w:t>
            </w:r>
          </w:p>
        </w:tc>
      </w:tr>
    </w:tbl>
    <w:p>
      <w:pPr>
        <w:pStyle w:val="Normal"/>
        <w:keepNext w:val="true"/>
        <w:spacing w:lineRule="auto" w:line="240"/>
        <w:jc w:val="both"/>
        <w:rPr>
          <w:rFonts w:eastAsia="Calibri"/>
          <w:bCs/>
          <w:sz w:val="22"/>
          <w:szCs w:val="22"/>
        </w:rPr>
      </w:pPr>
      <w:r>
        <w:rPr>
          <w:rFonts w:eastAsia="Calibri"/>
          <w:bCs/>
          <w:sz w:val="22"/>
          <w:szCs w:val="22"/>
        </w:rPr>
        <w:t>Note: SS=social support, SEVG=severity general, QoL=quality of life, I1=intention, DEP=depression, PBC =perceived behavioural control, ATT=attitude, DIET=dietary habit, SM=stress management, ANX=anxiety, PA=physical activity, HA= health and treatment awareness, CR=critical ratios, SE=standard error, β=standardized regression coefficient.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t>[[/TABLE ID="table-2"]]</w:t>
      </w:r>
    </w:p>
    <w:p>
      <w:pPr>
        <w:pStyle w:val="Normal"/>
        <w:rPr/>
      </w:pPr>
      <w:r>
        <w:rPr/>
        <w:t>[[TABLE ID="table-3"]]</w:t>
      </w:r>
    </w:p>
    <w:p>
      <w:pPr>
        <w:pStyle w:val="Normal"/>
        <w:jc w:val="both"/>
        <w:rPr/>
      </w:pPr>
      <w:r>
        <w:rPr/>
        <w:t>Table 3. Standardised direct, total indirect, and total effects (n=323).</w:t>
      </w:r>
    </w:p>
    <w:tbl>
      <w:tblPr>
        <w:tblW w:w="8499" w:type="dxa"/>
        <w:jc w:val="left"/>
        <w:tblInd w:w="0" w:type="dxa"/>
        <w:tblCellMar>
          <w:top w:w="0" w:type="dxa"/>
          <w:left w:w="108" w:type="dxa"/>
          <w:bottom w:w="0" w:type="dxa"/>
          <w:right w:w="108" w:type="dxa"/>
        </w:tblCellMar>
        <w:tblLook w:val="04a0" w:noHBand="0" w:noVBand="1" w:firstColumn="1" w:lastRow="0" w:lastColumn="0" w:firstRow="1"/>
      </w:tblPr>
      <w:tblGrid>
        <w:gridCol w:w="1560"/>
        <w:gridCol w:w="1842"/>
        <w:gridCol w:w="1700"/>
        <w:gridCol w:w="1134"/>
        <w:gridCol w:w="1135"/>
        <w:gridCol w:w="1127"/>
      </w:tblGrid>
      <w:tr>
        <w:trPr>
          <w:trHeight w:val="553" w:hRule="atLeast"/>
        </w:trPr>
        <w:tc>
          <w:tcPr>
            <w:tcW w:w="1560" w:type="dxa"/>
            <w:vMerge w:val="restart"/>
            <w:tcBorders>
              <w:top w:val="single" w:sz="4" w:space="0" w:color="000000"/>
            </w:tcBorders>
            <w:vAlign w:val="center"/>
          </w:tcPr>
          <w:p>
            <w:pPr>
              <w:pStyle w:val="Normal"/>
              <w:spacing w:lineRule="auto" w:line="240"/>
              <w:ind w:left="-108" w:hanging="0"/>
              <w:jc w:val="both"/>
              <w:rPr>
                <w:rFonts w:eastAsia="Calibri"/>
                <w:bCs/>
              </w:rPr>
            </w:pPr>
            <w:r>
              <w:rPr>
                <w:rFonts w:eastAsia="Calibri"/>
                <w:bCs/>
              </w:rPr>
              <w:t>Predictor Variable</w:t>
            </w:r>
          </w:p>
        </w:tc>
        <w:tc>
          <w:tcPr>
            <w:tcW w:w="1842" w:type="dxa"/>
            <w:tcBorders>
              <w:top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700" w:type="dxa"/>
            <w:vMerge w:val="restart"/>
            <w:tcBorders>
              <w:top w:val="single" w:sz="4" w:space="0" w:color="000000"/>
            </w:tcBorders>
            <w:vAlign w:val="center"/>
          </w:tcPr>
          <w:p>
            <w:pPr>
              <w:pStyle w:val="Normal"/>
              <w:spacing w:lineRule="auto" w:line="240"/>
              <w:jc w:val="both"/>
              <w:rPr>
                <w:rFonts w:eastAsia="Calibri"/>
                <w:bCs/>
              </w:rPr>
            </w:pPr>
            <w:r>
              <w:rPr>
                <w:rFonts w:eastAsia="Calibri"/>
                <w:bCs/>
              </w:rPr>
              <w:t>Outcome variable</w:t>
            </w:r>
          </w:p>
        </w:tc>
        <w:tc>
          <w:tcPr>
            <w:tcW w:w="3396" w:type="dxa"/>
            <w:gridSpan w:val="3"/>
            <w:tcBorders>
              <w:top w:val="single" w:sz="4" w:space="0" w:color="000000"/>
              <w:bottom w:val="single" w:sz="4" w:space="0" w:color="000000"/>
            </w:tcBorders>
            <w:vAlign w:val="center"/>
          </w:tcPr>
          <w:p>
            <w:pPr>
              <w:pStyle w:val="Normal"/>
              <w:spacing w:lineRule="auto" w:line="240"/>
              <w:ind w:left="720" w:hanging="0"/>
              <w:jc w:val="both"/>
              <w:rPr>
                <w:rFonts w:eastAsia="Calibri"/>
                <w:bCs/>
              </w:rPr>
            </w:pPr>
            <w:r>
              <w:rPr>
                <w:rFonts w:eastAsia="Calibri"/>
                <w:bCs/>
              </w:rPr>
              <w:t>Causal effect</w:t>
            </w:r>
          </w:p>
        </w:tc>
      </w:tr>
      <w:tr>
        <w:trPr>
          <w:trHeight w:val="1663" w:hRule="atLeast"/>
        </w:trPr>
        <w:tc>
          <w:tcPr>
            <w:tcW w:w="1560" w:type="dxa"/>
            <w:vMerge w:val="continue"/>
            <w:tcBorders>
              <w:bottom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842" w:type="dxa"/>
            <w:tcBorders>
              <w:bottom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700" w:type="dxa"/>
            <w:vMerge w:val="continue"/>
            <w:tcBorders>
              <w:bottom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134" w:type="dxa"/>
            <w:tcBorders>
              <w:top w:val="single" w:sz="4" w:space="0" w:color="000000"/>
              <w:bottom w:val="single" w:sz="4" w:space="0" w:color="000000"/>
            </w:tcBorders>
            <w:vAlign w:val="center"/>
          </w:tcPr>
          <w:p>
            <w:pPr>
              <w:pStyle w:val="Normal"/>
              <w:spacing w:lineRule="auto" w:line="240"/>
              <w:jc w:val="both"/>
              <w:rPr>
                <w:rFonts w:eastAsia="Calibri"/>
                <w:bCs/>
              </w:rPr>
            </w:pPr>
            <w:r>
              <w:rPr>
                <w:rFonts w:eastAsia="Calibri"/>
                <w:bCs/>
              </w:rPr>
              <w:t xml:space="preserve">Direct β </w:t>
              <w:br/>
              <w:t>(p-value)</w:t>
            </w:r>
          </w:p>
        </w:tc>
        <w:tc>
          <w:tcPr>
            <w:tcW w:w="1135" w:type="dxa"/>
            <w:tcBorders>
              <w:top w:val="single" w:sz="4" w:space="0" w:color="000000"/>
              <w:bottom w:val="single" w:sz="4" w:space="0" w:color="000000"/>
            </w:tcBorders>
            <w:vAlign w:val="center"/>
          </w:tcPr>
          <w:p>
            <w:pPr>
              <w:pStyle w:val="Normal"/>
              <w:spacing w:lineRule="auto" w:line="240"/>
              <w:jc w:val="both"/>
              <w:rPr>
                <w:rFonts w:eastAsia="Calibri"/>
                <w:bCs/>
              </w:rPr>
            </w:pPr>
            <w:r>
              <w:rPr>
                <w:rFonts w:eastAsia="Calibri"/>
                <w:bCs/>
              </w:rPr>
              <w:t xml:space="preserve">Indirect β </w:t>
              <w:br/>
              <w:t>(p-value)</w:t>
            </w:r>
          </w:p>
        </w:tc>
        <w:tc>
          <w:tcPr>
            <w:tcW w:w="1127" w:type="dxa"/>
            <w:tcBorders>
              <w:top w:val="single" w:sz="4" w:space="0" w:color="000000"/>
              <w:bottom w:val="single" w:sz="4" w:space="0" w:color="000000"/>
            </w:tcBorders>
            <w:vAlign w:val="center"/>
          </w:tcPr>
          <w:p>
            <w:pPr>
              <w:pStyle w:val="Normal"/>
              <w:spacing w:lineRule="auto" w:line="240"/>
              <w:jc w:val="both"/>
              <w:rPr>
                <w:rFonts w:eastAsia="Calibri"/>
                <w:bCs/>
              </w:rPr>
            </w:pPr>
            <w:r>
              <w:rPr>
                <w:rFonts w:eastAsia="Calibri"/>
                <w:bCs/>
              </w:rPr>
              <w:t xml:space="preserve">Total β </w:t>
              <w:br/>
              <w:t>(p-value)</w:t>
            </w:r>
          </w:p>
        </w:tc>
      </w:tr>
      <w:tr>
        <w:trPr>
          <w:trHeight w:val="1616" w:hRule="atLeast"/>
        </w:trPr>
        <w:tc>
          <w:tcPr>
            <w:tcW w:w="1560" w:type="dxa"/>
            <w:tcBorders/>
          </w:tcPr>
          <w:p>
            <w:pPr>
              <w:pStyle w:val="Normal"/>
              <w:spacing w:lineRule="auto" w:line="240"/>
              <w:ind w:left="-108" w:hanging="0"/>
              <w:jc w:val="both"/>
              <w:rPr>
                <w:rFonts w:eastAsia="Calibri"/>
                <w:bCs/>
              </w:rPr>
            </w:pPr>
            <w:r>
              <w:rPr>
                <w:rFonts w:eastAsia="Calibri"/>
                <w:bCs/>
              </w:rPr>
              <w:t>Attitude</w:t>
            </w:r>
          </w:p>
          <w:p>
            <w:pPr>
              <w:pStyle w:val="Normal"/>
              <w:spacing w:lineRule="auto" w:line="240"/>
              <w:ind w:left="-108" w:hanging="0"/>
              <w:jc w:val="both"/>
              <w:rPr>
                <w:rFonts w:eastAsia="Calibri"/>
                <w:bCs/>
              </w:rPr>
            </w:pPr>
            <w:r>
              <w:rPr>
                <w:rFonts w:eastAsia="Calibri"/>
                <w:bCs/>
              </w:rPr>
              <w:t>(under health belief)</w:t>
            </w:r>
          </w:p>
        </w:tc>
        <w:tc>
          <w:tcPr>
            <w:tcW w:w="1842" w:type="dxa"/>
            <w:vMerge w:val="restart"/>
            <w:tcBorders/>
          </w:tcPr>
          <w:p>
            <w:pPr>
              <w:pStyle w:val="Normal"/>
              <w:spacing w:lineRule="auto" w:line="240"/>
              <w:ind w:left="720" w:hanging="0"/>
              <w:jc w:val="both"/>
              <w:rPr>
                <w:rFonts w:eastAsia="Calibri"/>
                <w:bCs/>
              </w:rPr>
            </w:pPr>
            <w:r>
              <w:rPr>
                <w:rFonts w:eastAsia="Calibri"/>
                <w:bCs/>
              </w:rPr>
              <mc:AlternateContent>
                <mc:Choice Requires="wps">
                  <w:drawing>
                    <wp:anchor behindDoc="0" distT="0" distB="0" distL="0" distR="0" simplePos="0" locked="0" layoutInCell="1" allowOverlap="1" relativeHeight="2" wp14:anchorId="66228B4C">
                      <wp:simplePos x="0" y="0"/>
                      <wp:positionH relativeFrom="column">
                        <wp:posOffset>17780</wp:posOffset>
                      </wp:positionH>
                      <wp:positionV relativeFrom="paragraph">
                        <wp:posOffset>141605</wp:posOffset>
                      </wp:positionV>
                      <wp:extent cx="208915" cy="1270"/>
                      <wp:effectExtent l="0" t="76200" r="20320" b="114300"/>
                      <wp:wrapNone/>
                      <wp:docPr id="3" name="Straight Arrow Connector 101"/>
                      <a:graphic xmlns:a="http://schemas.openxmlformats.org/drawingml/2006/main">
                        <a:graphicData uri="http://schemas.microsoft.com/office/word/2010/wordprocessingShape">
                          <wps:wsp>
                            <wps:cNvSpPr/>
                            <wps:spPr>
                              <a:xfrm>
                                <a:off x="0" y="0"/>
                                <a:ext cx="208440" cy="720"/>
                              </a:xfrm>
                              <a:custGeom>
                                <a:avLst/>
                                <a:gdLst/>
                                <a:ahLst/>
                                <a:rect l="l" t="t" r="r" b="b"/>
                                <a:pathLst>
                                  <a:path w="21600" h="21600">
                                    <a:moveTo>
                                      <a:pt x="0" y="0"/>
                                    </a:moveTo>
                                    <a:lnTo>
                                      <a:pt x="21600" y="21600"/>
                                    </a:lnTo>
                                  </a:path>
                                </a:pathLst>
                              </a:cu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1" stroked="t" style="position:absolute;margin-left:1.4pt;margin-top:11.15pt;width:16.35pt;height:0pt" wp14:anchorId="66228B4C" type="shapetype_32">
                      <w10:wrap type="none"/>
                      <v:fill o:detectmouseclick="t" on="false"/>
                      <v:stroke color="black" weight="9360" endarrow="open" endarrowwidth="medium" endarrowlength="medium" joinstyle="round" endcap="flat"/>
                    </v:shape>
                  </w:pict>
                </mc:Fallback>
              </mc:AlternateContent>
            </w:r>
          </w:p>
          <w:p>
            <w:pPr>
              <w:pStyle w:val="Normal"/>
              <w:spacing w:lineRule="auto" w:line="240"/>
              <w:jc w:val="both"/>
              <w:rPr>
                <w:rFonts w:eastAsia="Calibri"/>
                <w:bCs/>
              </w:rPr>
            </w:pPr>
            <w:r>
              <w:rPr>
                <w:rFonts w:eastAsia="Calibri"/>
                <w:bCs/>
              </w:rPr>
              <w:t>Via</w:t>
            </w:r>
          </w:p>
          <w:p>
            <w:pPr>
              <w:pStyle w:val="Normal"/>
              <w:spacing w:lineRule="auto" w:line="240"/>
              <w:jc w:val="both"/>
              <w:rPr>
                <w:rFonts w:eastAsia="Calibri"/>
                <w:bCs/>
              </w:rPr>
            </w:pPr>
            <w:r>
              <w:rPr>
                <w:rFonts w:eastAsia="Calibri"/>
                <w:bCs/>
              </w:rPr>
              <w:t>Intention</w:t>
            </w:r>
          </w:p>
          <w:p>
            <w:pPr>
              <w:pStyle w:val="Normal"/>
              <w:spacing w:lineRule="auto" w:line="240"/>
              <w:jc w:val="both"/>
              <w:rPr>
                <w:rFonts w:eastAsia="Calibri"/>
                <w:bCs/>
              </w:rPr>
            </w:pPr>
            <w:r>
              <w:rPr>
                <w:rFonts w:eastAsia="Calibri"/>
                <w:bCs/>
              </w:rPr>
              <w:t>Via Depression</w:t>
            </w:r>
          </w:p>
        </w:tc>
        <w:tc>
          <w:tcPr>
            <w:tcW w:w="1700" w:type="dxa"/>
            <w:tcBorders/>
          </w:tcPr>
          <w:p>
            <w:pPr>
              <w:pStyle w:val="Normal"/>
              <w:spacing w:lineRule="auto" w:line="240"/>
              <w:jc w:val="both"/>
              <w:rPr>
                <w:rFonts w:eastAsia="Calibri"/>
                <w:bCs/>
              </w:rPr>
            </w:pPr>
            <w:r>
              <w:rPr>
                <w:rFonts w:eastAsia="Calibri"/>
                <w:bCs/>
              </w:rPr>
              <w:t>Severity 24 hours</w:t>
            </w:r>
          </w:p>
        </w:tc>
        <w:tc>
          <w:tcPr>
            <w:tcW w:w="1134" w:type="dxa"/>
            <w:tcBorders/>
          </w:tcPr>
          <w:p>
            <w:pPr>
              <w:pStyle w:val="Normal"/>
              <w:spacing w:lineRule="auto" w:line="240"/>
              <w:jc w:val="both"/>
              <w:rPr>
                <w:rFonts w:eastAsia="Calibri"/>
                <w:bCs/>
              </w:rPr>
            </w:pPr>
            <w:r>
              <w:rPr>
                <w:rFonts w:eastAsia="Calibri"/>
                <w:bCs/>
              </w:rPr>
              <w:t>-0.26 (&lt;0.001)</w:t>
            </w:r>
          </w:p>
        </w:tc>
        <w:tc>
          <w:tcPr>
            <w:tcW w:w="1135" w:type="dxa"/>
            <w:tcBorders/>
          </w:tcPr>
          <w:p>
            <w:pPr>
              <w:pStyle w:val="Normal"/>
              <w:spacing w:lineRule="auto" w:line="240"/>
              <w:ind w:left="78" w:hanging="2"/>
              <w:jc w:val="both"/>
              <w:rPr>
                <w:rFonts w:eastAsia="Calibri"/>
                <w:bCs/>
              </w:rPr>
            </w:pPr>
            <w:r>
              <w:rPr>
                <w:rFonts w:eastAsia="Calibri"/>
                <w:bCs/>
              </w:rPr>
              <w:t>-0.010 (0.034)</w:t>
            </w:r>
          </w:p>
        </w:tc>
        <w:tc>
          <w:tcPr>
            <w:tcW w:w="1127" w:type="dxa"/>
            <w:tcBorders/>
          </w:tcPr>
          <w:p>
            <w:pPr>
              <w:pStyle w:val="Normal"/>
              <w:spacing w:lineRule="auto" w:line="240"/>
              <w:jc w:val="both"/>
              <w:rPr>
                <w:rFonts w:eastAsia="Calibri"/>
                <w:bCs/>
              </w:rPr>
            </w:pPr>
            <w:r>
              <w:rPr>
                <w:rFonts w:eastAsia="Calibri"/>
                <w:bCs/>
              </w:rPr>
              <w:t>-0.27</w:t>
            </w:r>
          </w:p>
          <w:p>
            <w:pPr>
              <w:pStyle w:val="Normal"/>
              <w:spacing w:lineRule="auto" w:line="240"/>
              <w:jc w:val="both"/>
              <w:rPr>
                <w:rFonts w:eastAsia="Calibri"/>
                <w:bCs/>
              </w:rPr>
            </w:pPr>
            <w:r>
              <w:rPr>
                <w:rFonts w:eastAsia="Calibri"/>
                <w:bCs/>
              </w:rPr>
              <w:t>(&lt;0.001)</w:t>
            </w:r>
          </w:p>
        </w:tc>
      </w:tr>
      <w:tr>
        <w:trPr>
          <w:trHeight w:val="553" w:hRule="atLeast"/>
        </w:trPr>
        <w:tc>
          <w:tcPr>
            <w:tcW w:w="1560" w:type="dxa"/>
            <w:tcBorders/>
          </w:tcPr>
          <w:p>
            <w:pPr>
              <w:pStyle w:val="Normal"/>
              <w:spacing w:lineRule="auto" w:line="240"/>
              <w:ind w:left="720" w:hanging="0"/>
              <w:jc w:val="both"/>
              <w:rPr>
                <w:rFonts w:eastAsia="Calibri"/>
                <w:bCs/>
              </w:rPr>
            </w:pPr>
            <w:r>
              <w:rPr>
                <w:rFonts w:eastAsia="Calibri"/>
                <w:bCs/>
              </w:rPr>
            </w:r>
          </w:p>
        </w:tc>
        <w:tc>
          <w:tcPr>
            <w:tcW w:w="1842" w:type="dxa"/>
            <w:vMerge w:val="continue"/>
            <w:tcBorders/>
          </w:tcPr>
          <w:p>
            <w:pPr>
              <w:pStyle w:val="Normal"/>
              <w:spacing w:lineRule="auto" w:line="240"/>
              <w:ind w:left="720" w:hanging="0"/>
              <w:jc w:val="both"/>
              <w:rPr>
                <w:rFonts w:eastAsia="Calibri"/>
                <w:bCs/>
              </w:rPr>
            </w:pPr>
            <w:r>
              <w:rPr>
                <w:rFonts w:eastAsia="Calibri"/>
                <w:bCs/>
              </w:rPr>
            </w:r>
          </w:p>
        </w:tc>
        <w:tc>
          <w:tcPr>
            <w:tcW w:w="1700" w:type="dxa"/>
            <w:tcBorders/>
          </w:tcPr>
          <w:p>
            <w:pPr>
              <w:pStyle w:val="Normal"/>
              <w:spacing w:lineRule="auto" w:line="240"/>
              <w:ind w:left="720" w:hanging="0"/>
              <w:jc w:val="both"/>
              <w:rPr>
                <w:rFonts w:eastAsia="Calibri"/>
                <w:bCs/>
              </w:rPr>
            </w:pPr>
            <w:r>
              <w:rPr>
                <w:rFonts w:eastAsia="Calibri"/>
                <w:bCs/>
              </w:rPr>
            </w:r>
          </w:p>
        </w:tc>
        <w:tc>
          <w:tcPr>
            <w:tcW w:w="1134" w:type="dxa"/>
            <w:tcBorders/>
          </w:tcPr>
          <w:p>
            <w:pPr>
              <w:pStyle w:val="Normal"/>
              <w:spacing w:lineRule="auto" w:line="240"/>
              <w:ind w:left="720" w:hanging="0"/>
              <w:jc w:val="both"/>
              <w:rPr>
                <w:rFonts w:eastAsia="Calibri"/>
                <w:bCs/>
              </w:rPr>
            </w:pPr>
            <w:r>
              <w:rPr>
                <w:rFonts w:eastAsia="Calibri"/>
                <w:bCs/>
              </w:rPr>
            </w:r>
          </w:p>
        </w:tc>
        <w:tc>
          <w:tcPr>
            <w:tcW w:w="1135" w:type="dxa"/>
            <w:tcBorders/>
          </w:tcPr>
          <w:p>
            <w:pPr>
              <w:pStyle w:val="Normal"/>
              <w:spacing w:lineRule="auto" w:line="240"/>
              <w:ind w:left="720" w:hanging="0"/>
              <w:jc w:val="both"/>
              <w:rPr>
                <w:rFonts w:eastAsia="Calibri"/>
                <w:bCs/>
              </w:rPr>
            </w:pPr>
            <w:r>
              <w:rPr>
                <w:rFonts w:eastAsia="Calibri"/>
                <w:bCs/>
              </w:rPr>
            </w:r>
          </w:p>
        </w:tc>
        <w:tc>
          <w:tcPr>
            <w:tcW w:w="1127" w:type="dxa"/>
            <w:tcBorders/>
          </w:tcPr>
          <w:p>
            <w:pPr>
              <w:pStyle w:val="Normal"/>
              <w:spacing w:lineRule="auto" w:line="240"/>
              <w:ind w:left="720" w:hanging="0"/>
              <w:jc w:val="both"/>
              <w:rPr>
                <w:rFonts w:eastAsia="Calibri"/>
                <w:bCs/>
              </w:rPr>
            </w:pPr>
            <w:r>
              <w:rPr>
                <w:rFonts w:eastAsia="Calibri"/>
                <w:bCs/>
              </w:rPr>
            </w:r>
          </w:p>
        </w:tc>
      </w:tr>
      <w:tr>
        <w:trPr>
          <w:trHeight w:val="1016" w:hRule="atLeast"/>
        </w:trPr>
        <w:tc>
          <w:tcPr>
            <w:tcW w:w="1560" w:type="dxa"/>
            <w:tcBorders>
              <w:bottom w:val="single" w:sz="4" w:space="0" w:color="000000"/>
            </w:tcBorders>
          </w:tcPr>
          <w:p>
            <w:pPr>
              <w:pStyle w:val="Normal"/>
              <w:spacing w:lineRule="auto" w:line="240"/>
              <w:ind w:left="-18" w:hanging="0"/>
              <w:jc w:val="both"/>
              <w:rPr>
                <w:rFonts w:eastAsia="Calibri"/>
                <w:bCs/>
              </w:rPr>
            </w:pPr>
            <w:r>
              <w:rPr>
                <w:rFonts w:eastAsia="Calibri"/>
                <w:bCs/>
              </w:rPr>
              <w:t>Perceived Behavioural Control. (under health belief)</w:t>
            </w:r>
          </w:p>
        </w:tc>
        <w:tc>
          <w:tcPr>
            <w:tcW w:w="1842" w:type="dxa"/>
            <w:tcBorders>
              <w:bottom w:val="single" w:sz="4" w:space="0" w:color="000000"/>
            </w:tcBorders>
          </w:tcPr>
          <w:p>
            <w:pPr>
              <w:pStyle w:val="Normal"/>
              <w:spacing w:lineRule="auto" w:line="240"/>
              <w:ind w:left="720" w:hanging="0"/>
              <w:jc w:val="both"/>
              <w:rPr>
                <w:rFonts w:eastAsia="Calibri"/>
                <w:bCs/>
              </w:rPr>
            </w:pPr>
            <w:r>
              <w:rPr>
                <w:rFonts w:eastAsia="Calibri"/>
                <w:bCs/>
              </w:rPr>
              <mc:AlternateContent>
                <mc:Choice Requires="wps">
                  <w:drawing>
                    <wp:anchor behindDoc="0" distT="0" distB="0" distL="0" distR="0" simplePos="0" locked="0" layoutInCell="1" allowOverlap="1" relativeHeight="3" wp14:anchorId="765E8F6A">
                      <wp:simplePos x="0" y="0"/>
                      <wp:positionH relativeFrom="column">
                        <wp:posOffset>17780</wp:posOffset>
                      </wp:positionH>
                      <wp:positionV relativeFrom="paragraph">
                        <wp:posOffset>116840</wp:posOffset>
                      </wp:positionV>
                      <wp:extent cx="208915" cy="1270"/>
                      <wp:effectExtent l="0" t="76200" r="20320" b="114300"/>
                      <wp:wrapNone/>
                      <wp:docPr id="4" name="Straight Arrow Connector 102"/>
                      <a:graphic xmlns:a="http://schemas.openxmlformats.org/drawingml/2006/main">
                        <a:graphicData uri="http://schemas.microsoft.com/office/word/2010/wordprocessingShape">
                          <wps:wsp>
                            <wps:cNvSpPr/>
                            <wps:spPr>
                              <a:xfrm>
                                <a:off x="0" y="0"/>
                                <a:ext cx="208440" cy="720"/>
                              </a:xfrm>
                              <a:custGeom>
                                <a:avLst/>
                                <a:gdLst/>
                                <a:ahLst/>
                                <a:rect l="l" t="t" r="r" b="b"/>
                                <a:pathLst>
                                  <a:path w="21600" h="21600">
                                    <a:moveTo>
                                      <a:pt x="0" y="0"/>
                                    </a:moveTo>
                                    <a:lnTo>
                                      <a:pt x="21600" y="21600"/>
                                    </a:lnTo>
                                  </a:path>
                                </a:pathLst>
                              </a:cu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102" stroked="t" style="position:absolute;margin-left:1.4pt;margin-top:9.2pt;width:16.35pt;height:0pt" wp14:anchorId="765E8F6A" type="shapetype_32">
                      <w10:wrap type="none"/>
                      <v:fill o:detectmouseclick="t" on="false"/>
                      <v:stroke color="black" weight="9360" endarrow="open" endarrowwidth="medium" endarrowlength="medium" joinstyle="round" endcap="flat"/>
                    </v:shape>
                  </w:pict>
                </mc:Fallback>
              </mc:AlternateContent>
            </w:r>
          </w:p>
          <w:p>
            <w:pPr>
              <w:pStyle w:val="Normal"/>
              <w:spacing w:lineRule="auto" w:line="240"/>
              <w:jc w:val="both"/>
              <w:rPr>
                <w:rFonts w:eastAsia="Calibri"/>
                <w:bCs/>
              </w:rPr>
            </w:pPr>
            <w:r>
              <w:rPr>
                <w:rFonts w:eastAsia="Calibri"/>
                <w:bCs/>
              </w:rPr>
              <w:t>Via Intention</w:t>
            </w:r>
          </w:p>
        </w:tc>
        <w:tc>
          <w:tcPr>
            <w:tcW w:w="1700" w:type="dxa"/>
            <w:tcBorders>
              <w:bottom w:val="single" w:sz="4" w:space="0" w:color="000000"/>
            </w:tcBorders>
          </w:tcPr>
          <w:p>
            <w:pPr>
              <w:pStyle w:val="Normal"/>
              <w:spacing w:lineRule="auto" w:line="240"/>
              <w:jc w:val="both"/>
              <w:rPr>
                <w:rFonts w:eastAsia="Calibri"/>
                <w:bCs/>
              </w:rPr>
            </w:pPr>
            <w:r>
              <w:rPr>
                <w:rFonts w:eastAsia="Calibri"/>
                <w:bCs/>
              </w:rPr>
              <w:t>Diet</w:t>
            </w:r>
          </w:p>
        </w:tc>
        <w:tc>
          <w:tcPr>
            <w:tcW w:w="1134" w:type="dxa"/>
            <w:tcBorders>
              <w:bottom w:val="single" w:sz="4" w:space="0" w:color="000000"/>
            </w:tcBorders>
          </w:tcPr>
          <w:p>
            <w:pPr>
              <w:pStyle w:val="Normal"/>
              <w:spacing w:lineRule="auto" w:line="240"/>
              <w:ind w:left="303" w:hanging="0"/>
              <w:jc w:val="both"/>
              <w:rPr>
                <w:rFonts w:eastAsia="Calibri"/>
                <w:bCs/>
              </w:rPr>
            </w:pPr>
            <w:r>
              <w:rPr>
                <w:rFonts w:eastAsia="Calibri"/>
                <w:bCs/>
              </w:rPr>
              <w:t>0.41 (&lt;0.001)</w:t>
            </w:r>
          </w:p>
        </w:tc>
        <w:tc>
          <w:tcPr>
            <w:tcW w:w="1135" w:type="dxa"/>
            <w:tcBorders>
              <w:bottom w:val="single" w:sz="4" w:space="0" w:color="000000"/>
            </w:tcBorders>
          </w:tcPr>
          <w:p>
            <w:pPr>
              <w:pStyle w:val="Normal"/>
              <w:spacing w:lineRule="auto" w:line="240"/>
              <w:ind w:left="24" w:firstLine="281"/>
              <w:jc w:val="both"/>
              <w:rPr>
                <w:rFonts w:eastAsia="Calibri"/>
                <w:bCs/>
              </w:rPr>
            </w:pPr>
            <w:r>
              <w:rPr>
                <w:rFonts w:eastAsia="Calibri"/>
                <w:bCs/>
              </w:rPr>
              <w:t xml:space="preserve">0.05 </w:t>
            </w:r>
          </w:p>
          <w:p>
            <w:pPr>
              <w:pStyle w:val="Normal"/>
              <w:spacing w:lineRule="auto" w:line="240"/>
              <w:ind w:left="204" w:hanging="0"/>
              <w:jc w:val="both"/>
              <w:rPr>
                <w:rFonts w:eastAsia="Calibri"/>
                <w:bCs/>
              </w:rPr>
            </w:pPr>
            <w:r>
              <w:rPr>
                <w:rFonts w:eastAsia="Calibri"/>
                <w:bCs/>
              </w:rPr>
              <w:t>(0.030)</w:t>
            </w:r>
          </w:p>
        </w:tc>
        <w:tc>
          <w:tcPr>
            <w:tcW w:w="1127" w:type="dxa"/>
            <w:tcBorders>
              <w:bottom w:val="single" w:sz="4" w:space="0" w:color="000000"/>
            </w:tcBorders>
          </w:tcPr>
          <w:p>
            <w:pPr>
              <w:pStyle w:val="Normal"/>
              <w:spacing w:lineRule="auto" w:line="240"/>
              <w:jc w:val="both"/>
              <w:rPr>
                <w:rFonts w:eastAsia="Calibri"/>
                <w:bCs/>
              </w:rPr>
            </w:pPr>
            <w:r>
              <w:rPr>
                <w:rFonts w:eastAsia="Calibri"/>
                <w:bCs/>
              </w:rPr>
              <w:t>0.46 (&lt;0.001)</w:t>
            </w:r>
          </w:p>
        </w:tc>
      </w:tr>
    </w:tbl>
    <w:p>
      <w:pPr>
        <w:pStyle w:val="Normal"/>
        <w:spacing w:lineRule="auto" w:line="240"/>
        <w:ind w:left="-18" w:hanging="0"/>
        <w:jc w:val="both"/>
        <w:rPr>
          <w:rFonts w:eastAsia="Calibri"/>
          <w:bCs/>
        </w:rPr>
      </w:pPr>
      <w:r>
        <w:rPr>
          <w:rFonts w:eastAsia="Calibri"/>
          <w:bCs/>
          <w:sz w:val="22"/>
          <w:szCs w:val="22"/>
        </w:rPr>
        <w:t xml:space="preserve">Note: *p-value&lt;0.05, Via=through. </w:t>
      </w:r>
    </w:p>
    <w:p>
      <w:pPr>
        <w:pStyle w:val="Normal"/>
        <w:rPr/>
      </w:pPr>
      <w:r>
        <w:rPr/>
      </w:r>
    </w:p>
    <w:p>
      <w:pPr>
        <w:pStyle w:val="Normal"/>
        <w:rPr/>
      </w:pPr>
      <w:r>
        <w:rPr/>
        <w:t>[[/TABLE ID="table-3"]]</w:t>
      </w:r>
    </w:p>
    <w:sectPr>
      <w:type w:val="nextPage"/>
      <w:pgSz w:w="12240" w:h="15840"/>
      <w:pgMar w:left="1440" w:right="1440" w:header="0" w:top="1440" w:footer="0" w:bottom="1440" w:gutter="0"/>
      <w:lnNumType w:countBy="1" w:restart="continuous" w:distance="2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Wingdings">
    <w:charset w:val="02"/>
    <w:family w:val="roman"/>
    <w:pitch w:val="variable"/>
  </w:font>
</w:fonts>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a575a"/>
    <w:pPr>
      <w:widowControl/>
      <w:bidi w:val="0"/>
      <w:spacing w:lineRule="auto" w:line="276" w:before="0" w:after="0"/>
      <w:contextualSpacing/>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b77860"/>
    <w:pPr>
      <w:keepNext w:val="true"/>
      <w:keepLines/>
      <w:spacing w:before="400" w:after="120"/>
      <w:contextualSpacing/>
      <w:outlineLvl w:val="0"/>
    </w:pPr>
    <w:rPr>
      <w:sz w:val="40"/>
      <w:szCs w:val="40"/>
    </w:rPr>
  </w:style>
  <w:style w:type="paragraph" w:styleId="Heading2">
    <w:name w:val="Heading 2"/>
    <w:basedOn w:val="Normal1"/>
    <w:next w:val="Normal1"/>
    <w:qFormat/>
    <w:rsid w:val="00b77860"/>
    <w:pPr>
      <w:keepNext w:val="true"/>
      <w:keepLines/>
      <w:spacing w:before="360" w:after="120"/>
      <w:contextualSpacing/>
      <w:outlineLvl w:val="1"/>
    </w:pPr>
    <w:rPr>
      <w:sz w:val="32"/>
      <w:szCs w:val="32"/>
    </w:rPr>
  </w:style>
  <w:style w:type="paragraph" w:styleId="Heading3">
    <w:name w:val="Heading 3"/>
    <w:basedOn w:val="Normal1"/>
    <w:next w:val="Normal1"/>
    <w:qFormat/>
    <w:rsid w:val="00b77860"/>
    <w:pPr>
      <w:keepNext w:val="true"/>
      <w:keepLines/>
      <w:spacing w:before="320" w:after="80"/>
      <w:contextualSpacing/>
      <w:outlineLvl w:val="2"/>
    </w:pPr>
    <w:rPr>
      <w:color w:val="434343"/>
      <w:sz w:val="28"/>
      <w:szCs w:val="28"/>
    </w:rPr>
  </w:style>
  <w:style w:type="paragraph" w:styleId="Heading4">
    <w:name w:val="Heading 4"/>
    <w:basedOn w:val="Normal1"/>
    <w:next w:val="Normal1"/>
    <w:qFormat/>
    <w:rsid w:val="00b77860"/>
    <w:pPr>
      <w:keepNext w:val="true"/>
      <w:keepLines/>
      <w:spacing w:before="280" w:after="80"/>
      <w:contextualSpacing/>
      <w:outlineLvl w:val="3"/>
    </w:pPr>
    <w:rPr>
      <w:color w:val="666666"/>
      <w:sz w:val="24"/>
      <w:szCs w:val="24"/>
    </w:rPr>
  </w:style>
  <w:style w:type="paragraph" w:styleId="Heading5">
    <w:name w:val="Heading 5"/>
    <w:basedOn w:val="Normal1"/>
    <w:next w:val="Normal1"/>
    <w:qFormat/>
    <w:rsid w:val="00b77860"/>
    <w:pPr>
      <w:keepNext w:val="true"/>
      <w:keepLines/>
      <w:spacing w:before="240" w:after="80"/>
      <w:contextualSpacing/>
      <w:outlineLvl w:val="4"/>
    </w:pPr>
    <w:rPr>
      <w:color w:val="666666"/>
    </w:rPr>
  </w:style>
  <w:style w:type="paragraph" w:styleId="Heading6">
    <w:name w:val="Heading 6"/>
    <w:basedOn w:val="Normal1"/>
    <w:next w:val="Normal1"/>
    <w:qFormat/>
    <w:rsid w:val="00b77860"/>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7c7029"/>
    <w:rPr>
      <w:color w:val="0000FF" w:themeColor="hyperlink"/>
      <w:u w:val="single"/>
    </w:rPr>
  </w:style>
  <w:style w:type="character" w:styleId="VisitedInternetLink">
    <w:name w:val="FollowedHyperlink"/>
    <w:basedOn w:val="DefaultParagraphFont"/>
    <w:rsid w:val="00a37569"/>
    <w:rPr>
      <w:color w:val="800080" w:themeColor="followedHyperlink"/>
      <w:u w:val="single"/>
    </w:rPr>
  </w:style>
  <w:style w:type="character" w:styleId="Linenumber">
    <w:name w:val="line number"/>
    <w:basedOn w:val="DefaultParagraphFont"/>
    <w:qFormat/>
    <w:rsid w:val="00932e96"/>
    <w:rPr/>
  </w:style>
  <w:style w:type="character" w:styleId="UnresolvedMention1" w:customStyle="1">
    <w:name w:val="Unresolved Mention1"/>
    <w:basedOn w:val="DefaultParagraphFont"/>
    <w:uiPriority w:val="99"/>
    <w:semiHidden/>
    <w:unhideWhenUsed/>
    <w:qFormat/>
    <w:rsid w:val="00003a11"/>
    <w:rPr>
      <w:color w:val="605E5C"/>
      <w:shd w:fill="E1DFDD" w:val="clear"/>
    </w:rPr>
  </w:style>
  <w:style w:type="character" w:styleId="Appleconvertedspace" w:customStyle="1">
    <w:name w:val="apple-converted-space"/>
    <w:basedOn w:val="DefaultParagraphFont"/>
    <w:qFormat/>
    <w:rsid w:val="00ef635e"/>
    <w:rPr/>
  </w:style>
  <w:style w:type="character" w:styleId="Emphasis">
    <w:name w:val="Emphasis"/>
    <w:basedOn w:val="DefaultParagraphFont"/>
    <w:uiPriority w:val="20"/>
    <w:qFormat/>
    <w:rsid w:val="00ef635e"/>
    <w:rPr>
      <w:i/>
      <w:iC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b77860"/>
    <w:pPr>
      <w:widowControl/>
      <w:bidi w:val="0"/>
      <w:spacing w:lineRule="auto" w:line="276" w:before="0" w:after="0"/>
      <w:contextualSpacing/>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b77860"/>
    <w:pPr>
      <w:keepNext w:val="true"/>
      <w:keepLines/>
      <w:spacing w:before="0" w:after="60"/>
      <w:contextualSpacing/>
    </w:pPr>
    <w:rPr>
      <w:sz w:val="52"/>
      <w:szCs w:val="52"/>
    </w:rPr>
  </w:style>
  <w:style w:type="paragraph" w:styleId="Subtitle">
    <w:name w:val="Subtitle"/>
    <w:basedOn w:val="Normal1"/>
    <w:next w:val="Normal1"/>
    <w:qFormat/>
    <w:rsid w:val="00b77860"/>
    <w:pPr>
      <w:keepNext w:val="true"/>
      <w:keepLines/>
      <w:spacing w:before="0" w:after="320"/>
      <w:contextualSpacing/>
    </w:pPr>
    <w:rPr>
      <w:color w:val="666666"/>
      <w:sz w:val="30"/>
      <w:szCs w:val="30"/>
    </w:rPr>
  </w:style>
  <w:style w:type="paragraph" w:styleId="ListParagraph">
    <w:name w:val="List Paragraph"/>
    <w:basedOn w:val="Normal"/>
    <w:qFormat/>
    <w:rsid w:val="00fd22be"/>
    <w:pPr>
      <w:ind w:left="720" w:hanging="0"/>
    </w:pPr>
    <w:rPr/>
  </w:style>
  <w:style w:type="paragraph" w:styleId="NormalWeb">
    <w:name w:val="Normal (Web)"/>
    <w:basedOn w:val="Normal"/>
    <w:uiPriority w:val="99"/>
    <w:qFormat/>
    <w:rsid w:val="00aa18ed"/>
    <w:pPr>
      <w:spacing w:lineRule="auto" w:line="240" w:before="0" w:after="0"/>
    </w:pPr>
    <w:rPr>
      <w:rFonts w:ascii="Times" w:hAnsi="Times" w:cs="Times New Roman"/>
      <w:sz w:val="20"/>
      <w:szCs w:val="20"/>
    </w:rPr>
  </w:style>
  <w:style w:type="paragraph" w:styleId="Revision">
    <w:name w:val="Revision"/>
    <w:semiHidden/>
    <w:qFormat/>
    <w:rsid w:val="003e7b07"/>
    <w:pPr>
      <w:widowControl/>
      <w:bidi w:val="0"/>
      <w:spacing w:lineRule="auto" w:line="240" w:before="0" w:after="0"/>
      <w:jc w:val="left"/>
    </w:pPr>
    <w:rPr>
      <w:rFonts w:ascii="Arial" w:hAnsi="Arial" w:eastAsia="Arial" w:cs="Arial"/>
      <w:color w:val="auto"/>
      <w:kern w:val="0"/>
      <w:sz w:val="22"/>
      <w:szCs w:val="22"/>
      <w:lang w:val="en-US" w:eastAsia="en-US" w:bidi="ar-SA"/>
    </w:rPr>
  </w:style>
  <w:style w:type="paragraph" w:styleId="Para1" w:customStyle="1">
    <w:name w:val="Para 1"/>
    <w:basedOn w:val="Normal"/>
    <w:uiPriority w:val="99"/>
    <w:qFormat/>
    <w:rsid w:val="00fb5496"/>
    <w:pPr>
      <w:spacing w:lineRule="auto" w:line="480" w:before="240" w:after="240"/>
      <w:ind w:firstLine="720"/>
      <w:jc w:val="both"/>
    </w:pPr>
    <w:rPr>
      <w:rFonts w:ascii="Times New Roman" w:hAnsi="Times New Roman" w:eastAsia="Cambria" w:cs="" w:cstheme="minorBidi" w:eastAsiaTheme="minorHAnsi"/>
      <w:sz w:val="24"/>
    </w:rPr>
  </w:style>
  <w:style w:type="paragraph" w:styleId="Tabletitle" w:customStyle="1">
    <w:name w:val="Table title"/>
    <w:basedOn w:val="Normal"/>
    <w:next w:val="Normal"/>
    <w:qFormat/>
    <w:rsid w:val="00005dc3"/>
    <w:pPr>
      <w:spacing w:lineRule="auto" w:line="360" w:before="240" w:after="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26b3f"/>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1211">
    <w:name w:val="Table Grid11211"/>
    <w:basedOn w:val="TableNormal"/>
    <w:uiPriority w:val="59"/>
    <w:rsid w:val="00005dc3"/>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occmed/kqu024"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19</Pages>
  <Words>7023</Words>
  <Characters>41828</Characters>
  <CharactersWithSpaces>48565</CharactersWithSpaces>
  <Paragraphs>286</Paragraphs>
  <Company>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2024-03-21T04:28:00Z</dcterms:created>
  <dc:creator>User</dc:creator>
  <dc:description/>
  <dc:language>en-US</dc:language>
  <cp:lastModifiedBy/>
  <dcterms:modified xsi:type="dcterms:W3CDTF">2024-04-30T14:37:01Z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