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drawing>
          <wp:inline xmlns:a="http://schemas.openxmlformats.org/drawingml/2006/main" xmlns:pic="http://schemas.openxmlformats.org/drawingml/2006/picture">
            <wp:extent cx="1645920" cy="669786"/>
            <wp:docPr id="1" name="Picture 1"/>
            <wp:cNvGraphicFramePr>
              <a:graphicFrameLocks noChangeAspect="1"/>
            </wp:cNvGraphicFramePr>
            <a:graphic>
              <a:graphicData uri="http://schemas.openxmlformats.org/drawingml/2006/picture">
                <pic:pic>
                  <pic:nvPicPr>
                    <pic:cNvPr id="0" name="GPSC_logo_ART.png"/>
                    <pic:cNvPicPr/>
                  </pic:nvPicPr>
                  <pic:blipFill>
                    <a:blip r:embed="rId11"/>
                    <a:stretch>
                      <a:fillRect/>
                    </a:stretch>
                  </pic:blipFill>
                  <pic:spPr>
                    <a:xfrm>
                      <a:off x="0" y="0"/>
                      <a:ext cx="1645920" cy="669786"/>
                    </a:xfrm>
                    <a:prstGeom prst="rect"/>
                  </pic:spPr>
                </pic:pic>
              </a:graphicData>
            </a:graphic>
          </wp:inline>
        </w:drawing>
      </w:r>
    </w:p>
    <w:p>
      <w:pPr>
        <w:spacing w:before="120" w:after="40"/>
        <w:jc w:val="center"/>
      </w:pPr>
      <w:r>
        <w:rPr>
          <w:rFonts w:ascii="Arial" w:hAnsi="Arial"/>
          <w:b/>
          <w:color w:val="1B365D"/>
          <w:sz w:val="32"/>
        </w:rPr>
        <w:t>REPORT</w:t>
      </w:r>
    </w:p>
    <w:p>
      <w:pPr>
        <w:spacing w:after="40"/>
        <w:jc w:val="center"/>
      </w:pPr>
      <w:r>
        <w:rPr>
          <w:rFonts w:ascii="Arial" w:hAnsi="Arial"/>
          <w:b/>
          <w:sz w:val="30"/>
        </w:rPr>
        <w:t>Transformer Remaining Life Assessment of</w:t>
        <w:br/>
      </w:r>
      <w:r>
        <w:rPr>
          <w:rFonts w:ascii="Arial" w:hAnsi="Arial"/>
          <w:b/>
          <w:sz w:val="30"/>
        </w:rPr>
        <w:t>40 MVA 115kV – 22kV TRANSFORMER</w:t>
        <w:br/>
      </w:r>
      <w:r>
        <w:rPr>
          <w:rFonts w:ascii="Arial" w:hAnsi="Arial"/>
          <w:b/>
          <w:color w:val="2563EB"/>
          <w:sz w:val="32"/>
        </w:rPr>
        <w:t>DAIHEN S/N PP0158B01</w:t>
        <w:br/>
        <w:t>34101-TR-001 (CUP-3)</w:t>
      </w:r>
    </w:p>
    <w:p>
      <w:pPr>
        <w:spacing w:before="160" w:after="240"/>
        <w:jc w:val="center"/>
      </w:pPr>
      <w:r>
        <w:drawing>
          <wp:inline xmlns:a="http://schemas.openxmlformats.org/drawingml/2006/main" xmlns:pic="http://schemas.openxmlformats.org/drawingml/2006/picture">
            <wp:extent cx="3291840" cy="2468880"/>
            <wp:docPr id="2" name="Picture 2"/>
            <wp:cNvGraphicFramePr>
              <a:graphicFrameLocks noChangeAspect="1"/>
            </wp:cNvGraphicFramePr>
            <a:graphic>
              <a:graphicData uri="http://schemas.openxmlformats.org/drawingml/2006/picture">
                <pic:pic>
                  <pic:nvPicPr>
                    <pic:cNvPr id="0" name="34101-TR-001.jpg"/>
                    <pic:cNvPicPr/>
                  </pic:nvPicPr>
                  <pic:blipFill>
                    <a:blip r:embed="rId12"/>
                    <a:stretch>
                      <a:fillRect/>
                    </a:stretch>
                  </pic:blipFill>
                  <pic:spPr>
                    <a:xfrm>
                      <a:off x="0" y="0"/>
                      <a:ext cx="3291840" cy="2468880"/>
                    </a:xfrm>
                    <a:prstGeom prst="rect"/>
                  </pic:spPr>
                </pic:pic>
              </a:graphicData>
            </a:graphic>
          </wp:inline>
        </w:drawing>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3154"/>
        <w:gridCol w:w="3154"/>
        <w:gridCol w:w="3154"/>
      </w:tblGrid>
      <w:tr>
        <w:tc>
          <w:tcPr>
            <w:tcW w:type="dxa" w:w="3154"/>
            <w:shd w:fill="F1F5F9"/>
            <w:tcMar>
              <w:top w:w="40" w:type="dxa"/>
              <w:bottom w:w="40" w:type="dxa"/>
              <w:left w:w="80" w:type="dxa"/>
              <w:right w:w="80" w:type="dxa"/>
            </w:tcMar>
          </w:tcPr>
          <w:p>
            <w:pPr>
              <w:spacing w:after="20"/>
            </w:pPr>
            <w:r>
              <w:rPr>
                <w:rFonts w:ascii="Calibri" w:hAnsi="Calibri"/>
                <w:sz w:val="17"/>
              </w:rPr>
              <w:t>Attention</w:t>
            </w:r>
          </w:p>
        </w:tc>
        <w:tc>
          <w:tcPr>
            <w:tcW w:type="dxa" w:w="6308"/>
            <w:gridSpan w:val="2"/>
            <w:tcMar>
              <w:top w:w="40" w:type="dxa"/>
              <w:bottom w:w="40" w:type="dxa"/>
              <w:left w:w="80" w:type="dxa"/>
              <w:right w:w="80" w:type="dxa"/>
            </w:tcMar>
            <w:tcMar>
              <w:top w:w="40" w:type="dxa"/>
              <w:bottom w:w="40" w:type="dxa"/>
              <w:left w:w="80" w:type="dxa"/>
              <w:right w:w="80" w:type="dxa"/>
            </w:tcMar>
          </w:tcPr>
          <w:p>
            <w:pPr>
              <w:spacing w:after="20"/>
            </w:pPr>
            <w:r>
              <w:rPr>
                <w:rFonts w:ascii="Calibri" w:hAnsi="Calibri"/>
                <w:sz w:val="17"/>
              </w:rPr>
              <w:t>Mr. Sittipong Kerdmanee</w:t>
              <w:br/>
              <w:t>Mr. Suchat Mondopyai, and Mr. Pimchart Promkhandee</w:t>
            </w:r>
          </w:p>
        </w:tc>
      </w:tr>
      <w:tr>
        <w:tc>
          <w:tcPr>
            <w:tcW w:type="dxa" w:w="3154"/>
            <w:shd w:fill="F1F5F9"/>
            <w:tcMar>
              <w:top w:w="40" w:type="dxa"/>
              <w:bottom w:w="40" w:type="dxa"/>
              <w:left w:w="80" w:type="dxa"/>
              <w:right w:w="80" w:type="dxa"/>
            </w:tcMar>
          </w:tcPr>
          <w:p>
            <w:pPr>
              <w:spacing w:after="20"/>
            </w:pPr>
            <w:r>
              <w:rPr>
                <w:rFonts w:ascii="Calibri" w:hAnsi="Calibri"/>
                <w:sz w:val="17"/>
              </w:rPr>
              <w:t>Report Date</w:t>
            </w:r>
          </w:p>
        </w:tc>
        <w:tc>
          <w:tcPr>
            <w:tcW w:type="dxa" w:w="6308"/>
            <w:gridSpan w:val="2"/>
            <w:tcMar>
              <w:top w:w="40" w:type="dxa"/>
              <w:bottom w:w="40" w:type="dxa"/>
              <w:left w:w="80" w:type="dxa"/>
              <w:right w:w="80" w:type="dxa"/>
            </w:tcMar>
            <w:tcMar>
              <w:top w:w="40" w:type="dxa"/>
              <w:bottom w:w="40" w:type="dxa"/>
              <w:left w:w="80" w:type="dxa"/>
              <w:right w:w="80" w:type="dxa"/>
            </w:tcMar>
          </w:tcPr>
          <w:p>
            <w:pPr>
              <w:spacing w:after="20"/>
            </w:pPr>
            <w:r>
              <w:rPr>
                <w:rFonts w:ascii="Calibri" w:hAnsi="Calibri"/>
                <w:sz w:val="17"/>
              </w:rPr>
              <w:t>September 2026</w:t>
            </w:r>
          </w:p>
        </w:tc>
      </w:tr>
      <w:tr>
        <w:tc>
          <w:tcPr>
            <w:tcW w:type="dxa" w:w="9462"/>
            <w:gridSpan w:val="3"/>
            <w:shd w:fill="E2E8F0"/>
            <w:tcMar>
              <w:top w:w="40" w:type="dxa"/>
              <w:bottom w:w="40" w:type="dxa"/>
              <w:left w:w="80" w:type="dxa"/>
              <w:right w:w="80" w:type="dxa"/>
            </w:tcMar>
            <w:tcMar>
              <w:top w:w="40" w:type="dxa"/>
              <w:bottom w:w="40" w:type="dxa"/>
              <w:left w:w="80" w:type="dxa"/>
              <w:right w:w="80" w:type="dxa"/>
            </w:tcMar>
            <w:tcMar>
              <w:top w:w="40" w:type="dxa"/>
              <w:bottom w:w="40" w:type="dxa"/>
              <w:left w:w="80" w:type="dxa"/>
              <w:right w:w="80" w:type="dxa"/>
            </w:tcMar>
          </w:tcPr>
          <w:p>
            <w:pPr>
              <w:spacing w:after="20"/>
            </w:pPr>
            <w:r>
              <w:rPr>
                <w:rFonts w:ascii="Calibri" w:hAnsi="Calibri"/>
                <w:sz w:val="17"/>
              </w:rPr>
              <w:t>Panel Members for the Final Report &amp; Engineering Support Team</w:t>
            </w:r>
          </w:p>
        </w:tc>
      </w:tr>
      <w:tr>
        <w:tc>
          <w:tcPr>
            <w:tcW w:type="dxa" w:w="3154"/>
            <w:shd w:fill="F8FAFC"/>
            <w:tcMar>
              <w:top w:w="40" w:type="dxa"/>
              <w:bottom w:w="40" w:type="dxa"/>
              <w:left w:w="80" w:type="dxa"/>
              <w:right w:w="80" w:type="dxa"/>
            </w:tcMar>
          </w:tcPr>
          <w:p>
            <w:pPr>
              <w:spacing w:after="20"/>
            </w:pPr>
            <w:r>
              <w:rPr>
                <w:rFonts w:ascii="Calibri" w:hAnsi="Calibri"/>
                <w:sz w:val="17"/>
              </w:rPr>
              <w:t>Prepared, Examined by</w:t>
            </w:r>
          </w:p>
        </w:tc>
        <w:tc>
          <w:tcPr>
            <w:tcW w:type="dxa" w:w="3154"/>
            <w:tcMar>
              <w:top w:w="40" w:type="dxa"/>
              <w:bottom w:w="40" w:type="dxa"/>
              <w:left w:w="80" w:type="dxa"/>
              <w:right w:w="80" w:type="dxa"/>
            </w:tcMar>
          </w:tcPr>
          <w:p>
            <w:pPr>
              <w:spacing w:after="20"/>
            </w:pPr>
            <w:r>
              <w:rPr>
                <w:rFonts w:ascii="Calibri" w:hAnsi="Calibri"/>
                <w:sz w:val="17"/>
              </w:rPr>
              <w:t>Mr. Siwakorn Jeenmuang</w:t>
            </w:r>
          </w:p>
        </w:tc>
        <w:tc>
          <w:tcPr>
            <w:tcW w:type="dxa" w:w="3154"/>
            <w:tcMar>
              <w:top w:w="40" w:type="dxa"/>
              <w:bottom w:w="40" w:type="dxa"/>
              <w:left w:w="80" w:type="dxa"/>
              <w:right w:w="80" w:type="dxa"/>
            </w:tcMar>
          </w:tcPr>
          <w:p>
            <w:pPr>
              <w:spacing w:after="20"/>
            </w:pPr>
            <w:r>
              <w:rPr>
                <w:rFonts w:ascii="Calibri" w:hAnsi="Calibri"/>
                <w:sz w:val="17"/>
              </w:rPr>
              <w:t>Associate Eng. (License No. ภฟก.61620)</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Vorawut Dechothamsathit</w:t>
            </w:r>
          </w:p>
        </w:tc>
        <w:tc>
          <w:tcPr>
            <w:tcW w:type="dxa" w:w="3154"/>
            <w:tcMar>
              <w:top w:w="40" w:type="dxa"/>
              <w:bottom w:w="40" w:type="dxa"/>
              <w:left w:w="80" w:type="dxa"/>
              <w:right w:w="80" w:type="dxa"/>
            </w:tcMar>
          </w:tcPr>
          <w:p>
            <w:pPr>
              <w:spacing w:after="20"/>
            </w:pPr>
            <w:r>
              <w:rPr>
                <w:rFonts w:ascii="Calibri" w:hAnsi="Calibri"/>
                <w:sz w:val="17"/>
              </w:rPr>
              <w:t>Associate Eng. (License No. ภฟก.69403)</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Ms. Sukanya Kingkham</w:t>
            </w:r>
          </w:p>
        </w:tc>
        <w:tc>
          <w:tcPr>
            <w:tcW w:type="dxa" w:w="3154"/>
            <w:tcMar>
              <w:top w:w="40" w:type="dxa"/>
              <w:bottom w:w="40" w:type="dxa"/>
              <w:left w:w="80" w:type="dxa"/>
              <w:right w:w="80" w:type="dxa"/>
            </w:tcMar>
          </w:tcPr>
          <w:p>
            <w:pPr>
              <w:spacing w:after="20"/>
            </w:pPr>
            <w:r>
              <w:rPr>
                <w:rFonts w:ascii="Calibri" w:hAnsi="Calibri"/>
                <w:sz w:val="17"/>
              </w:rPr>
              <w:t>Associate Eng. (License No. ภฟก.69358)</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Jaturaphat Sawangsri</w:t>
            </w:r>
          </w:p>
        </w:tc>
        <w:tc>
          <w:tcPr>
            <w:tcW w:type="dxa" w:w="3154"/>
            <w:tcMar>
              <w:top w:w="40" w:type="dxa"/>
              <w:bottom w:w="40" w:type="dxa"/>
              <w:left w:w="80" w:type="dxa"/>
              <w:right w:w="80" w:type="dxa"/>
            </w:tcMar>
          </w:tcPr>
          <w:p>
            <w:pPr>
              <w:spacing w:after="20"/>
            </w:pPr>
            <w:r>
              <w:rPr>
                <w:rFonts w:ascii="Calibri" w:hAnsi="Calibri"/>
                <w:sz w:val="17"/>
              </w:rPr>
              <w:t>Associate Eng. (License No. ภฟก.69509)</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Patchara Thongkong</w:t>
            </w:r>
          </w:p>
        </w:tc>
        <w:tc>
          <w:tcPr>
            <w:tcW w:type="dxa" w:w="3154"/>
            <w:tcMar>
              <w:top w:w="40" w:type="dxa"/>
              <w:bottom w:w="40" w:type="dxa"/>
              <w:left w:w="80" w:type="dxa"/>
              <w:right w:w="80" w:type="dxa"/>
            </w:tcMar>
          </w:tcPr>
          <w:p>
            <w:pPr>
              <w:spacing w:after="20"/>
            </w:pPr>
            <w:r>
              <w:rPr>
                <w:rFonts w:ascii="Calibri" w:hAnsi="Calibri"/>
                <w:sz w:val="17"/>
              </w:rPr>
              <w:t>Associate Eng. (License No. ภฟก.69472)</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Chanathip Srisub</w:t>
            </w:r>
          </w:p>
        </w:tc>
        <w:tc>
          <w:tcPr>
            <w:tcW w:type="dxa" w:w="3154"/>
            <w:tcMar>
              <w:top w:w="40" w:type="dxa"/>
              <w:bottom w:w="40" w:type="dxa"/>
              <w:left w:w="80" w:type="dxa"/>
              <w:right w:w="80" w:type="dxa"/>
            </w:tcMar>
          </w:tcPr>
          <w:p>
            <w:pPr>
              <w:spacing w:after="20"/>
            </w:pPr>
            <w:r>
              <w:rPr>
                <w:rFonts w:ascii="Calibri" w:hAnsi="Calibri"/>
                <w:sz w:val="17"/>
              </w:rPr>
              <w:t>Associate Eng. (License No. ภฟก.69510)</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Woraphat Ekasittiphong</w:t>
            </w:r>
          </w:p>
        </w:tc>
        <w:tc>
          <w:tcPr>
            <w:tcW w:type="dxa" w:w="3154"/>
            <w:tcMar>
              <w:top w:w="40" w:type="dxa"/>
              <w:bottom w:w="40" w:type="dxa"/>
              <w:left w:w="80" w:type="dxa"/>
              <w:right w:w="80" w:type="dxa"/>
            </w:tcMar>
          </w:tcPr>
          <w:p>
            <w:pPr>
              <w:spacing w:after="20"/>
            </w:pPr>
            <w:r>
              <w:rPr>
                <w:rFonts w:ascii="Calibri" w:hAnsi="Calibri"/>
                <w:sz w:val="17"/>
              </w:rPr>
              <w:t>Associate Eng. (License No. ภฟก.69503)</w:t>
            </w:r>
          </w:p>
        </w:tc>
      </w:tr>
      <w:tr>
        <w:tc>
          <w:tcPr>
            <w:tcW w:type="dxa" w:w="3154"/>
            <w:shd w:fill="F8FAFC"/>
            <w:tcMar>
              <w:top w:w="40" w:type="dxa"/>
              <w:bottom w:w="40" w:type="dxa"/>
              <w:left w:w="80" w:type="dxa"/>
              <w:right w:w="80" w:type="dxa"/>
            </w:tcMar>
          </w:tcPr>
          <w:p>
            <w:pPr>
              <w:spacing w:after="20"/>
            </w:pPr>
            <w:r>
              <w:rPr>
                <w:rFonts w:ascii="Calibri" w:hAnsi="Calibri"/>
                <w:sz w:val="17"/>
              </w:rPr>
              <w:t>Reviewed and Approved by</w:t>
            </w:r>
          </w:p>
        </w:tc>
        <w:tc>
          <w:tcPr>
            <w:tcW w:type="dxa" w:w="3154"/>
            <w:tcMar>
              <w:top w:w="40" w:type="dxa"/>
              <w:bottom w:w="40" w:type="dxa"/>
              <w:left w:w="80" w:type="dxa"/>
              <w:right w:w="80" w:type="dxa"/>
            </w:tcMar>
          </w:tcPr>
          <w:p>
            <w:pPr>
              <w:spacing w:after="20"/>
            </w:pPr>
            <w:r>
              <w:rPr>
                <w:rFonts w:ascii="Calibri" w:hAnsi="Calibri"/>
                <w:sz w:val="17"/>
              </w:rPr>
              <w:t>Assoc. Prof. Dr. Norasage Pattanadech</w:t>
            </w:r>
          </w:p>
        </w:tc>
        <w:tc>
          <w:tcPr>
            <w:tcW w:type="dxa" w:w="3154"/>
            <w:tcMar>
              <w:top w:w="40" w:type="dxa"/>
              <w:bottom w:w="40" w:type="dxa"/>
              <w:left w:w="80" w:type="dxa"/>
              <w:right w:w="80" w:type="dxa"/>
            </w:tcMar>
          </w:tcPr>
          <w:p>
            <w:pPr>
              <w:spacing w:after="20"/>
            </w:pPr>
            <w:r>
              <w:rPr>
                <w:rFonts w:ascii="Calibri" w:hAnsi="Calibri"/>
                <w:sz w:val="17"/>
              </w:rPr>
              <w:t>Professional Eng. (License No. สฟก.6805)</w:t>
            </w:r>
          </w:p>
        </w:tc>
      </w:tr>
      <w:tr>
        <w:tc>
          <w:tcPr>
            <w:tcW w:type="dxa" w:w="3154"/>
            <w:shd w:fill="F8FAFC"/>
            <w:tcMar>
              <w:top w:w="40" w:type="dxa"/>
              <w:bottom w:w="40" w:type="dxa"/>
              <w:left w:w="80" w:type="dxa"/>
              <w:right w:w="80" w:type="dxa"/>
            </w:tcMar>
          </w:tcPr>
          <w:p>
            <w:pPr>
              <w:spacing w:after="20"/>
            </w:pPr>
            <w:r>
              <w:rPr>
                <w:rFonts w:ascii="Calibri" w:hAnsi="Calibri"/>
                <w:sz w:val="17"/>
              </w:rPr>
              <w:t>Affiliation &amp; Lab</w:t>
            </w:r>
          </w:p>
        </w:tc>
        <w:tc>
          <w:tcPr>
            <w:tcW w:type="dxa" w:w="3154"/>
            <w:tcMar>
              <w:top w:w="40" w:type="dxa"/>
              <w:bottom w:w="40" w:type="dxa"/>
              <w:left w:w="80" w:type="dxa"/>
              <w:right w:w="80" w:type="dxa"/>
            </w:tcMar>
          </w:tcPr>
          <w:p>
            <w:pPr>
              <w:spacing w:after="20"/>
            </w:pPr>
            <w:r>
              <w:rPr>
                <w:rFonts w:ascii="Calibri" w:hAnsi="Calibri"/>
                <w:sz w:val="17"/>
              </w:rPr>
              <w:t>Dielectric Analytika &amp; High Voltage Engineering Laboratory (Dika Lab)</w:t>
              <w:br/>
              <w:t>Department of Electrical Engineering, KMITL / GPSC Asset Management</w:t>
            </w:r>
          </w:p>
        </w:tc>
        <w:tc>
          <w:tcPr>
            <w:tcW w:type="dxa" w:w="3154"/>
            <w:tcMar>
              <w:top w:w="40" w:type="dxa"/>
              <w:bottom w:w="40" w:type="dxa"/>
              <w:left w:w="80" w:type="dxa"/>
              <w:right w:w="80" w:type="dxa"/>
            </w:tcMar>
          </w:tcPr>
          <w:p>
            <w:pPr>
              <w:spacing w:after="20"/>
            </w:pPr>
            <w:r>
              <w:rPr>
                <w:rFonts w:ascii="Calibri" w:hAnsi="Calibri"/>
                <w:sz w:val="17"/>
              </w:rPr>
              <w:t>Bangkok, Thailand</w:t>
            </w:r>
          </w:p>
        </w:tc>
      </w:tr>
    </w:tbl>
    <w:p>
      <w:r>
        <w:br w:type="page"/>
      </w:r>
    </w:p>
    <w:p>
      <w:pPr>
        <w:keepNext/>
        <w:spacing w:before="280" w:after="80"/>
      </w:pPr>
      <w:r>
        <w:rPr>
          <w:rFonts w:ascii="Arial" w:hAnsi="Arial"/>
          <w:b/>
          <w:color w:val="1B365D"/>
          <w:sz w:val="26"/>
        </w:rPr>
        <w:t>TABLE OF CONTENTS</w:t>
      </w:r>
    </w:p>
    <w:tbl>
      <w:tblPr>
        <w:tblW w:type="auto" w:w="0"/>
        <w:jc w:val="center"/>
        <w:tblLook w:firstColumn="1" w:firstRow="1" w:lastColumn="0" w:lastRow="0" w:noHBand="0" w:noVBand="1" w:val="04A0"/>
      </w:tblPr>
      <w:tblGrid>
        <w:gridCol w:w="4730"/>
        <w:gridCol w:w="4730"/>
      </w:tblGrid>
      <w:tr>
        <w:tc>
          <w:tcPr>
            <w:tcW w:type="dxa" w:w="8352"/>
            <w:tcMar>
              <w:top w:w="15" w:type="dxa"/>
              <w:bottom w:w="15" w:type="dxa"/>
              <w:left w:w="20" w:type="dxa"/>
              <w:right w:w="20" w:type="dxa"/>
            </w:tcMar>
          </w:tcPr>
          <w:p>
            <w:r>
              <w:rPr>
                <w:rFonts w:ascii="Calibri" w:hAnsi="Calibri"/>
                <w:b/>
                <w:sz w:val="18"/>
              </w:rPr>
              <w:t>1. EXECUTIVE SUMMARY</w:t>
            </w:r>
          </w:p>
        </w:tc>
        <w:tc>
          <w:tcPr>
            <w:tcW w:type="dxa" w:w="1008"/>
            <w:tcMar>
              <w:top w:w="15" w:type="dxa"/>
              <w:bottom w:w="15" w:type="dxa"/>
              <w:left w:w="20" w:type="dxa"/>
              <w:right w:w="20" w:type="dxa"/>
            </w:tcMar>
          </w:tcPr>
          <w:p>
            <w:pPr>
              <w:jc w:val="right"/>
            </w:pPr>
            <w:r>
              <w:rPr>
                <w:rFonts w:ascii="Calibri" w:hAnsi="Calibri"/>
                <w:b/>
                <w:sz w:val="18"/>
              </w:rPr>
              <w:t>4</w:t>
            </w:r>
          </w:p>
        </w:tc>
      </w:tr>
      <w:tr>
        <w:tc>
          <w:tcPr>
            <w:tcW w:type="dxa" w:w="8352"/>
            <w:tcMar>
              <w:top w:w="15" w:type="dxa"/>
              <w:bottom w:w="15" w:type="dxa"/>
              <w:left w:w="20" w:type="dxa"/>
              <w:right w:w="20" w:type="dxa"/>
            </w:tcMar>
          </w:tcPr>
          <w:p>
            <w:r>
              <w:rPr>
                <w:rFonts w:ascii="Calibri" w:hAnsi="Calibri"/>
                <w:b/>
                <w:sz w:val="18"/>
              </w:rPr>
              <w:t>2. INTRODUCTION</w:t>
            </w:r>
          </w:p>
        </w:tc>
        <w:tc>
          <w:tcPr>
            <w:tcW w:type="dxa" w:w="1008"/>
            <w:tcMar>
              <w:top w:w="15" w:type="dxa"/>
              <w:bottom w:w="15" w:type="dxa"/>
              <w:left w:w="20" w:type="dxa"/>
              <w:right w:w="20" w:type="dxa"/>
            </w:tcMar>
          </w:tcPr>
          <w:p>
            <w:pPr>
              <w:jc w:val="right"/>
            </w:pPr>
            <w:r>
              <w:rPr>
                <w:rFonts w:ascii="Calibri" w:hAnsi="Calibri"/>
                <w:b/>
                <w:sz w:val="18"/>
              </w:rPr>
              <w:t>6</w:t>
            </w:r>
          </w:p>
        </w:tc>
      </w:tr>
      <w:tr>
        <w:tc>
          <w:tcPr>
            <w:tcW w:type="dxa" w:w="8352"/>
            <w:tcMar>
              <w:top w:w="15" w:type="dxa"/>
              <w:bottom w:w="15" w:type="dxa"/>
              <w:left w:w="20" w:type="dxa"/>
              <w:right w:w="20" w:type="dxa"/>
            </w:tcMar>
          </w:tcPr>
          <w:p>
            <w:r>
              <w:rPr>
                <w:rFonts w:ascii="Calibri" w:hAnsi="Calibri"/>
                <w:b/>
                <w:sz w:val="18"/>
              </w:rPr>
              <w:t>3. TRANSFORMER DETAILS</w:t>
            </w:r>
          </w:p>
        </w:tc>
        <w:tc>
          <w:tcPr>
            <w:tcW w:type="dxa" w:w="1008"/>
            <w:tcMar>
              <w:top w:w="15" w:type="dxa"/>
              <w:bottom w:w="15" w:type="dxa"/>
              <w:left w:w="20" w:type="dxa"/>
              <w:right w:w="20" w:type="dxa"/>
            </w:tcMar>
          </w:tcPr>
          <w:p>
            <w:pPr>
              <w:jc w:val="right"/>
            </w:pPr>
            <w:r>
              <w:rPr>
                <w:rFonts w:ascii="Calibri" w:hAnsi="Calibri"/>
                <w:b/>
                <w:sz w:val="18"/>
              </w:rPr>
              <w:t>7</w:t>
            </w:r>
          </w:p>
        </w:tc>
      </w:tr>
      <w:tr>
        <w:tc>
          <w:tcPr>
            <w:tcW w:type="dxa" w:w="8352"/>
            <w:tcMar>
              <w:top w:w="15" w:type="dxa"/>
              <w:bottom w:w="15" w:type="dxa"/>
              <w:left w:w="20" w:type="dxa"/>
              <w:right w:w="20" w:type="dxa"/>
            </w:tcMar>
          </w:tcPr>
          <w:p>
            <w:r>
              <w:rPr>
                <w:rFonts w:ascii="Calibri" w:hAnsi="Calibri"/>
                <w:b/>
                <w:sz w:val="18"/>
              </w:rPr>
              <w:t>4. GENERAL INFORMATION (Schematic Diagram of 34101-TR-001)</w:t>
            </w:r>
          </w:p>
        </w:tc>
        <w:tc>
          <w:tcPr>
            <w:tcW w:type="dxa" w:w="1008"/>
            <w:tcMar>
              <w:top w:w="15" w:type="dxa"/>
              <w:bottom w:w="15" w:type="dxa"/>
              <w:left w:w="20" w:type="dxa"/>
              <w:right w:w="20" w:type="dxa"/>
            </w:tcMar>
          </w:tcPr>
          <w:p>
            <w:pPr>
              <w:jc w:val="right"/>
            </w:pPr>
            <w:r>
              <w:rPr>
                <w:rFonts w:ascii="Calibri" w:hAnsi="Calibri"/>
                <w:b/>
                <w:sz w:val="18"/>
              </w:rPr>
              <w:t>8</w:t>
            </w:r>
          </w:p>
        </w:tc>
      </w:tr>
      <w:tr>
        <w:tc>
          <w:tcPr>
            <w:tcW w:type="dxa" w:w="8352"/>
            <w:tcMar>
              <w:top w:w="15" w:type="dxa"/>
              <w:bottom w:w="15" w:type="dxa"/>
              <w:left w:w="20" w:type="dxa"/>
              <w:right w:w="20" w:type="dxa"/>
            </w:tcMar>
          </w:tcPr>
          <w:p>
            <w:r>
              <w:rPr>
                <w:rFonts w:ascii="Calibri" w:hAnsi="Calibri"/>
                <w:b/>
                <w:sz w:val="18"/>
              </w:rPr>
              <w:t>5. CURRENT STATE CONDITION</w:t>
            </w:r>
          </w:p>
        </w:tc>
        <w:tc>
          <w:tcPr>
            <w:tcW w:type="dxa" w:w="1008"/>
            <w:tcMar>
              <w:top w:w="15" w:type="dxa"/>
              <w:bottom w:w="15" w:type="dxa"/>
              <w:left w:w="20" w:type="dxa"/>
              <w:right w:w="20" w:type="dxa"/>
            </w:tcMar>
          </w:tcPr>
          <w:p>
            <w:pPr>
              <w:jc w:val="right"/>
            </w:pPr>
            <w:r>
              <w:rPr>
                <w:rFonts w:ascii="Calibri" w:hAnsi="Calibri"/>
                <w:b/>
                <w:sz w:val="18"/>
              </w:rPr>
              <w:t>9</w:t>
            </w:r>
          </w:p>
        </w:tc>
      </w:tr>
      <w:tr>
        <w:tc>
          <w:tcPr>
            <w:tcW w:type="dxa" w:w="8352"/>
            <w:tcMar>
              <w:top w:w="15" w:type="dxa"/>
              <w:bottom w:w="15" w:type="dxa"/>
              <w:left w:w="20" w:type="dxa"/>
              <w:right w:w="20" w:type="dxa"/>
            </w:tcMar>
          </w:tcPr>
          <w:p>
            <w:r>
              <w:rPr>
                <w:rFonts w:ascii="Calibri" w:hAnsi="Calibri"/>
                <w:b/>
                <w:sz w:val="18"/>
              </w:rPr>
              <w:t xml:space="preserve">   5.1 AN OVERVIEW OF THE RESULTS</w:t>
            </w:r>
          </w:p>
        </w:tc>
        <w:tc>
          <w:tcPr>
            <w:tcW w:type="dxa" w:w="1008"/>
            <w:tcMar>
              <w:top w:w="15" w:type="dxa"/>
              <w:bottom w:w="15" w:type="dxa"/>
              <w:left w:w="20" w:type="dxa"/>
              <w:right w:w="20" w:type="dxa"/>
            </w:tcMar>
          </w:tcPr>
          <w:p>
            <w:pPr>
              <w:jc w:val="right"/>
            </w:pPr>
            <w:r>
              <w:rPr>
                <w:rFonts w:ascii="Calibri" w:hAnsi="Calibri"/>
                <w:b/>
                <w:sz w:val="18"/>
              </w:rPr>
              <w:t>9</w:t>
            </w:r>
          </w:p>
        </w:tc>
      </w:tr>
      <w:tr>
        <w:tc>
          <w:tcPr>
            <w:tcW w:type="dxa" w:w="8352"/>
            <w:tcMar>
              <w:top w:w="15" w:type="dxa"/>
              <w:bottom w:w="15" w:type="dxa"/>
              <w:left w:w="20" w:type="dxa"/>
              <w:right w:w="20" w:type="dxa"/>
            </w:tcMar>
          </w:tcPr>
          <w:p>
            <w:r>
              <w:rPr>
                <w:rFonts w:ascii="Calibri" w:hAnsi="Calibri"/>
                <w:sz w:val="18"/>
              </w:rPr>
              <w:t xml:space="preserve">       - Measured Parameter Overview &amp; Scoring</w:t>
            </w:r>
          </w:p>
        </w:tc>
        <w:tc>
          <w:tcPr>
            <w:tcW w:type="dxa" w:w="1008"/>
            <w:tcMar>
              <w:top w:w="15" w:type="dxa"/>
              <w:bottom w:w="15" w:type="dxa"/>
              <w:left w:w="20" w:type="dxa"/>
              <w:right w:w="20" w:type="dxa"/>
            </w:tcMar>
          </w:tcPr>
          <w:p>
            <w:pPr>
              <w:jc w:val="right"/>
            </w:pPr>
            <w:r>
              <w:rPr>
                <w:rFonts w:ascii="Calibri" w:hAnsi="Calibri"/>
                <w:sz w:val="18"/>
              </w:rPr>
              <w:t>10</w:t>
            </w:r>
          </w:p>
        </w:tc>
      </w:tr>
      <w:tr>
        <w:tc>
          <w:tcPr>
            <w:tcW w:type="dxa" w:w="8352"/>
            <w:tcMar>
              <w:top w:w="15" w:type="dxa"/>
              <w:bottom w:w="15" w:type="dxa"/>
              <w:left w:w="20" w:type="dxa"/>
              <w:right w:w="20" w:type="dxa"/>
            </w:tcMar>
          </w:tcPr>
          <w:p>
            <w:r>
              <w:rPr>
                <w:rFonts w:ascii="Calibri" w:hAnsi="Calibri"/>
                <w:sz w:val="18"/>
              </w:rPr>
              <w:t xml:space="preserve">       - Overall Health Index Evaluation Diagram</w:t>
            </w:r>
          </w:p>
        </w:tc>
        <w:tc>
          <w:tcPr>
            <w:tcW w:type="dxa" w:w="1008"/>
            <w:tcMar>
              <w:top w:w="15" w:type="dxa"/>
              <w:bottom w:w="15" w:type="dxa"/>
              <w:left w:w="20" w:type="dxa"/>
              <w:right w:w="20" w:type="dxa"/>
            </w:tcMar>
          </w:tcPr>
          <w:p>
            <w:pPr>
              <w:jc w:val="right"/>
            </w:pPr>
            <w:r>
              <w:rPr>
                <w:rFonts w:ascii="Calibri" w:hAnsi="Calibri"/>
                <w:sz w:val="18"/>
              </w:rPr>
              <w:t>11</w:t>
            </w:r>
          </w:p>
        </w:tc>
      </w:tr>
      <w:tr>
        <w:tc>
          <w:tcPr>
            <w:tcW w:type="dxa" w:w="8352"/>
            <w:tcMar>
              <w:top w:w="15" w:type="dxa"/>
              <w:bottom w:w="15" w:type="dxa"/>
              <w:left w:w="20" w:type="dxa"/>
              <w:right w:w="20" w:type="dxa"/>
            </w:tcMar>
          </w:tcPr>
          <w:p>
            <w:r>
              <w:rPr>
                <w:rFonts w:ascii="Calibri" w:hAnsi="Calibri"/>
                <w:b/>
                <w:sz w:val="18"/>
              </w:rPr>
              <w:t xml:space="preserve">   5.2 THE ASSESSMENT OF EACH COMPONENT</w:t>
            </w:r>
          </w:p>
        </w:tc>
        <w:tc>
          <w:tcPr>
            <w:tcW w:type="dxa" w:w="1008"/>
            <w:tcMar>
              <w:top w:w="15" w:type="dxa"/>
              <w:bottom w:w="15" w:type="dxa"/>
              <w:left w:w="20" w:type="dxa"/>
              <w:right w:w="20" w:type="dxa"/>
            </w:tcMar>
          </w:tcPr>
          <w:p>
            <w:pPr>
              <w:jc w:val="right"/>
            </w:pPr>
            <w:r>
              <w:rPr>
                <w:rFonts w:ascii="Calibri" w:hAnsi="Calibri"/>
                <w:b/>
                <w:sz w:val="18"/>
              </w:rPr>
              <w:t>12</w:t>
            </w:r>
          </w:p>
        </w:tc>
      </w:tr>
      <w:tr>
        <w:tc>
          <w:tcPr>
            <w:tcW w:type="dxa" w:w="8352"/>
            <w:tcMar>
              <w:top w:w="15" w:type="dxa"/>
              <w:bottom w:w="15" w:type="dxa"/>
              <w:left w:w="20" w:type="dxa"/>
              <w:right w:w="20" w:type="dxa"/>
            </w:tcMar>
          </w:tcPr>
          <w:p>
            <w:r>
              <w:rPr>
                <w:rFonts w:ascii="Calibri" w:hAnsi="Calibri"/>
                <w:b/>
                <w:sz w:val="18"/>
              </w:rPr>
              <w:t xml:space="preserve">       5.2.1 ACTIVE PART</w:t>
            </w:r>
          </w:p>
        </w:tc>
        <w:tc>
          <w:tcPr>
            <w:tcW w:type="dxa" w:w="1008"/>
            <w:tcMar>
              <w:top w:w="15" w:type="dxa"/>
              <w:bottom w:w="15" w:type="dxa"/>
              <w:left w:w="20" w:type="dxa"/>
              <w:right w:w="20" w:type="dxa"/>
            </w:tcMar>
          </w:tcPr>
          <w:p>
            <w:pPr>
              <w:jc w:val="right"/>
            </w:pPr>
            <w:r>
              <w:rPr>
                <w:rFonts w:ascii="Calibri" w:hAnsi="Calibri"/>
                <w:b/>
                <w:sz w:val="18"/>
              </w:rPr>
              <w:t>12</w:t>
            </w:r>
          </w:p>
        </w:tc>
      </w:tr>
      <w:tr>
        <w:tc>
          <w:tcPr>
            <w:tcW w:type="dxa" w:w="8352"/>
            <w:tcMar>
              <w:top w:w="15" w:type="dxa"/>
              <w:bottom w:w="15" w:type="dxa"/>
              <w:left w:w="20" w:type="dxa"/>
              <w:right w:w="20" w:type="dxa"/>
            </w:tcMar>
          </w:tcPr>
          <w:p>
            <w:r>
              <w:rPr>
                <w:rFonts w:ascii="Calibri" w:hAnsi="Calibri"/>
                <w:sz w:val="18"/>
              </w:rPr>
              <w:t xml:space="preserve">             - Estimated DP Value (Dominelli Model from 2-FAL)</w:t>
            </w:r>
          </w:p>
        </w:tc>
        <w:tc>
          <w:tcPr>
            <w:tcW w:type="dxa" w:w="1008"/>
            <w:tcMar>
              <w:top w:w="15" w:type="dxa"/>
              <w:bottom w:w="15" w:type="dxa"/>
              <w:left w:w="20" w:type="dxa"/>
              <w:right w:w="20" w:type="dxa"/>
            </w:tcMar>
          </w:tcPr>
          <w:p>
            <w:pPr>
              <w:jc w:val="right"/>
            </w:pPr>
            <w:r>
              <w:rPr>
                <w:rFonts w:ascii="Calibri" w:hAnsi="Calibri"/>
                <w:sz w:val="18"/>
              </w:rPr>
              <w:t>12</w:t>
            </w:r>
          </w:p>
        </w:tc>
      </w:tr>
      <w:tr>
        <w:tc>
          <w:tcPr>
            <w:tcW w:type="dxa" w:w="8352"/>
            <w:tcMar>
              <w:top w:w="15" w:type="dxa"/>
              <w:bottom w:w="15" w:type="dxa"/>
              <w:left w:w="20" w:type="dxa"/>
              <w:right w:w="20" w:type="dxa"/>
            </w:tcMar>
          </w:tcPr>
          <w:p>
            <w:r>
              <w:rPr>
                <w:rFonts w:ascii="Calibri" w:hAnsi="Calibri"/>
                <w:sz w:val="18"/>
              </w:rPr>
              <w:t xml:space="preserve">             - Moisture in Paper (DFR via DIRANA)</w:t>
            </w:r>
          </w:p>
        </w:tc>
        <w:tc>
          <w:tcPr>
            <w:tcW w:type="dxa" w:w="1008"/>
            <w:tcMar>
              <w:top w:w="15" w:type="dxa"/>
              <w:bottom w:w="15" w:type="dxa"/>
              <w:left w:w="20" w:type="dxa"/>
              <w:right w:w="20" w:type="dxa"/>
            </w:tcMar>
          </w:tcPr>
          <w:p>
            <w:pPr>
              <w:jc w:val="right"/>
            </w:pPr>
            <w:r>
              <w:rPr>
                <w:rFonts w:ascii="Calibri" w:hAnsi="Calibri"/>
                <w:sz w:val="18"/>
              </w:rPr>
              <w:t>13</w:t>
            </w:r>
          </w:p>
        </w:tc>
      </w:tr>
      <w:tr>
        <w:tc>
          <w:tcPr>
            <w:tcW w:type="dxa" w:w="8352"/>
            <w:tcMar>
              <w:top w:w="15" w:type="dxa"/>
              <w:bottom w:w="15" w:type="dxa"/>
              <w:left w:w="20" w:type="dxa"/>
              <w:right w:w="20" w:type="dxa"/>
            </w:tcMar>
          </w:tcPr>
          <w:p>
            <w:r>
              <w:rPr>
                <w:rFonts w:ascii="Calibri" w:hAnsi="Calibri"/>
                <w:sz w:val="18"/>
              </w:rPr>
              <w:t xml:space="preserve">             - Insulation Resistance &amp; Polarization Index (IR/PI)</w:t>
            </w:r>
          </w:p>
        </w:tc>
        <w:tc>
          <w:tcPr>
            <w:tcW w:type="dxa" w:w="1008"/>
            <w:tcMar>
              <w:top w:w="15" w:type="dxa"/>
              <w:bottom w:w="15" w:type="dxa"/>
              <w:left w:w="20" w:type="dxa"/>
              <w:right w:w="20" w:type="dxa"/>
            </w:tcMar>
          </w:tcPr>
          <w:p>
            <w:pPr>
              <w:jc w:val="right"/>
            </w:pPr>
            <w:r>
              <w:rPr>
                <w:rFonts w:ascii="Calibri" w:hAnsi="Calibri"/>
                <w:sz w:val="18"/>
              </w:rPr>
              <w:t>14</w:t>
            </w:r>
          </w:p>
        </w:tc>
      </w:tr>
      <w:tr>
        <w:tc>
          <w:tcPr>
            <w:tcW w:type="dxa" w:w="8352"/>
            <w:tcMar>
              <w:top w:w="15" w:type="dxa"/>
              <w:bottom w:w="15" w:type="dxa"/>
              <w:left w:w="20" w:type="dxa"/>
              <w:right w:w="20" w:type="dxa"/>
            </w:tcMar>
          </w:tcPr>
          <w:p>
            <w:r>
              <w:rPr>
                <w:rFonts w:ascii="Calibri" w:hAnsi="Calibri"/>
                <w:sz w:val="18"/>
              </w:rPr>
              <w:t xml:space="preserve">             - Insulation Power Factor (%PF)</w:t>
            </w:r>
          </w:p>
        </w:tc>
        <w:tc>
          <w:tcPr>
            <w:tcW w:type="dxa" w:w="1008"/>
            <w:tcMar>
              <w:top w:w="15" w:type="dxa"/>
              <w:bottom w:w="15" w:type="dxa"/>
              <w:left w:w="20" w:type="dxa"/>
              <w:right w:w="20" w:type="dxa"/>
            </w:tcMar>
          </w:tcPr>
          <w:p>
            <w:pPr>
              <w:jc w:val="right"/>
            </w:pPr>
            <w:r>
              <w:rPr>
                <w:rFonts w:ascii="Calibri" w:hAnsi="Calibri"/>
                <w:sz w:val="18"/>
              </w:rPr>
              <w:t>15</w:t>
            </w:r>
          </w:p>
        </w:tc>
      </w:tr>
      <w:tr>
        <w:tc>
          <w:tcPr>
            <w:tcW w:type="dxa" w:w="8352"/>
            <w:tcMar>
              <w:top w:w="15" w:type="dxa"/>
              <w:bottom w:w="15" w:type="dxa"/>
              <w:left w:w="20" w:type="dxa"/>
              <w:right w:w="20" w:type="dxa"/>
            </w:tcMar>
          </w:tcPr>
          <w:p>
            <w:r>
              <w:rPr>
                <w:rFonts w:ascii="Calibri" w:hAnsi="Calibri"/>
                <w:sz w:val="18"/>
              </w:rPr>
              <w:t xml:space="preserve">             - Exciting Current Test (HLH Pattern)</w:t>
            </w:r>
          </w:p>
        </w:tc>
        <w:tc>
          <w:tcPr>
            <w:tcW w:type="dxa" w:w="1008"/>
            <w:tcMar>
              <w:top w:w="15" w:type="dxa"/>
              <w:bottom w:w="15" w:type="dxa"/>
              <w:left w:w="20" w:type="dxa"/>
              <w:right w:w="20" w:type="dxa"/>
            </w:tcMar>
          </w:tcPr>
          <w:p>
            <w:pPr>
              <w:jc w:val="right"/>
            </w:pPr>
            <w:r>
              <w:rPr>
                <w:rFonts w:ascii="Calibri" w:hAnsi="Calibri"/>
                <w:sz w:val="18"/>
              </w:rPr>
              <w:t>15</w:t>
            </w:r>
          </w:p>
        </w:tc>
      </w:tr>
      <w:tr>
        <w:tc>
          <w:tcPr>
            <w:tcW w:type="dxa" w:w="8352"/>
            <w:tcMar>
              <w:top w:w="15" w:type="dxa"/>
              <w:bottom w:w="15" w:type="dxa"/>
              <w:left w:w="20" w:type="dxa"/>
              <w:right w:w="20" w:type="dxa"/>
            </w:tcMar>
          </w:tcPr>
          <w:p>
            <w:r>
              <w:rPr>
                <w:rFonts w:ascii="Calibri" w:hAnsi="Calibri"/>
                <w:sz w:val="18"/>
              </w:rPr>
              <w:t xml:space="preserve">             - Turns Ratio &amp; Phase Deviation (Taps 1, 6, 11)</w:t>
            </w:r>
          </w:p>
        </w:tc>
        <w:tc>
          <w:tcPr>
            <w:tcW w:type="dxa" w:w="1008"/>
            <w:tcMar>
              <w:top w:w="15" w:type="dxa"/>
              <w:bottom w:w="15" w:type="dxa"/>
              <w:left w:w="20" w:type="dxa"/>
              <w:right w:w="20" w:type="dxa"/>
            </w:tcMar>
          </w:tcPr>
          <w:p>
            <w:pPr>
              <w:jc w:val="right"/>
            </w:pPr>
            <w:r>
              <w:rPr>
                <w:rFonts w:ascii="Calibri" w:hAnsi="Calibri"/>
                <w:sz w:val="18"/>
              </w:rPr>
              <w:t>15</w:t>
            </w:r>
          </w:p>
        </w:tc>
      </w:tr>
      <w:tr>
        <w:tc>
          <w:tcPr>
            <w:tcW w:type="dxa" w:w="8352"/>
            <w:tcMar>
              <w:top w:w="15" w:type="dxa"/>
              <w:bottom w:w="15" w:type="dxa"/>
              <w:left w:w="20" w:type="dxa"/>
              <w:right w:w="20" w:type="dxa"/>
            </w:tcMar>
          </w:tcPr>
          <w:p>
            <w:r>
              <w:rPr>
                <w:rFonts w:ascii="Calibri" w:hAnsi="Calibri"/>
                <w:sz w:val="18"/>
              </w:rPr>
              <w:t xml:space="preserve">             - Winding Resistance &amp; Phase Deviation</w:t>
            </w:r>
          </w:p>
        </w:tc>
        <w:tc>
          <w:tcPr>
            <w:tcW w:type="dxa" w:w="1008"/>
            <w:tcMar>
              <w:top w:w="15" w:type="dxa"/>
              <w:bottom w:w="15" w:type="dxa"/>
              <w:left w:w="20" w:type="dxa"/>
              <w:right w:w="20" w:type="dxa"/>
            </w:tcMar>
          </w:tcPr>
          <w:p>
            <w:pPr>
              <w:jc w:val="right"/>
            </w:pPr>
            <w:r>
              <w:rPr>
                <w:rFonts w:ascii="Calibri" w:hAnsi="Calibri"/>
                <w:sz w:val="18"/>
              </w:rPr>
              <w:t>16</w:t>
            </w:r>
          </w:p>
        </w:tc>
      </w:tr>
      <w:tr>
        <w:tc>
          <w:tcPr>
            <w:tcW w:type="dxa" w:w="8352"/>
            <w:tcMar>
              <w:top w:w="15" w:type="dxa"/>
              <w:bottom w:w="15" w:type="dxa"/>
              <w:left w:w="20" w:type="dxa"/>
              <w:right w:w="20" w:type="dxa"/>
            </w:tcMar>
          </w:tcPr>
          <w:p>
            <w:r>
              <w:rPr>
                <w:rFonts w:ascii="Calibri" w:hAnsi="Calibri"/>
                <w:sz w:val="18"/>
              </w:rPr>
              <w:t xml:space="preserve">             - Short-Circuit Impedance Deviation (%Z)</w:t>
            </w:r>
          </w:p>
        </w:tc>
        <w:tc>
          <w:tcPr>
            <w:tcW w:type="dxa" w:w="1008"/>
            <w:tcMar>
              <w:top w:w="15" w:type="dxa"/>
              <w:bottom w:w="15" w:type="dxa"/>
              <w:left w:w="20" w:type="dxa"/>
              <w:right w:w="20" w:type="dxa"/>
            </w:tcMar>
          </w:tcPr>
          <w:p>
            <w:pPr>
              <w:jc w:val="right"/>
            </w:pPr>
            <w:r>
              <w:rPr>
                <w:rFonts w:ascii="Calibri" w:hAnsi="Calibri"/>
                <w:sz w:val="18"/>
              </w:rPr>
              <w:t>16</w:t>
            </w:r>
          </w:p>
        </w:tc>
      </w:tr>
      <w:tr>
        <w:tc>
          <w:tcPr>
            <w:tcW w:type="dxa" w:w="8352"/>
            <w:tcMar>
              <w:top w:w="15" w:type="dxa"/>
              <w:bottom w:w="15" w:type="dxa"/>
              <w:left w:w="20" w:type="dxa"/>
              <w:right w:w="20" w:type="dxa"/>
            </w:tcMar>
          </w:tcPr>
          <w:p>
            <w:r>
              <w:rPr>
                <w:rFonts w:ascii="Calibri" w:hAnsi="Calibri"/>
                <w:b/>
                <w:sz w:val="18"/>
              </w:rPr>
              <w:t xml:space="preserve">       5.2.2 DISSOLVED GAS ANALYSIS (DGA)</w:t>
            </w:r>
          </w:p>
        </w:tc>
        <w:tc>
          <w:tcPr>
            <w:tcW w:type="dxa" w:w="1008"/>
            <w:tcMar>
              <w:top w:w="15" w:type="dxa"/>
              <w:bottom w:w="15" w:type="dxa"/>
              <w:left w:w="20" w:type="dxa"/>
              <w:right w:w="20" w:type="dxa"/>
            </w:tcMar>
          </w:tcPr>
          <w:p>
            <w:pPr>
              <w:jc w:val="right"/>
            </w:pPr>
            <w:r>
              <w:rPr>
                <w:rFonts w:ascii="Calibri" w:hAnsi="Calibri"/>
                <w:b/>
                <w:sz w:val="18"/>
              </w:rPr>
              <w:t>18</w:t>
            </w:r>
          </w:p>
        </w:tc>
      </w:tr>
      <w:tr>
        <w:tc>
          <w:tcPr>
            <w:tcW w:type="dxa" w:w="8352"/>
            <w:tcMar>
              <w:top w:w="15" w:type="dxa"/>
              <w:bottom w:w="15" w:type="dxa"/>
              <w:left w:w="20" w:type="dxa"/>
              <w:right w:w="20" w:type="dxa"/>
            </w:tcMar>
          </w:tcPr>
          <w:p>
            <w:r>
              <w:rPr>
                <w:rFonts w:ascii="Calibri" w:hAnsi="Calibri"/>
                <w:sz w:val="18"/>
              </w:rPr>
              <w:t xml:space="preserve">             - Historical Concentration (11 Samples 2021-2025)</w:t>
            </w:r>
          </w:p>
        </w:tc>
        <w:tc>
          <w:tcPr>
            <w:tcW w:type="dxa" w:w="1008"/>
            <w:tcMar>
              <w:top w:w="15" w:type="dxa"/>
              <w:bottom w:w="15" w:type="dxa"/>
              <w:left w:w="20" w:type="dxa"/>
              <w:right w:w="20" w:type="dxa"/>
            </w:tcMar>
          </w:tcPr>
          <w:p>
            <w:pPr>
              <w:jc w:val="right"/>
            </w:pPr>
            <w:r>
              <w:rPr>
                <w:rFonts w:ascii="Calibri" w:hAnsi="Calibri"/>
                <w:sz w:val="18"/>
              </w:rPr>
              <w:t>18</w:t>
            </w:r>
          </w:p>
        </w:tc>
      </w:tr>
      <w:tr>
        <w:tc>
          <w:tcPr>
            <w:tcW w:type="dxa" w:w="8352"/>
            <w:tcMar>
              <w:top w:w="15" w:type="dxa"/>
              <w:bottom w:w="15" w:type="dxa"/>
              <w:left w:w="20" w:type="dxa"/>
              <w:right w:w="20" w:type="dxa"/>
            </w:tcMar>
          </w:tcPr>
          <w:p>
            <w:r>
              <w:rPr>
                <w:rFonts w:ascii="Calibri" w:hAnsi="Calibri"/>
                <w:sz w:val="18"/>
              </w:rPr>
              <w:t xml:space="preserve">             - Rates of Gas Increase &amp; Trend Factor (TF)</w:t>
            </w:r>
          </w:p>
        </w:tc>
        <w:tc>
          <w:tcPr>
            <w:tcW w:type="dxa" w:w="1008"/>
            <w:tcMar>
              <w:top w:w="15" w:type="dxa"/>
              <w:bottom w:w="15" w:type="dxa"/>
              <w:left w:w="20" w:type="dxa"/>
              <w:right w:w="20" w:type="dxa"/>
            </w:tcMar>
          </w:tcPr>
          <w:p>
            <w:pPr>
              <w:jc w:val="right"/>
            </w:pPr>
            <w:r>
              <w:rPr>
                <w:rFonts w:ascii="Calibri" w:hAnsi="Calibri"/>
                <w:sz w:val="18"/>
              </w:rPr>
              <w:t>19</w:t>
            </w:r>
          </w:p>
        </w:tc>
      </w:tr>
      <w:tr>
        <w:tc>
          <w:tcPr>
            <w:tcW w:type="dxa" w:w="8352"/>
            <w:tcMar>
              <w:top w:w="15" w:type="dxa"/>
              <w:bottom w:w="15" w:type="dxa"/>
              <w:left w:w="20" w:type="dxa"/>
              <w:right w:w="20" w:type="dxa"/>
            </w:tcMar>
          </w:tcPr>
          <w:p>
            <w:r>
              <w:rPr>
                <w:rFonts w:ascii="Calibri" w:hAnsi="Calibri"/>
                <w:sz w:val="18"/>
              </w:rPr>
              <w:t xml:space="preserve">             - Gas Ratios &amp; DGA Final Score</w:t>
            </w:r>
          </w:p>
        </w:tc>
        <w:tc>
          <w:tcPr>
            <w:tcW w:type="dxa" w:w="1008"/>
            <w:tcMar>
              <w:top w:w="15" w:type="dxa"/>
              <w:bottom w:w="15" w:type="dxa"/>
              <w:left w:w="20" w:type="dxa"/>
              <w:right w:w="20" w:type="dxa"/>
            </w:tcMar>
          </w:tcPr>
          <w:p>
            <w:pPr>
              <w:jc w:val="right"/>
            </w:pPr>
            <w:r>
              <w:rPr>
                <w:rFonts w:ascii="Calibri" w:hAnsi="Calibri"/>
                <w:sz w:val="18"/>
              </w:rPr>
              <w:t>20</w:t>
            </w:r>
          </w:p>
        </w:tc>
      </w:tr>
      <w:tr>
        <w:tc>
          <w:tcPr>
            <w:tcW w:type="dxa" w:w="8352"/>
            <w:tcMar>
              <w:top w:w="15" w:type="dxa"/>
              <w:bottom w:w="15" w:type="dxa"/>
              <w:left w:w="20" w:type="dxa"/>
              <w:right w:w="20" w:type="dxa"/>
            </w:tcMar>
          </w:tcPr>
          <w:p>
            <w:r>
              <w:rPr>
                <w:rFonts w:ascii="Calibri" w:hAnsi="Calibri"/>
                <w:b/>
                <w:sz w:val="18"/>
              </w:rPr>
              <w:t xml:space="preserve">       5.2.3 QUALITY OF THE LIQUID INSULATION (OQF)</w:t>
            </w:r>
          </w:p>
        </w:tc>
        <w:tc>
          <w:tcPr>
            <w:tcW w:type="dxa" w:w="1008"/>
            <w:tcMar>
              <w:top w:w="15" w:type="dxa"/>
              <w:bottom w:w="15" w:type="dxa"/>
              <w:left w:w="20" w:type="dxa"/>
              <w:right w:w="20" w:type="dxa"/>
            </w:tcMar>
          </w:tcPr>
          <w:p>
            <w:pPr>
              <w:jc w:val="right"/>
            </w:pPr>
            <w:r>
              <w:rPr>
                <w:rFonts w:ascii="Calibri" w:hAnsi="Calibri"/>
                <w:b/>
                <w:sz w:val="18"/>
              </w:rPr>
              <w:t>21</w:t>
            </w:r>
          </w:p>
        </w:tc>
      </w:tr>
      <w:tr>
        <w:tc>
          <w:tcPr>
            <w:tcW w:type="dxa" w:w="8352"/>
            <w:tcMar>
              <w:top w:w="15" w:type="dxa"/>
              <w:bottom w:w="15" w:type="dxa"/>
              <w:left w:w="20" w:type="dxa"/>
              <w:right w:w="20" w:type="dxa"/>
            </w:tcMar>
          </w:tcPr>
          <w:p>
            <w:r>
              <w:rPr>
                <w:rFonts w:ascii="Calibri" w:hAnsi="Calibri"/>
                <w:b/>
                <w:sz w:val="18"/>
              </w:rPr>
              <w:t xml:space="preserve">       5.2.4 BUSHING SUBSYSTEM ASSESSMENT</w:t>
            </w:r>
          </w:p>
        </w:tc>
        <w:tc>
          <w:tcPr>
            <w:tcW w:type="dxa" w:w="1008"/>
            <w:tcMar>
              <w:top w:w="15" w:type="dxa"/>
              <w:bottom w:w="15" w:type="dxa"/>
              <w:left w:w="20" w:type="dxa"/>
              <w:right w:w="20" w:type="dxa"/>
            </w:tcMar>
          </w:tcPr>
          <w:p>
            <w:pPr>
              <w:jc w:val="right"/>
            </w:pPr>
            <w:r>
              <w:rPr>
                <w:rFonts w:ascii="Calibri" w:hAnsi="Calibri"/>
                <w:b/>
                <w:sz w:val="18"/>
              </w:rPr>
              <w:t>23</w:t>
            </w:r>
          </w:p>
        </w:tc>
      </w:tr>
      <w:tr>
        <w:tc>
          <w:tcPr>
            <w:tcW w:type="dxa" w:w="8352"/>
            <w:tcMar>
              <w:top w:w="15" w:type="dxa"/>
              <w:bottom w:w="15" w:type="dxa"/>
              <w:left w:w="20" w:type="dxa"/>
              <w:right w:w="20" w:type="dxa"/>
            </w:tcMar>
          </w:tcPr>
          <w:p>
            <w:r>
              <w:rPr>
                <w:rFonts w:ascii="Calibri" w:hAnsi="Calibri"/>
                <w:sz w:val="18"/>
              </w:rPr>
              <w:t xml:space="preserve">             - Bushing Nameplates &amp; 10 kV Field Measurements</w:t>
            </w:r>
          </w:p>
        </w:tc>
        <w:tc>
          <w:tcPr>
            <w:tcW w:type="dxa" w:w="1008"/>
            <w:tcMar>
              <w:top w:w="15" w:type="dxa"/>
              <w:bottom w:w="15" w:type="dxa"/>
              <w:left w:w="20" w:type="dxa"/>
              <w:right w:w="20" w:type="dxa"/>
            </w:tcMar>
          </w:tcPr>
          <w:p>
            <w:pPr>
              <w:jc w:val="right"/>
            </w:pPr>
            <w:r>
              <w:rPr>
                <w:rFonts w:ascii="Calibri" w:hAnsi="Calibri"/>
                <w:sz w:val="18"/>
              </w:rPr>
              <w:t>23</w:t>
            </w:r>
          </w:p>
        </w:tc>
      </w:tr>
      <w:tr>
        <w:tc>
          <w:tcPr>
            <w:tcW w:type="dxa" w:w="8352"/>
            <w:tcMar>
              <w:top w:w="15" w:type="dxa"/>
              <w:bottom w:w="15" w:type="dxa"/>
              <w:left w:w="20" w:type="dxa"/>
              <w:right w:w="20" w:type="dxa"/>
            </w:tcMar>
          </w:tcPr>
          <w:p>
            <w:r>
              <w:rPr>
                <w:rFonts w:ascii="Calibri" w:hAnsi="Calibri"/>
                <w:b/>
                <w:sz w:val="18"/>
              </w:rPr>
              <w:t xml:space="preserve">       5.2.5 ON-LOAD TAP CHANGER (OLTC)</w:t>
            </w:r>
          </w:p>
        </w:tc>
        <w:tc>
          <w:tcPr>
            <w:tcW w:type="dxa" w:w="1008"/>
            <w:tcMar>
              <w:top w:w="15" w:type="dxa"/>
              <w:bottom w:w="15" w:type="dxa"/>
              <w:left w:w="20" w:type="dxa"/>
              <w:right w:w="20" w:type="dxa"/>
            </w:tcMar>
          </w:tcPr>
          <w:p>
            <w:pPr>
              <w:jc w:val="right"/>
            </w:pPr>
            <w:r>
              <w:rPr>
                <w:rFonts w:ascii="Calibri" w:hAnsi="Calibri"/>
                <w:b/>
                <w:sz w:val="18"/>
              </w:rPr>
              <w:t>25</w:t>
            </w:r>
          </w:p>
        </w:tc>
      </w:tr>
      <w:tr>
        <w:tc>
          <w:tcPr>
            <w:tcW w:type="dxa" w:w="8352"/>
            <w:tcMar>
              <w:top w:w="15" w:type="dxa"/>
              <w:bottom w:w="15" w:type="dxa"/>
              <w:left w:w="20" w:type="dxa"/>
              <w:right w:w="20" w:type="dxa"/>
            </w:tcMar>
          </w:tcPr>
          <w:p>
            <w:r>
              <w:rPr>
                <w:rFonts w:ascii="Calibri" w:hAnsi="Calibri"/>
                <w:sz w:val="18"/>
              </w:rPr>
              <w:t xml:space="preserve">             - OLTC Diverter Oil Diagnostics &amp; Duval Triangle 2</w:t>
            </w:r>
          </w:p>
        </w:tc>
        <w:tc>
          <w:tcPr>
            <w:tcW w:type="dxa" w:w="1008"/>
            <w:tcMar>
              <w:top w:w="15" w:type="dxa"/>
              <w:bottom w:w="15" w:type="dxa"/>
              <w:left w:w="20" w:type="dxa"/>
              <w:right w:w="20" w:type="dxa"/>
            </w:tcMar>
          </w:tcPr>
          <w:p>
            <w:pPr>
              <w:jc w:val="right"/>
            </w:pPr>
            <w:r>
              <w:rPr>
                <w:rFonts w:ascii="Calibri" w:hAnsi="Calibri"/>
                <w:sz w:val="18"/>
              </w:rPr>
              <w:t>25</w:t>
            </w:r>
          </w:p>
        </w:tc>
      </w:tr>
      <w:tr>
        <w:tc>
          <w:tcPr>
            <w:tcW w:type="dxa" w:w="8352"/>
            <w:tcMar>
              <w:top w:w="15" w:type="dxa"/>
              <w:bottom w:w="15" w:type="dxa"/>
              <w:left w:w="20" w:type="dxa"/>
              <w:right w:w="20" w:type="dxa"/>
            </w:tcMar>
          </w:tcPr>
          <w:p>
            <w:r>
              <w:rPr>
                <w:rFonts w:ascii="Calibri" w:hAnsi="Calibri"/>
                <w:b/>
                <w:sz w:val="18"/>
              </w:rPr>
              <w:t>6. EXPECTED REMAINING LIFETIME</w:t>
            </w:r>
          </w:p>
        </w:tc>
        <w:tc>
          <w:tcPr>
            <w:tcW w:type="dxa" w:w="1008"/>
            <w:tcMar>
              <w:top w:w="15" w:type="dxa"/>
              <w:bottom w:w="15" w:type="dxa"/>
              <w:left w:w="20" w:type="dxa"/>
              <w:right w:w="20" w:type="dxa"/>
            </w:tcMar>
          </w:tcPr>
          <w:p>
            <w:pPr>
              <w:jc w:val="right"/>
            </w:pPr>
            <w:r>
              <w:rPr>
                <w:rFonts w:ascii="Calibri" w:hAnsi="Calibri"/>
                <w:b/>
                <w:sz w:val="18"/>
              </w:rPr>
              <w:t>27</w:t>
            </w:r>
          </w:p>
        </w:tc>
      </w:tr>
      <w:tr>
        <w:tc>
          <w:tcPr>
            <w:tcW w:type="dxa" w:w="8352"/>
            <w:tcMar>
              <w:top w:w="15" w:type="dxa"/>
              <w:bottom w:w="15" w:type="dxa"/>
              <w:left w:w="20" w:type="dxa"/>
              <w:right w:w="20" w:type="dxa"/>
            </w:tcMar>
          </w:tcPr>
          <w:p>
            <w:r>
              <w:rPr>
                <w:rFonts w:ascii="Calibri" w:hAnsi="Calibri"/>
                <w:sz w:val="18"/>
              </w:rPr>
              <w:t xml:space="preserve">   - SINTEF Degradation Kinetic Model (From DP = 1,089)</w:t>
            </w:r>
          </w:p>
        </w:tc>
        <w:tc>
          <w:tcPr>
            <w:tcW w:type="dxa" w:w="1008"/>
            <w:tcMar>
              <w:top w:w="15" w:type="dxa"/>
              <w:bottom w:w="15" w:type="dxa"/>
              <w:left w:w="20" w:type="dxa"/>
              <w:right w:w="20" w:type="dxa"/>
            </w:tcMar>
          </w:tcPr>
          <w:p>
            <w:pPr>
              <w:jc w:val="right"/>
            </w:pPr>
            <w:r>
              <w:rPr>
                <w:rFonts w:ascii="Calibri" w:hAnsi="Calibri"/>
                <w:sz w:val="18"/>
              </w:rPr>
              <w:t>27</w:t>
            </w:r>
          </w:p>
        </w:tc>
      </w:tr>
      <w:tr>
        <w:tc>
          <w:tcPr>
            <w:tcW w:type="dxa" w:w="8352"/>
            <w:tcMar>
              <w:top w:w="15" w:type="dxa"/>
              <w:bottom w:w="15" w:type="dxa"/>
              <w:left w:w="20" w:type="dxa"/>
              <w:right w:w="20" w:type="dxa"/>
            </w:tcMar>
          </w:tcPr>
          <w:p>
            <w:r>
              <w:rPr>
                <w:rFonts w:ascii="Calibri" w:hAnsi="Calibri"/>
                <w:sz w:val="18"/>
              </w:rPr>
              <w:t xml:space="preserve">   - Hot-Spot Temperature Modeling per IEC 60076-7</w:t>
            </w:r>
          </w:p>
        </w:tc>
        <w:tc>
          <w:tcPr>
            <w:tcW w:type="dxa" w:w="1008"/>
            <w:tcMar>
              <w:top w:w="15" w:type="dxa"/>
              <w:bottom w:w="15" w:type="dxa"/>
              <w:left w:w="20" w:type="dxa"/>
              <w:right w:w="20" w:type="dxa"/>
            </w:tcMar>
          </w:tcPr>
          <w:p>
            <w:pPr>
              <w:jc w:val="right"/>
            </w:pPr>
            <w:r>
              <w:rPr>
                <w:rFonts w:ascii="Calibri" w:hAnsi="Calibri"/>
                <w:sz w:val="18"/>
              </w:rPr>
              <w:t>28</w:t>
            </w:r>
          </w:p>
        </w:tc>
      </w:tr>
      <w:tr>
        <w:tc>
          <w:tcPr>
            <w:tcW w:type="dxa" w:w="8352"/>
            <w:tcMar>
              <w:top w:w="15" w:type="dxa"/>
              <w:bottom w:w="15" w:type="dxa"/>
              <w:left w:w="20" w:type="dxa"/>
              <w:right w:w="20" w:type="dxa"/>
            </w:tcMar>
          </w:tcPr>
          <w:p>
            <w:r>
              <w:rPr>
                <w:rFonts w:ascii="Calibri" w:hAnsi="Calibri"/>
                <w:sz w:val="18"/>
              </w:rPr>
              <w:t xml:space="preserve">   - Sensitivity to Moisture Ingress &amp; Oxygen Conditions</w:t>
            </w:r>
          </w:p>
        </w:tc>
        <w:tc>
          <w:tcPr>
            <w:tcW w:type="dxa" w:w="1008"/>
            <w:tcMar>
              <w:top w:w="15" w:type="dxa"/>
              <w:bottom w:w="15" w:type="dxa"/>
              <w:left w:w="20" w:type="dxa"/>
              <w:right w:w="20" w:type="dxa"/>
            </w:tcMar>
          </w:tcPr>
          <w:p>
            <w:pPr>
              <w:jc w:val="right"/>
            </w:pPr>
            <w:r>
              <w:rPr>
                <w:rFonts w:ascii="Calibri" w:hAnsi="Calibri"/>
                <w:sz w:val="18"/>
              </w:rPr>
              <w:t>29</w:t>
            </w:r>
          </w:p>
        </w:tc>
      </w:tr>
      <w:tr>
        <w:tc>
          <w:tcPr>
            <w:tcW w:type="dxa" w:w="8352"/>
            <w:tcMar>
              <w:top w:w="15" w:type="dxa"/>
              <w:bottom w:w="15" w:type="dxa"/>
              <w:left w:w="20" w:type="dxa"/>
              <w:right w:w="20" w:type="dxa"/>
            </w:tcMar>
          </w:tcPr>
          <w:p>
            <w:r>
              <w:rPr>
                <w:rFonts w:ascii="Calibri" w:hAnsi="Calibri"/>
                <w:b/>
                <w:sz w:val="18"/>
              </w:rPr>
              <w:t>7. RECOMMENDATION &amp; ACTION PLAN</w:t>
            </w:r>
          </w:p>
        </w:tc>
        <w:tc>
          <w:tcPr>
            <w:tcW w:type="dxa" w:w="1008"/>
            <w:tcMar>
              <w:top w:w="15" w:type="dxa"/>
              <w:bottom w:w="15" w:type="dxa"/>
              <w:left w:w="20" w:type="dxa"/>
              <w:right w:w="20" w:type="dxa"/>
            </w:tcMar>
          </w:tcPr>
          <w:p>
            <w:pPr>
              <w:jc w:val="right"/>
            </w:pPr>
            <w:r>
              <w:rPr>
                <w:rFonts w:ascii="Calibri" w:hAnsi="Calibri"/>
                <w:b/>
                <w:sz w:val="18"/>
              </w:rPr>
              <w:t>31</w:t>
            </w:r>
          </w:p>
        </w:tc>
      </w:tr>
      <w:tr>
        <w:tc>
          <w:tcPr>
            <w:tcW w:type="dxa" w:w="8352"/>
            <w:tcMar>
              <w:top w:w="15" w:type="dxa"/>
              <w:bottom w:w="15" w:type="dxa"/>
              <w:left w:w="20" w:type="dxa"/>
              <w:right w:w="20" w:type="dxa"/>
            </w:tcMar>
          </w:tcPr>
          <w:p>
            <w:r>
              <w:rPr>
                <w:rFonts w:ascii="Calibri" w:hAnsi="Calibri"/>
                <w:b/>
                <w:sz w:val="18"/>
              </w:rPr>
              <w:t>8. REFERENCE</w:t>
            </w:r>
          </w:p>
        </w:tc>
        <w:tc>
          <w:tcPr>
            <w:tcW w:type="dxa" w:w="1008"/>
            <w:tcMar>
              <w:top w:w="15" w:type="dxa"/>
              <w:bottom w:w="15" w:type="dxa"/>
              <w:left w:w="20" w:type="dxa"/>
              <w:right w:w="20" w:type="dxa"/>
            </w:tcMar>
          </w:tcPr>
          <w:p>
            <w:pPr>
              <w:jc w:val="right"/>
            </w:pPr>
            <w:r>
              <w:rPr>
                <w:rFonts w:ascii="Calibri" w:hAnsi="Calibri"/>
                <w:b/>
                <w:sz w:val="18"/>
              </w:rPr>
              <w:t>33</w:t>
            </w:r>
          </w:p>
        </w:tc>
      </w:tr>
      <w:tr>
        <w:tc>
          <w:tcPr>
            <w:tcW w:type="dxa" w:w="8352"/>
            <w:tcMar>
              <w:top w:w="15" w:type="dxa"/>
              <w:bottom w:w="15" w:type="dxa"/>
              <w:left w:w="20" w:type="dxa"/>
              <w:right w:w="20" w:type="dxa"/>
            </w:tcMar>
          </w:tcPr>
          <w:p>
            <w:r>
              <w:rPr>
                <w:rFonts w:ascii="Calibri" w:hAnsi="Calibri"/>
                <w:b/>
                <w:sz w:val="18"/>
              </w:rPr>
              <w:t>ANNEX A: Electrical Diagnostic Field Test Records (Actual Measured Data)</w:t>
            </w:r>
          </w:p>
        </w:tc>
        <w:tc>
          <w:tcPr>
            <w:tcW w:type="dxa" w:w="1008"/>
            <w:tcMar>
              <w:top w:w="15" w:type="dxa"/>
              <w:bottom w:w="15" w:type="dxa"/>
              <w:left w:w="20" w:type="dxa"/>
              <w:right w:w="20" w:type="dxa"/>
            </w:tcMar>
          </w:tcPr>
          <w:p>
            <w:pPr>
              <w:jc w:val="right"/>
            </w:pPr>
            <w:r>
              <w:rPr>
                <w:rFonts w:ascii="Calibri" w:hAnsi="Calibri"/>
                <w:b/>
                <w:sz w:val="18"/>
              </w:rPr>
              <w:t>34</w:t>
            </w:r>
          </w:p>
        </w:tc>
      </w:tr>
      <w:tr>
        <w:tc>
          <w:tcPr>
            <w:tcW w:type="dxa" w:w="8352"/>
            <w:tcMar>
              <w:top w:w="15" w:type="dxa"/>
              <w:bottom w:w="15" w:type="dxa"/>
              <w:left w:w="20" w:type="dxa"/>
              <w:right w:w="20" w:type="dxa"/>
            </w:tcMar>
          </w:tcPr>
          <w:p>
            <w:r>
              <w:rPr>
                <w:rFonts w:ascii="Calibri" w:hAnsi="Calibri"/>
                <w:b/>
                <w:sz w:val="18"/>
              </w:rPr>
              <w:t>ANNEX B: DGA Historical Gas Ratio Trends (O2/N2, CO2/CO)</w:t>
            </w:r>
          </w:p>
        </w:tc>
        <w:tc>
          <w:tcPr>
            <w:tcW w:type="dxa" w:w="1008"/>
            <w:tcMar>
              <w:top w:w="15" w:type="dxa"/>
              <w:bottom w:w="15" w:type="dxa"/>
              <w:left w:w="20" w:type="dxa"/>
              <w:right w:w="20" w:type="dxa"/>
            </w:tcMar>
          </w:tcPr>
          <w:p>
            <w:pPr>
              <w:jc w:val="right"/>
            </w:pPr>
            <w:r>
              <w:rPr>
                <w:rFonts w:ascii="Calibri" w:hAnsi="Calibri"/>
                <w:b/>
                <w:sz w:val="18"/>
              </w:rPr>
              <w:t>37</w:t>
            </w:r>
          </w:p>
        </w:tc>
      </w:tr>
      <w:tr>
        <w:tc>
          <w:tcPr>
            <w:tcW w:type="dxa" w:w="8352"/>
            <w:tcMar>
              <w:top w:w="15" w:type="dxa"/>
              <w:bottom w:w="15" w:type="dxa"/>
              <w:left w:w="20" w:type="dxa"/>
              <w:right w:w="20" w:type="dxa"/>
            </w:tcMar>
          </w:tcPr>
          <w:p>
            <w:r>
              <w:rPr>
                <w:rFonts w:ascii="Calibri" w:hAnsi="Calibri"/>
                <w:b/>
                <w:sz w:val="18"/>
              </w:rPr>
              <w:t>ANNEX C: Categories of Equipment (IEC 60422) &amp; Duval Triangle 2 for OLTC</w:t>
            </w:r>
          </w:p>
        </w:tc>
        <w:tc>
          <w:tcPr>
            <w:tcW w:type="dxa" w:w="1008"/>
            <w:tcMar>
              <w:top w:w="15" w:type="dxa"/>
              <w:bottom w:w="15" w:type="dxa"/>
              <w:left w:w="20" w:type="dxa"/>
              <w:right w:w="20" w:type="dxa"/>
            </w:tcMar>
          </w:tcPr>
          <w:p>
            <w:pPr>
              <w:jc w:val="right"/>
            </w:pPr>
            <w:r>
              <w:rPr>
                <w:rFonts w:ascii="Calibri" w:hAnsi="Calibri"/>
                <w:b/>
                <w:sz w:val="18"/>
              </w:rPr>
              <w:t>39</w:t>
            </w:r>
          </w:p>
        </w:tc>
      </w:tr>
      <w:tr>
        <w:tc>
          <w:tcPr>
            <w:tcW w:type="dxa" w:w="8352"/>
            <w:tcMar>
              <w:top w:w="15" w:type="dxa"/>
              <w:bottom w:w="15" w:type="dxa"/>
              <w:left w:w="20" w:type="dxa"/>
              <w:right w:w="20" w:type="dxa"/>
            </w:tcMar>
          </w:tcPr>
          <w:p>
            <w:r>
              <w:rPr>
                <w:rFonts w:ascii="Calibri" w:hAnsi="Calibri"/>
                <w:b/>
                <w:sz w:val="18"/>
              </w:rPr>
              <w:t>ANNEX D: IEC 60076-7 Hot-Spot Temperature Formulation</w:t>
            </w:r>
          </w:p>
        </w:tc>
        <w:tc>
          <w:tcPr>
            <w:tcW w:type="dxa" w:w="1008"/>
            <w:tcMar>
              <w:top w:w="15" w:type="dxa"/>
              <w:bottom w:w="15" w:type="dxa"/>
              <w:left w:w="20" w:type="dxa"/>
              <w:right w:w="20" w:type="dxa"/>
            </w:tcMar>
          </w:tcPr>
          <w:p>
            <w:pPr>
              <w:jc w:val="right"/>
            </w:pPr>
            <w:r>
              <w:rPr>
                <w:rFonts w:ascii="Calibri" w:hAnsi="Calibri"/>
                <w:b/>
                <w:sz w:val="18"/>
              </w:rPr>
              <w:t>41</w:t>
            </w:r>
          </w:p>
        </w:tc>
      </w:tr>
      <w:tr>
        <w:tc>
          <w:tcPr>
            <w:tcW w:type="dxa" w:w="8352"/>
            <w:tcMar>
              <w:top w:w="15" w:type="dxa"/>
              <w:bottom w:w="15" w:type="dxa"/>
              <w:left w:w="20" w:type="dxa"/>
              <w:right w:w="20" w:type="dxa"/>
            </w:tcMar>
          </w:tcPr>
          <w:p>
            <w:r>
              <w:rPr>
                <w:rFonts w:ascii="Calibri" w:hAnsi="Calibri"/>
                <w:b/>
                <w:sz w:val="18"/>
              </w:rPr>
              <w:t>ANNEX E: Degradation Mechanisms of Paper and Insulating Oil</w:t>
            </w:r>
          </w:p>
        </w:tc>
        <w:tc>
          <w:tcPr>
            <w:tcW w:type="dxa" w:w="1008"/>
            <w:tcMar>
              <w:top w:w="15" w:type="dxa"/>
              <w:bottom w:w="15" w:type="dxa"/>
              <w:left w:w="20" w:type="dxa"/>
              <w:right w:w="20" w:type="dxa"/>
            </w:tcMar>
          </w:tcPr>
          <w:p>
            <w:pPr>
              <w:jc w:val="right"/>
            </w:pPr>
            <w:r>
              <w:rPr>
                <w:rFonts w:ascii="Calibri" w:hAnsi="Calibri"/>
                <w:b/>
                <w:sz w:val="18"/>
              </w:rPr>
              <w:t>43</w:t>
            </w:r>
          </w:p>
        </w:tc>
      </w:tr>
    </w:tbl>
    <w:p>
      <w:r>
        <w:br w:type="page"/>
      </w:r>
    </w:p>
    <w:p>
      <w:pPr>
        <w:keepNext/>
        <w:spacing w:before="280" w:after="80"/>
      </w:pPr>
      <w:r>
        <w:rPr>
          <w:rFonts w:ascii="Arial" w:hAnsi="Arial"/>
          <w:b/>
          <w:color w:val="1B365D"/>
          <w:sz w:val="26"/>
        </w:rPr>
        <w:t>1. EXECUTIVE SUMMARY</w:t>
      </w:r>
    </w:p>
    <w:p>
      <w:pPr>
        <w:spacing w:before="0" w:after="80" w:line="276" w:lineRule="auto"/>
      </w:pPr>
      <w:r>
        <w:rPr>
          <w:rFonts w:ascii="Calibri" w:hAnsi="Calibri"/>
          <w:i w:val="0"/>
          <w:color w:val="1E293B"/>
          <w:sz w:val="20"/>
        </w:rPr>
        <w:t>This report presents the health index evaluation and remaining life assessment of the 40 MVA 115 kV–22 kV 34101-TR-001 (Serial No. PP0158B01) distribution transformer at GPSC Central Utility Plant 3 (CUP-3), based exclusively on verified maintenance test results conducted during the 2025/2026 cycle and 11 historical oil sampling records from 2021 to 2025. All mathematical modeling strictly follows CIGRE Technical Brochure 761, IEEE Std C57.104-2019, IEEE Std C57.152-2013, and the SINTEF cellulose kinetic model.</w:t>
      </w:r>
    </w:p>
    <w:p>
      <w:pPr>
        <w:spacing w:before="0" w:after="80" w:line="276" w:lineRule="auto"/>
      </w:pPr>
      <w:r>
        <w:rPr>
          <w:rFonts w:ascii="Calibri" w:hAnsi="Calibri"/>
          <w:i w:val="0"/>
          <w:color w:val="1E293B"/>
          <w:sz w:val="20"/>
        </w:rPr>
        <w:t>The component condition scoring is categorized into four primary subsystems: Active Part, Liquid Insulation, HV Bushings, and On-Load Tap Changer (OLTC). The resulting overall Health Index is evaluated at 85.0% (Main Tank Health Index: 91.13%, OLTC Health Index: 75.00%), formally classified as 'Good' according to the Kinectrics methodology. Operational reliability is projected to remain dependable over a lengthy planning horizon.</w:t>
      </w:r>
    </w:p>
    <w:tbl>
      <w:tblPr>
        <w:tblW w:type="auto" w:w="0"/>
        <w:jc w:val="center"/>
        <w:tblLook w:firstColumn="1" w:firstRow="1" w:lastColumn="0" w:lastRow="0" w:noHBand="0" w:noVBand="1" w:val="04A0"/>
      </w:tblPr>
      <w:tblGrid>
        <w:gridCol w:w="9461"/>
      </w:tblGrid>
      <w:tr>
        <w:tc>
          <w:tcPr>
            <w:tcW w:type="dxa" w:w="9360"/>
            <w:shd w:fill="EFF6FF"/>
            <w:tcMar>
              <w:top w:w="100" w:type="dxa"/>
              <w:bottom w:w="100" w:type="dxa"/>
              <w:left w:w="160" w:type="dxa"/>
              <w:right w:w="160" w:type="dxa"/>
            </w:tcMar>
            <w:tcBorders>
              <w:left w:val="single" w:sz="24" w:space="0" w:color="2563EB"/>
              <w:top w:val="none"/>
              <w:bottom w:val="none"/>
              <w:right w:val="none"/>
            </w:tcBorders>
          </w:tcPr>
          <w:p>
            <w:pPr>
              <w:spacing w:after="40"/>
            </w:pPr>
            <w:r>
              <w:rPr>
                <w:b/>
                <w:color w:val="1E40AF"/>
                <w:sz w:val="19"/>
              </w:rPr>
              <w:t xml:space="preserve">DATA VERACITY ASSURANCE: </w:t>
            </w:r>
            <w:r>
              <w:rPr>
                <w:color w:val="1E293B"/>
                <w:sz w:val="19"/>
              </w:rPr>
              <w:t>DATA VERACITY &amp; INTEGRITY STATEMENT: This report contains ONLY verified field and laboratory measurements from 34101-TR-001. No synthetic, simulated, or proxy data from other transformers are included. Specifically:</w:t>
              <w:br/>
              <w:t xml:space="preserve"> • Cellulose DP: Measured via 2-FAL furan in oil (5 ppb -&gt; DP = 1,089). No direct physical paper samples were taken as the unit has remained in continuous service.</w:t>
              <w:br/>
              <w:t xml:space="preserve"> • Electrical Diagnostics: Tap-dependent tests (Ratio, Excitation, Winding Resistance, Impedance) were performed at Tap 1 (Max), Tap 6 (Center), and Tap 11 (Min) per routine 3-year PM practice.</w:t>
              <w:br/>
              <w:t xml:space="preserve"> • Advanced Diagnostic Gaps: Dynamic Resistance Measurement (DRM scan), Bushing Swept-Frequency (15–400 Hz), Frequency Response Analysis (FRA), and Online Partial Discharge (PD) were NOT performed on this unit and are formally declared as unmeasured.</w:t>
            </w:r>
          </w:p>
        </w:tc>
      </w:tr>
    </w:tbl>
    <w:p>
      <w:pPr>
        <w:spacing w:after="80"/>
      </w:pPr>
    </w:p>
    <w:p>
      <w:pPr>
        <w:spacing w:before="0" w:after="80" w:line="276" w:lineRule="auto"/>
      </w:pPr>
      <w:r>
        <w:rPr>
          <w:rFonts w:ascii="Calibri" w:hAnsi="Calibri"/>
          <w:i w:val="0"/>
          <w:color w:val="1E293B"/>
          <w:sz w:val="20"/>
        </w:rPr>
        <w:t>Key Diagnostic Highlights for 34101-TR-001:</w:t>
        <w:br/>
        <w:t xml:space="preserve"> • Active Part: Insulation resistance at 10 min is 24,700 MΩ (HV, PI = 1.49) and 20,800 MΩ (LV, PI = 2.05). Winding power factor CHL is 0.141% (&lt;0.50%). Core-to-ground insulation exceeds 1,000 MΩ. Three-phase short-circuit impedance deviation from nameplate is -0.076% (limit ±3.0%), confirming zero mechanical winding deformation.</w:t>
        <w:br/>
        <w:t xml:space="preserve"> • Solid Insulation &amp; Moisture: Dielectric Frequency Response (DFR / DIRANA) measured cellulose moisture at 0.50% wt (Dry). 2-Furaldehyde is 5 ppb (0.005 ppm), corresponding to an unaged Degree of Polymerization (DP) of 1,089.</w:t>
        <w:br/>
        <w:t xml:space="preserve"> • Dissolved Gas Analysis (DGA): Combustible hydrocarbons remain at benign baseline levels (CH4 = 12 ppm, C2H6 = 2 ppm, C2H4 = 3 ppm, C2H2 = 0.0 ppm). Carbon monoxide (CO = 1,047 ppm) is slightly elevated, prompting routine surveillance, but without active overheating or arcing.</w:t>
        <w:br/>
        <w:t xml:space="preserve"> • Liquid Insulation Quality: Dielectric breakdown is 53.5 to 76.2 kV, moisture is 8.7 ppm (at 46°C), acidity is 0.010 mg KOH/g, and corrosive sulfur is non-corrosive (1a). Overall Oil Quality Factor (OQF) is 3.86 (Good).</w:t>
        <w:br/>
        <w:t xml:space="preserve"> • HV Bushings: 115 kV OIP bushings (H1, H2 Trench, H3 ABB) exhibit C1 capacitance shifts of -0.93% to -1.52% (limit ±4.8%) and corrected power factors of 0.276% to 0.448% (limit &lt;0.50%).</w:t>
        <w:br/>
        <w:t xml:space="preserve"> • Remaining Technical Life: Based on the verified DP of 1,089 and dry paper (0.5% moisture), the expected remaining service life to the critical mechanical threshold (DP = 300) exceeds 64 to 78 years.</w:t>
      </w:r>
    </w:p>
    <w:p>
      <w:pPr>
        <w:keepNext/>
        <w:spacing w:before="280" w:after="80"/>
      </w:pPr>
      <w:r>
        <w:rPr>
          <w:rFonts w:ascii="Arial" w:hAnsi="Arial"/>
          <w:b/>
          <w:color w:val="1B365D"/>
          <w:sz w:val="26"/>
        </w:rPr>
        <w:t>2. INTRODUCTION</w:t>
      </w:r>
    </w:p>
    <w:p>
      <w:pPr>
        <w:spacing w:before="0" w:after="80" w:line="276" w:lineRule="auto"/>
      </w:pPr>
      <w:r>
        <w:rPr>
          <w:rFonts w:ascii="Calibri" w:hAnsi="Calibri"/>
          <w:i w:val="0"/>
          <w:color w:val="1E293B"/>
          <w:sz w:val="20"/>
        </w:rPr>
        <w:t>The Health Index (HI) transforms diverse condition data sources into an objective numerical index, offering a comprehensive assessment of the transformer's overall health to support asset replacement planning, risk mitigation, and maintenance optimization.</w:t>
      </w:r>
    </w:p>
    <w:p>
      <w:pPr>
        <w:spacing w:before="0" w:after="80" w:line="276" w:lineRule="auto"/>
      </w:pPr>
      <w:r>
        <w:rPr>
          <w:rFonts w:ascii="Calibri" w:hAnsi="Calibri"/>
          <w:i w:val="0"/>
          <w:color w:val="1E293B"/>
          <w:sz w:val="20"/>
        </w:rPr>
        <w:t>The evaluation methodology integrates the Kinectrics Inc. scoring framework with SINTEF Energy Research chemical degradation kinetics, calibrated against CIGRE Technical Brochure 761 and IEEE Std C57.152-2013 standards.</w:t>
      </w:r>
    </w:p>
    <w:p>
      <w:pPr>
        <w:keepNext/>
        <w:spacing w:before="280" w:after="80"/>
      </w:pPr>
      <w:r>
        <w:rPr>
          <w:rFonts w:ascii="Arial" w:hAnsi="Arial"/>
          <w:b/>
          <w:color w:val="1B365D"/>
          <w:sz w:val="26"/>
        </w:rPr>
        <w:t>3. TRANSFORMER DETAILS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730"/>
        <w:gridCol w:w="4730"/>
      </w:tblGrid>
      <w:tr>
        <w:tc>
          <w:tcPr>
            <w:tcW w:type="dxa" w:w="4032"/>
            <w:shd w:fill="1B365D"/>
          </w:tcPr>
          <w:p>
            <w:r>
              <w:rPr>
                <w:b/>
                <w:color w:val="FFFFFF"/>
              </w:rPr>
              <w:t>Transformer Technical Parameter</w:t>
            </w:r>
          </w:p>
        </w:tc>
        <w:tc>
          <w:tcPr>
            <w:tcW w:type="dxa" w:w="5328"/>
            <w:shd w:fill="1B365D"/>
          </w:tcPr>
          <w:p>
            <w:r>
              <w:rPr>
                <w:b/>
                <w:color w:val="FFFFFF"/>
              </w:rPr>
              <w:t>Design Specification / Operating Data</w:t>
            </w:r>
          </w:p>
        </w:tc>
      </w:tr>
      <w:tr>
        <w:tc>
          <w:tcPr>
            <w:tcW w:type="dxa" w:w="4032"/>
            <w:shd w:fill="F8FAFC"/>
            <w:tcMar>
              <w:top w:w="40" w:type="dxa"/>
              <w:bottom w:w="40" w:type="dxa"/>
              <w:left w:w="80" w:type="dxa"/>
              <w:right w:w="80" w:type="dxa"/>
            </w:tcMar>
          </w:tcPr>
          <w:p>
            <w:r>
              <w:rPr>
                <w:sz w:val="17"/>
              </w:rPr>
              <w:t>Test Object / Asset Description</w:t>
            </w:r>
          </w:p>
        </w:tc>
        <w:tc>
          <w:tcPr>
            <w:tcW w:type="dxa" w:w="5328"/>
            <w:shd w:fill="F8FAFC"/>
            <w:tcMar>
              <w:top w:w="40" w:type="dxa"/>
              <w:bottom w:w="40" w:type="dxa"/>
              <w:left w:w="80" w:type="dxa"/>
              <w:right w:w="80" w:type="dxa"/>
            </w:tcMar>
          </w:tcPr>
          <w:p>
            <w:r>
              <w:rPr>
                <w:sz w:val="17"/>
              </w:rPr>
              <w:t>40 MVA 115 kV – 22 kV Primary Distribution Transformer</w:t>
            </w:r>
          </w:p>
        </w:tc>
      </w:tr>
      <w:tr>
        <w:tc>
          <w:tcPr>
            <w:tcW w:type="dxa" w:w="4032"/>
            <w:tcMar>
              <w:top w:w="40" w:type="dxa"/>
              <w:bottom w:w="40" w:type="dxa"/>
              <w:left w:w="80" w:type="dxa"/>
              <w:right w:w="80" w:type="dxa"/>
            </w:tcMar>
          </w:tcPr>
          <w:p>
            <w:r>
              <w:rPr>
                <w:sz w:val="17"/>
              </w:rPr>
              <w:t>Equipment Tag ID / KKS Code</w:t>
            </w:r>
          </w:p>
        </w:tc>
        <w:tc>
          <w:tcPr>
            <w:tcW w:type="dxa" w:w="5328"/>
            <w:tcMar>
              <w:top w:w="40" w:type="dxa"/>
              <w:bottom w:w="40" w:type="dxa"/>
              <w:left w:w="80" w:type="dxa"/>
              <w:right w:w="80" w:type="dxa"/>
            </w:tcMar>
          </w:tcPr>
          <w:p>
            <w:r>
              <w:rPr>
                <w:sz w:val="17"/>
              </w:rPr>
              <w:t>34101-TR-001</w:t>
            </w:r>
          </w:p>
        </w:tc>
      </w:tr>
      <w:tr>
        <w:tc>
          <w:tcPr>
            <w:tcW w:type="dxa" w:w="4032"/>
            <w:shd w:fill="F8FAFC"/>
            <w:tcMar>
              <w:top w:w="40" w:type="dxa"/>
              <w:bottom w:w="40" w:type="dxa"/>
              <w:left w:w="80" w:type="dxa"/>
              <w:right w:w="80" w:type="dxa"/>
            </w:tcMar>
          </w:tcPr>
          <w:p>
            <w:r>
              <w:rPr>
                <w:sz w:val="17"/>
              </w:rPr>
              <w:t>Manufacturer Serial Number</w:t>
            </w:r>
          </w:p>
        </w:tc>
        <w:tc>
          <w:tcPr>
            <w:tcW w:type="dxa" w:w="5328"/>
            <w:shd w:fill="F8FAFC"/>
            <w:tcMar>
              <w:top w:w="40" w:type="dxa"/>
              <w:bottom w:w="40" w:type="dxa"/>
              <w:left w:w="80" w:type="dxa"/>
              <w:right w:w="80" w:type="dxa"/>
            </w:tcMar>
          </w:tcPr>
          <w:p>
            <w:r>
              <w:rPr>
                <w:sz w:val="17"/>
              </w:rPr>
              <w:t>PP0158B01</w:t>
            </w:r>
          </w:p>
        </w:tc>
      </w:tr>
      <w:tr>
        <w:tc>
          <w:tcPr>
            <w:tcW w:type="dxa" w:w="4032"/>
            <w:tcMar>
              <w:top w:w="40" w:type="dxa"/>
              <w:bottom w:w="40" w:type="dxa"/>
              <w:left w:w="80" w:type="dxa"/>
              <w:right w:w="80" w:type="dxa"/>
            </w:tcMar>
          </w:tcPr>
          <w:p>
            <w:r>
              <w:rPr>
                <w:sz w:val="17"/>
              </w:rPr>
              <w:t>Original Equipment Manufacturer (OEM)</w:t>
            </w:r>
          </w:p>
        </w:tc>
        <w:tc>
          <w:tcPr>
            <w:tcW w:type="dxa" w:w="5328"/>
            <w:tcMar>
              <w:top w:w="40" w:type="dxa"/>
              <w:bottom w:w="40" w:type="dxa"/>
              <w:left w:w="80" w:type="dxa"/>
              <w:right w:w="80" w:type="dxa"/>
            </w:tcMar>
          </w:tcPr>
          <w:p>
            <w:r>
              <w:rPr>
                <w:sz w:val="17"/>
              </w:rPr>
              <w:t>DAIHEN (Thailand) Co., Ltd.</w:t>
            </w:r>
          </w:p>
        </w:tc>
      </w:tr>
      <w:tr>
        <w:tc>
          <w:tcPr>
            <w:tcW w:type="dxa" w:w="4032"/>
            <w:shd w:fill="F8FAFC"/>
            <w:tcMar>
              <w:top w:w="40" w:type="dxa"/>
              <w:bottom w:w="40" w:type="dxa"/>
              <w:left w:w="80" w:type="dxa"/>
              <w:right w:w="80" w:type="dxa"/>
            </w:tcMar>
          </w:tcPr>
          <w:p>
            <w:r>
              <w:rPr>
                <w:sz w:val="17"/>
              </w:rPr>
              <w:t>Manufacturing Date / Commissioning</w:t>
            </w:r>
          </w:p>
        </w:tc>
        <w:tc>
          <w:tcPr>
            <w:tcW w:type="dxa" w:w="5328"/>
            <w:shd w:fill="F8FAFC"/>
            <w:tcMar>
              <w:top w:w="40" w:type="dxa"/>
              <w:bottom w:w="40" w:type="dxa"/>
              <w:left w:w="80" w:type="dxa"/>
              <w:right w:w="80" w:type="dxa"/>
            </w:tcMar>
          </w:tcPr>
          <w:p>
            <w:r>
              <w:rPr>
                <w:sz w:val="17"/>
              </w:rPr>
              <w:t>2008-01-01 (Calendar Age: 18.0 Years)</w:t>
            </w:r>
          </w:p>
        </w:tc>
      </w:tr>
      <w:tr>
        <w:tc>
          <w:tcPr>
            <w:tcW w:type="dxa" w:w="4032"/>
            <w:tcMar>
              <w:top w:w="40" w:type="dxa"/>
              <w:bottom w:w="40" w:type="dxa"/>
              <w:left w:w="80" w:type="dxa"/>
              <w:right w:w="80" w:type="dxa"/>
            </w:tcMar>
          </w:tcPr>
          <w:p>
            <w:r>
              <w:rPr>
                <w:sz w:val="17"/>
              </w:rPr>
              <w:t>Plant Site / Location</w:t>
            </w:r>
          </w:p>
        </w:tc>
        <w:tc>
          <w:tcPr>
            <w:tcW w:type="dxa" w:w="5328"/>
            <w:tcMar>
              <w:top w:w="40" w:type="dxa"/>
              <w:bottom w:w="40" w:type="dxa"/>
              <w:left w:w="80" w:type="dxa"/>
              <w:right w:w="80" w:type="dxa"/>
            </w:tcMar>
          </w:tcPr>
          <w:p>
            <w:r>
              <w:rPr>
                <w:sz w:val="17"/>
              </w:rPr>
              <w:t>GPSC CUP-3 (Central Utility Plant 3, Rayong)</w:t>
            </w:r>
          </w:p>
        </w:tc>
      </w:tr>
      <w:tr>
        <w:tc>
          <w:tcPr>
            <w:tcW w:type="dxa" w:w="4032"/>
            <w:shd w:fill="F8FAFC"/>
            <w:tcMar>
              <w:top w:w="40" w:type="dxa"/>
              <w:bottom w:w="40" w:type="dxa"/>
              <w:left w:w="80" w:type="dxa"/>
              <w:right w:w="80" w:type="dxa"/>
            </w:tcMar>
          </w:tcPr>
          <w:p>
            <w:r>
              <w:rPr>
                <w:sz w:val="17"/>
              </w:rPr>
              <w:t>Tank Construction Type</w:t>
            </w:r>
          </w:p>
        </w:tc>
        <w:tc>
          <w:tcPr>
            <w:tcW w:type="dxa" w:w="5328"/>
            <w:shd w:fill="F8FAFC"/>
            <w:tcMar>
              <w:top w:w="40" w:type="dxa"/>
              <w:bottom w:w="40" w:type="dxa"/>
              <w:left w:w="80" w:type="dxa"/>
              <w:right w:w="80" w:type="dxa"/>
            </w:tcMar>
          </w:tcPr>
          <w:p>
            <w:r>
              <w:rPr>
                <w:sz w:val="17"/>
              </w:rPr>
              <w:t>Conservator type with membrane air-cell / silica breather</w:t>
            </w:r>
          </w:p>
        </w:tc>
      </w:tr>
      <w:tr>
        <w:tc>
          <w:tcPr>
            <w:tcW w:type="dxa" w:w="4032"/>
            <w:tcMar>
              <w:top w:w="40" w:type="dxa"/>
              <w:bottom w:w="40" w:type="dxa"/>
              <w:left w:w="80" w:type="dxa"/>
              <w:right w:w="80" w:type="dxa"/>
            </w:tcMar>
          </w:tcPr>
          <w:p>
            <w:r>
              <w:rPr>
                <w:sz w:val="17"/>
              </w:rPr>
              <w:t>Rated Apparent Power</w:t>
            </w:r>
          </w:p>
        </w:tc>
        <w:tc>
          <w:tcPr>
            <w:tcW w:type="dxa" w:w="5328"/>
            <w:tcMar>
              <w:top w:w="40" w:type="dxa"/>
              <w:bottom w:w="40" w:type="dxa"/>
              <w:left w:w="80" w:type="dxa"/>
              <w:right w:w="80" w:type="dxa"/>
            </w:tcMar>
          </w:tcPr>
          <w:p>
            <w:r>
              <w:rPr>
                <w:sz w:val="17"/>
              </w:rPr>
              <w:t>40,000 kVA (40 MVA)</w:t>
            </w:r>
          </w:p>
        </w:tc>
      </w:tr>
      <w:tr>
        <w:tc>
          <w:tcPr>
            <w:tcW w:type="dxa" w:w="4032"/>
            <w:shd w:fill="F8FAFC"/>
            <w:tcMar>
              <w:top w:w="40" w:type="dxa"/>
              <w:bottom w:w="40" w:type="dxa"/>
              <w:left w:w="80" w:type="dxa"/>
              <w:right w:w="80" w:type="dxa"/>
            </w:tcMar>
          </w:tcPr>
          <w:p>
            <w:r>
              <w:rPr>
                <w:sz w:val="17"/>
              </w:rPr>
              <w:t>Cooling Class</w:t>
            </w:r>
          </w:p>
        </w:tc>
        <w:tc>
          <w:tcPr>
            <w:tcW w:type="dxa" w:w="5328"/>
            <w:shd w:fill="F8FAFC"/>
            <w:tcMar>
              <w:top w:w="40" w:type="dxa"/>
              <w:bottom w:w="40" w:type="dxa"/>
              <w:left w:w="80" w:type="dxa"/>
              <w:right w:w="80" w:type="dxa"/>
            </w:tcMar>
          </w:tcPr>
          <w:p>
            <w:r>
              <w:rPr>
                <w:sz w:val="17"/>
              </w:rPr>
              <w:t>ONAN (Oil Natural Air Natural)</w:t>
            </w:r>
          </w:p>
        </w:tc>
      </w:tr>
      <w:tr>
        <w:tc>
          <w:tcPr>
            <w:tcW w:type="dxa" w:w="4032"/>
            <w:tcMar>
              <w:top w:w="40" w:type="dxa"/>
              <w:bottom w:w="40" w:type="dxa"/>
              <w:left w:w="80" w:type="dxa"/>
              <w:right w:w="80" w:type="dxa"/>
            </w:tcMar>
          </w:tcPr>
          <w:p>
            <w:r>
              <w:rPr>
                <w:sz w:val="17"/>
              </w:rPr>
              <w:t>Rated Voltages &amp; Currents</w:t>
            </w:r>
          </w:p>
        </w:tc>
        <w:tc>
          <w:tcPr>
            <w:tcW w:type="dxa" w:w="5328"/>
            <w:tcMar>
              <w:top w:w="40" w:type="dxa"/>
              <w:bottom w:w="40" w:type="dxa"/>
              <w:left w:w="80" w:type="dxa"/>
              <w:right w:w="80" w:type="dxa"/>
            </w:tcMar>
          </w:tcPr>
          <w:p>
            <w:r>
              <w:rPr>
                <w:sz w:val="17"/>
              </w:rPr>
              <w:t>HV: 115,000 V (201 A) / LV: 22,000 V (1,050 A), 3-Phase, 50 Hz</w:t>
            </w:r>
          </w:p>
        </w:tc>
      </w:tr>
      <w:tr>
        <w:tc>
          <w:tcPr>
            <w:tcW w:type="dxa" w:w="4032"/>
            <w:shd w:fill="F8FAFC"/>
            <w:tcMar>
              <w:top w:w="40" w:type="dxa"/>
              <w:bottom w:w="40" w:type="dxa"/>
              <w:left w:w="80" w:type="dxa"/>
              <w:right w:w="80" w:type="dxa"/>
            </w:tcMar>
          </w:tcPr>
          <w:p>
            <w:r>
              <w:rPr>
                <w:sz w:val="17"/>
              </w:rPr>
              <w:t>Vector Group / Connection</w:t>
            </w:r>
          </w:p>
        </w:tc>
        <w:tc>
          <w:tcPr>
            <w:tcW w:type="dxa" w:w="5328"/>
            <w:shd w:fill="F8FAFC"/>
            <w:tcMar>
              <w:top w:w="40" w:type="dxa"/>
              <w:bottom w:w="40" w:type="dxa"/>
              <w:left w:w="80" w:type="dxa"/>
              <w:right w:w="80" w:type="dxa"/>
            </w:tcMar>
          </w:tcPr>
          <w:p>
            <w:r>
              <w:rPr>
                <w:sz w:val="17"/>
              </w:rPr>
              <w:t>Dyn1</w:t>
            </w:r>
          </w:p>
        </w:tc>
      </w:tr>
      <w:tr>
        <w:tc>
          <w:tcPr>
            <w:tcW w:type="dxa" w:w="4032"/>
            <w:tcMar>
              <w:top w:w="40" w:type="dxa"/>
              <w:bottom w:w="40" w:type="dxa"/>
              <w:left w:w="80" w:type="dxa"/>
              <w:right w:w="80" w:type="dxa"/>
            </w:tcMar>
          </w:tcPr>
          <w:p>
            <w:r>
              <w:rPr>
                <w:sz w:val="17"/>
              </w:rPr>
              <w:t>Impedance at Nominal Tap</w:t>
            </w:r>
          </w:p>
        </w:tc>
        <w:tc>
          <w:tcPr>
            <w:tcW w:type="dxa" w:w="5328"/>
            <w:tcMar>
              <w:top w:w="40" w:type="dxa"/>
              <w:bottom w:w="40" w:type="dxa"/>
              <w:left w:w="80" w:type="dxa"/>
              <w:right w:w="80" w:type="dxa"/>
            </w:tcMar>
          </w:tcPr>
          <w:p>
            <w:r>
              <w:rPr>
                <w:sz w:val="17"/>
              </w:rPr>
              <w:t>12.15% (Center Tap 6) | 12.38% (Tap 1) | 11.90% (Tap 11)</w:t>
            </w:r>
          </w:p>
        </w:tc>
      </w:tr>
      <w:tr>
        <w:tc>
          <w:tcPr>
            <w:tcW w:type="dxa" w:w="4032"/>
            <w:shd w:fill="F8FAFC"/>
            <w:tcMar>
              <w:top w:w="40" w:type="dxa"/>
              <w:bottom w:w="40" w:type="dxa"/>
              <w:left w:w="80" w:type="dxa"/>
              <w:right w:w="80" w:type="dxa"/>
            </w:tcMar>
          </w:tcPr>
          <w:p>
            <w:r>
              <w:rPr>
                <w:sz w:val="17"/>
              </w:rPr>
              <w:t>Total Mass / Oil Volume</w:t>
            </w:r>
          </w:p>
        </w:tc>
        <w:tc>
          <w:tcPr>
            <w:tcW w:type="dxa" w:w="5328"/>
            <w:shd w:fill="F8FAFC"/>
            <w:tcMar>
              <w:top w:w="40" w:type="dxa"/>
              <w:bottom w:w="40" w:type="dxa"/>
              <w:left w:w="80" w:type="dxa"/>
              <w:right w:w="80" w:type="dxa"/>
            </w:tcMar>
          </w:tcPr>
          <w:p>
            <w:r>
              <w:rPr>
                <w:sz w:val="17"/>
              </w:rPr>
              <w:t>Total: 70,500 kg | Core &amp; Coil: 35,500 kg | Oil: 16,470 kg (18,300 L)</w:t>
            </w:r>
          </w:p>
        </w:tc>
      </w:tr>
      <w:tr>
        <w:tc>
          <w:tcPr>
            <w:tcW w:type="dxa" w:w="4032"/>
            <w:tcMar>
              <w:top w:w="40" w:type="dxa"/>
              <w:bottom w:w="40" w:type="dxa"/>
              <w:left w:w="80" w:type="dxa"/>
              <w:right w:w="80" w:type="dxa"/>
            </w:tcMar>
          </w:tcPr>
          <w:p>
            <w:r>
              <w:rPr>
                <w:sz w:val="17"/>
              </w:rPr>
              <w:t>Insulation Class (Paper / Oil)</w:t>
            </w:r>
          </w:p>
        </w:tc>
        <w:tc>
          <w:tcPr>
            <w:tcW w:type="dxa" w:w="5328"/>
            <w:tcMar>
              <w:top w:w="40" w:type="dxa"/>
              <w:bottom w:w="40" w:type="dxa"/>
              <w:left w:w="80" w:type="dxa"/>
              <w:right w:w="80" w:type="dxa"/>
            </w:tcMar>
          </w:tcPr>
          <w:p>
            <w:r>
              <w:rPr>
                <w:sz w:val="17"/>
              </w:rPr>
              <w:t>Class A (105°C Kraft Paper) / Class O Mineral Oil (IEC 60296)</w:t>
            </w:r>
          </w:p>
        </w:tc>
      </w:tr>
      <w:tr>
        <w:tc>
          <w:tcPr>
            <w:tcW w:type="dxa" w:w="4032"/>
            <w:shd w:fill="F8FAFC"/>
            <w:tcMar>
              <w:top w:w="40" w:type="dxa"/>
              <w:bottom w:w="40" w:type="dxa"/>
              <w:left w:w="80" w:type="dxa"/>
              <w:right w:w="80" w:type="dxa"/>
            </w:tcMar>
          </w:tcPr>
          <w:p>
            <w:r>
              <w:rPr>
                <w:sz w:val="17"/>
              </w:rPr>
              <w:t>OLTC Manufacturer &amp; Model</w:t>
            </w:r>
          </w:p>
        </w:tc>
        <w:tc>
          <w:tcPr>
            <w:tcW w:type="dxa" w:w="5328"/>
            <w:shd w:fill="F8FAFC"/>
            <w:tcMar>
              <w:top w:w="40" w:type="dxa"/>
              <w:bottom w:w="40" w:type="dxa"/>
              <w:left w:w="80" w:type="dxa"/>
              <w:right w:w="80" w:type="dxa"/>
            </w:tcMar>
          </w:tcPr>
          <w:p>
            <w:r>
              <w:rPr>
                <w:sz w:val="17"/>
              </w:rPr>
              <w:t>Maschinenfabrik Reinhausen (MR) Model VIII 200D-123/76-10133W</w:t>
            </w:r>
          </w:p>
        </w:tc>
      </w:tr>
      <w:tr>
        <w:tc>
          <w:tcPr>
            <w:tcW w:type="dxa" w:w="4032"/>
            <w:tcMar>
              <w:top w:w="40" w:type="dxa"/>
              <w:bottom w:w="40" w:type="dxa"/>
              <w:left w:w="80" w:type="dxa"/>
              <w:right w:w="80" w:type="dxa"/>
            </w:tcMar>
          </w:tcPr>
          <w:p>
            <w:r>
              <w:rPr>
                <w:sz w:val="17"/>
              </w:rPr>
              <w:t>OLTC Serial Number / Motor Drive</w:t>
            </w:r>
          </w:p>
        </w:tc>
        <w:tc>
          <w:tcPr>
            <w:tcW w:type="dxa" w:w="5328"/>
            <w:tcMar>
              <w:top w:w="40" w:type="dxa"/>
              <w:bottom w:w="40" w:type="dxa"/>
              <w:left w:w="80" w:type="dxa"/>
              <w:right w:w="80" w:type="dxa"/>
            </w:tcMar>
          </w:tcPr>
          <w:p>
            <w:r>
              <w:rPr>
                <w:sz w:val="17"/>
              </w:rPr>
              <w:t>Serial No: 1051093 (Year: 2007) | Motor Drive: ED 100S</w:t>
            </w:r>
          </w:p>
        </w:tc>
      </w:tr>
      <w:tr>
        <w:tc>
          <w:tcPr>
            <w:tcW w:type="dxa" w:w="4032"/>
            <w:shd w:fill="F8FAFC"/>
            <w:tcMar>
              <w:top w:w="40" w:type="dxa"/>
              <w:bottom w:w="40" w:type="dxa"/>
              <w:left w:w="80" w:type="dxa"/>
              <w:right w:w="80" w:type="dxa"/>
            </w:tcMar>
          </w:tcPr>
          <w:p>
            <w:r>
              <w:rPr>
                <w:sz w:val="17"/>
              </w:rPr>
              <w:t>Bushing Specifications (HV / LV)</w:t>
            </w:r>
          </w:p>
        </w:tc>
        <w:tc>
          <w:tcPr>
            <w:tcW w:type="dxa" w:w="5328"/>
            <w:shd w:fill="F8FAFC"/>
            <w:tcMar>
              <w:top w:w="40" w:type="dxa"/>
              <w:bottom w:w="40" w:type="dxa"/>
              <w:left w:w="80" w:type="dxa"/>
              <w:right w:w="80" w:type="dxa"/>
            </w:tcMar>
          </w:tcPr>
          <w:p>
            <w:r>
              <w:rPr>
                <w:sz w:val="17"/>
              </w:rPr>
              <w:t>115 kV OIP Condenser Bushings / 24 kV Heavy-Duty Porcelain</w:t>
            </w:r>
          </w:p>
        </w:tc>
      </w:tr>
    </w:tbl>
    <w:p>
      <w:pPr>
        <w:keepNext/>
        <w:spacing w:before="280" w:after="80"/>
      </w:pPr>
      <w:r>
        <w:rPr>
          <w:rFonts w:ascii="Arial" w:hAnsi="Arial"/>
          <w:b/>
          <w:color w:val="1B365D"/>
          <w:sz w:val="26"/>
        </w:rPr>
        <w:t>4. GENERAL INFORMATION</w:t>
      </w:r>
    </w:p>
    <w:p>
      <w:pPr>
        <w:keepNext/>
        <w:spacing w:before="200" w:after="60"/>
      </w:pPr>
      <w:r>
        <w:rPr>
          <w:rFonts w:ascii="Arial" w:hAnsi="Arial"/>
          <w:b/>
          <w:color w:val="2563EB"/>
          <w:sz w:val="22"/>
        </w:rPr>
        <w:t>4.1 Schematic Configuration of 34101-TR-001 Substation Cell</w:t>
      </w:r>
    </w:p>
    <w:p>
      <w:pPr>
        <w:spacing w:before="0" w:after="80" w:line="276" w:lineRule="auto"/>
      </w:pPr>
      <w:r>
        <w:rPr>
          <w:rFonts w:ascii="Calibri" w:hAnsi="Calibri"/>
          <w:i w:val="0"/>
          <w:color w:val="1E293B"/>
          <w:sz w:val="20"/>
        </w:rPr>
        <w:t>The 34101-TR-001 distribution transformer connects the 115 kV high-voltage GIS busbar at GPSC CUP-3 via gas-insulated cable terminations and station-class surge arresters, stepping down transmission voltage to 22 kV for primary industrial feeder distribution switchgear. It features dedicated TRIDELTA metal oxide surge arresters directly protecting the high-voltage bushings and an on-tank Maschinenfabrik Reinhausen (MR) tap changer regulating secondary voltage under load.</w:t>
      </w:r>
    </w:p>
    <w:p>
      <w:pPr>
        <w:keepNext/>
        <w:spacing w:before="280" w:after="80"/>
      </w:pPr>
      <w:r>
        <w:rPr>
          <w:rFonts w:ascii="Arial" w:hAnsi="Arial"/>
          <w:b/>
          <w:color w:val="1B365D"/>
          <w:sz w:val="26"/>
        </w:rPr>
        <w:t>5. CURRENT STATE CONDITION</w:t>
      </w:r>
    </w:p>
    <w:p>
      <w:pPr>
        <w:keepNext/>
        <w:spacing w:before="200" w:after="60"/>
      </w:pPr>
      <w:r>
        <w:rPr>
          <w:rFonts w:ascii="Arial" w:hAnsi="Arial"/>
          <w:b/>
          <w:color w:val="2563EB"/>
          <w:sz w:val="22"/>
        </w:rPr>
        <w:t>5.1 AN OVERVIEW OF THE RESULTS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892"/>
            <w:shd w:fill="1B365D"/>
          </w:tcPr>
          <w:p>
            <w:r>
              <w:rPr>
                <w:b/>
                <w:color w:val="FFFFFF"/>
                <w:sz w:val="17"/>
              </w:rPr>
              <w:t>Component Subsystem</w:t>
            </w:r>
          </w:p>
        </w:tc>
        <w:tc>
          <w:tcPr>
            <w:tcW w:type="dxa" w:w="1892"/>
            <w:shd w:fill="1B365D"/>
          </w:tcPr>
          <w:p>
            <w:r>
              <w:rPr>
                <w:b/>
                <w:color w:val="FFFFFF"/>
                <w:sz w:val="17"/>
              </w:rPr>
              <w:t>Diagnostic Parameter</w:t>
            </w:r>
          </w:p>
        </w:tc>
        <w:tc>
          <w:tcPr>
            <w:tcW w:type="dxa" w:w="1892"/>
            <w:shd w:fill="1B365D"/>
          </w:tcPr>
          <w:p>
            <w:r>
              <w:rPr>
                <w:b/>
                <w:color w:val="FFFFFF"/>
                <w:sz w:val="17"/>
              </w:rPr>
              <w:t>Measured Score</w:t>
            </w:r>
          </w:p>
        </w:tc>
        <w:tc>
          <w:tcPr>
            <w:tcW w:type="dxa" w:w="1892"/>
            <w:shd w:fill="1B365D"/>
          </w:tcPr>
          <w:p>
            <w:r>
              <w:rPr>
                <w:b/>
                <w:color w:val="FFFFFF"/>
                <w:sz w:val="17"/>
              </w:rPr>
              <w:t>Condition Score</w:t>
            </w:r>
          </w:p>
        </w:tc>
        <w:tc>
          <w:tcPr>
            <w:tcW w:type="dxa" w:w="1892"/>
            <w:shd w:fill="1B365D"/>
          </w:tcPr>
          <w:p>
            <w:r>
              <w:rPr>
                <w:b/>
                <w:color w:val="FFFFFF"/>
                <w:sz w:val="17"/>
              </w:rPr>
              <w:t>Rating Code</w:t>
            </w:r>
          </w:p>
        </w:tc>
      </w:tr>
      <w:tr>
        <w:tc>
          <w:tcPr>
            <w:tcW w:type="dxa" w:w="1892"/>
            <w:tcMar>
              <w:top w:w="25" w:type="dxa"/>
              <w:bottom w:w="25" w:type="dxa"/>
              <w:left w:w="50" w:type="dxa"/>
              <w:right w:w="50" w:type="dxa"/>
            </w:tcMar>
          </w:tcPr>
          <w:p>
            <w:r>
              <w:rPr>
                <w:sz w:val="16"/>
              </w:rPr>
              <w:t>Active Part (Winding &amp; Core)</w:t>
            </w:r>
          </w:p>
        </w:tc>
        <w:tc>
          <w:tcPr>
            <w:tcW w:type="dxa" w:w="1892"/>
            <w:tcMar>
              <w:top w:w="25" w:type="dxa"/>
              <w:bottom w:w="25" w:type="dxa"/>
              <w:left w:w="50" w:type="dxa"/>
              <w:right w:w="50" w:type="dxa"/>
            </w:tcMar>
          </w:tcPr>
          <w:p>
            <w:r>
              <w:rPr>
                <w:sz w:val="16"/>
              </w:rPr>
              <w:t>Estimated DP (from 2-FAL 5 ppb)</w:t>
            </w:r>
          </w:p>
        </w:tc>
        <w:tc>
          <w:tcPr>
            <w:tcW w:type="dxa" w:w="1892"/>
            <w:tcMar>
              <w:top w:w="25" w:type="dxa"/>
              <w:bottom w:w="25" w:type="dxa"/>
              <w:left w:w="50" w:type="dxa"/>
              <w:right w:w="50" w:type="dxa"/>
            </w:tcMar>
          </w:tcPr>
          <w:p>
            <w:r>
              <w:rPr>
                <w:sz w:val="16"/>
              </w:rPr>
              <w:t>4 (DP = 1,089)</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Moisture in Paper (DFR via DIRANA)</w:t>
            </w:r>
          </w:p>
        </w:tc>
        <w:tc>
          <w:tcPr>
            <w:tcW w:type="dxa" w:w="1892"/>
            <w:tcMar>
              <w:top w:w="25" w:type="dxa"/>
              <w:bottom w:w="25" w:type="dxa"/>
              <w:left w:w="50" w:type="dxa"/>
              <w:right w:w="50" w:type="dxa"/>
            </w:tcMar>
          </w:tcPr>
          <w:p>
            <w:r>
              <w:rPr>
                <w:sz w:val="16"/>
              </w:rPr>
              <w:t>4 (0.50% wt - Dry)</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Insulation Resistance &amp; PI (5 kV / 2.5 kV)</w:t>
            </w:r>
          </w:p>
        </w:tc>
        <w:tc>
          <w:tcPr>
            <w:tcW w:type="dxa" w:w="1892"/>
            <w:tcMar>
              <w:top w:w="25" w:type="dxa"/>
              <w:bottom w:w="25" w:type="dxa"/>
              <w:left w:w="50" w:type="dxa"/>
              <w:right w:w="50" w:type="dxa"/>
            </w:tcMar>
          </w:tcPr>
          <w:p>
            <w:r>
              <w:rPr>
                <w:sz w:val="16"/>
              </w:rPr>
              <w:t>1 (PI = 2.05)</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Winding Power Factor (%PF at 20°C)</w:t>
            </w:r>
          </w:p>
        </w:tc>
        <w:tc>
          <w:tcPr>
            <w:tcW w:type="dxa" w:w="1892"/>
            <w:tcMar>
              <w:top w:w="25" w:type="dxa"/>
              <w:bottom w:w="25" w:type="dxa"/>
              <w:left w:w="50" w:type="dxa"/>
              <w:right w:w="50" w:type="dxa"/>
            </w:tcMar>
          </w:tcPr>
          <w:p>
            <w:r>
              <w:rPr>
                <w:sz w:val="16"/>
              </w:rPr>
              <w:t>1 (CHL = 0.141%)</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Ratio and Polarity (Taps 1, 6, 11)</w:t>
            </w:r>
          </w:p>
        </w:tc>
        <w:tc>
          <w:tcPr>
            <w:tcW w:type="dxa" w:w="1892"/>
            <w:tcMar>
              <w:top w:w="25" w:type="dxa"/>
              <w:bottom w:w="25" w:type="dxa"/>
              <w:left w:w="50" w:type="dxa"/>
              <w:right w:w="50" w:type="dxa"/>
            </w:tcMar>
          </w:tcPr>
          <w:p>
            <w:r>
              <w:rPr>
                <w:sz w:val="16"/>
              </w:rPr>
              <w:t>1 (Max Err = 0.25%)</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Exciting Current Test (HLH Pattern)</w:t>
            </w:r>
          </w:p>
        </w:tc>
        <w:tc>
          <w:tcPr>
            <w:tcW w:type="dxa" w:w="1892"/>
            <w:tcMar>
              <w:top w:w="25" w:type="dxa"/>
              <w:bottom w:w="25" w:type="dxa"/>
              <w:left w:w="50" w:type="dxa"/>
              <w:right w:w="50" w:type="dxa"/>
            </w:tcMar>
          </w:tcPr>
          <w:p>
            <w:r>
              <w:rPr>
                <w:sz w:val="16"/>
              </w:rPr>
              <w:t>1 (Outer Dev = 1.21%)</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Winding Resistance Phase Dev.</w:t>
            </w:r>
          </w:p>
        </w:tc>
        <w:tc>
          <w:tcPr>
            <w:tcW w:type="dxa" w:w="1892"/>
            <w:tcMar>
              <w:top w:w="25" w:type="dxa"/>
              <w:bottom w:w="25" w:type="dxa"/>
              <w:left w:w="50" w:type="dxa"/>
              <w:right w:w="50" w:type="dxa"/>
            </w:tcMar>
          </w:tcPr>
          <w:p>
            <w:r>
              <w:rPr>
                <w:sz w:val="16"/>
              </w:rPr>
              <w:t>1 (Max Dev = 1.35%)</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Short-Circuit Impedance (%Z Dev)</w:t>
            </w:r>
          </w:p>
        </w:tc>
        <w:tc>
          <w:tcPr>
            <w:tcW w:type="dxa" w:w="1892"/>
            <w:tcMar>
              <w:top w:w="25" w:type="dxa"/>
              <w:bottom w:w="25" w:type="dxa"/>
              <w:left w:w="50" w:type="dxa"/>
              <w:right w:w="50" w:type="dxa"/>
            </w:tcMar>
          </w:tcPr>
          <w:p>
            <w:r>
              <w:rPr>
                <w:sz w:val="16"/>
              </w:rPr>
              <w:t>1 (-0.076% Dev)</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FRA / SFRA Mechanical Deformation</w:t>
            </w:r>
          </w:p>
        </w:tc>
        <w:tc>
          <w:tcPr>
            <w:tcW w:type="dxa" w:w="1892"/>
            <w:tcMar>
              <w:top w:w="25" w:type="dxa"/>
              <w:bottom w:w="25" w:type="dxa"/>
              <w:left w:w="50" w:type="dxa"/>
              <w:right w:w="50" w:type="dxa"/>
            </w:tcMar>
          </w:tcPr>
          <w:p>
            <w:r>
              <w:rPr>
                <w:sz w:val="16"/>
              </w:rPr>
              <w:t>Not Available (No Data)</w:t>
            </w:r>
          </w:p>
        </w:tc>
        <w:tc>
          <w:tcPr>
            <w:tcW w:type="dxa" w:w="1892"/>
            <w:tcMar>
              <w:top w:w="25" w:type="dxa"/>
              <w:bottom w:w="25" w:type="dxa"/>
              <w:left w:w="50" w:type="dxa"/>
              <w:right w:w="50" w:type="dxa"/>
            </w:tcMar>
          </w:tcPr>
          <w:p>
            <w:r>
              <w:rPr>
                <w:sz w:val="16"/>
              </w:rPr>
              <w:t>-</w:t>
            </w:r>
          </w:p>
        </w:tc>
        <w:tc>
          <w:tcPr>
            <w:tcW w:type="dxa" w:w="1892"/>
            <w:shd w:fill="F1F5F9"/>
            <w:tcMar>
              <w:top w:w="25" w:type="dxa"/>
              <w:bottom w:w="25" w:type="dxa"/>
              <w:left w:w="50" w:type="dxa"/>
              <w:right w:w="50" w:type="dxa"/>
            </w:tcMar>
          </w:tcPr>
          <w:p>
            <w:r>
              <w:rPr>
                <w:sz w:val="16"/>
              </w:rPr>
              <w:t>Unmeasured</w:t>
            </w:r>
          </w:p>
        </w:tc>
      </w:tr>
      <w:tr>
        <w:tc>
          <w:tcPr>
            <w:tcW w:type="dxa" w:w="1892"/>
            <w:tcMar>
              <w:top w:w="25" w:type="dxa"/>
              <w:bottom w:w="25" w:type="dxa"/>
              <w:left w:w="50" w:type="dxa"/>
              <w:right w:w="50" w:type="dxa"/>
            </w:tcMar>
          </w:tcPr>
          <w:p>
            <w:r>
              <w:rPr>
                <w:sz w:val="16"/>
              </w:rPr>
              <w:t>Liquid Insulation</w:t>
            </w:r>
          </w:p>
        </w:tc>
        <w:tc>
          <w:tcPr>
            <w:tcW w:type="dxa" w:w="1892"/>
            <w:tcMar>
              <w:top w:w="25" w:type="dxa"/>
              <w:bottom w:w="25" w:type="dxa"/>
              <w:left w:w="50" w:type="dxa"/>
              <w:right w:w="50" w:type="dxa"/>
            </w:tcMar>
          </w:tcPr>
          <w:p>
            <w:r>
              <w:rPr>
                <w:sz w:val="16"/>
              </w:rPr>
              <w:t>DGA Gas Concentration Score</w:t>
            </w:r>
          </w:p>
        </w:tc>
        <w:tc>
          <w:tcPr>
            <w:tcW w:type="dxa" w:w="1892"/>
            <w:tcMar>
              <w:top w:w="25" w:type="dxa"/>
              <w:bottom w:w="25" w:type="dxa"/>
              <w:left w:w="50" w:type="dxa"/>
              <w:right w:w="50" w:type="dxa"/>
            </w:tcMar>
          </w:tcPr>
          <w:p>
            <w:r>
              <w:rPr>
                <w:sz w:val="16"/>
              </w:rPr>
              <w:t>5.94 / 6.0</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DGA Trend Factor Multiplier</w:t>
            </w:r>
          </w:p>
        </w:tc>
        <w:tc>
          <w:tcPr>
            <w:tcW w:type="dxa" w:w="1892"/>
            <w:tcMar>
              <w:top w:w="25" w:type="dxa"/>
              <w:bottom w:w="25" w:type="dxa"/>
              <w:left w:w="50" w:type="dxa"/>
              <w:right w:w="50" w:type="dxa"/>
            </w:tcMar>
          </w:tcPr>
          <w:p>
            <w:r>
              <w:rPr>
                <w:sz w:val="16"/>
              </w:rPr>
              <w:t>1.00 (Flat)</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DGA Gas Ratio Multiplier</w:t>
            </w:r>
          </w:p>
        </w:tc>
        <w:tc>
          <w:tcPr>
            <w:tcW w:type="dxa" w:w="1892"/>
            <w:tcMar>
              <w:top w:w="25" w:type="dxa"/>
              <w:bottom w:w="25" w:type="dxa"/>
              <w:left w:w="50" w:type="dxa"/>
              <w:right w:w="50" w:type="dxa"/>
            </w:tcMar>
          </w:tcPr>
          <w:p>
            <w:r>
              <w:rPr>
                <w:sz w:val="16"/>
              </w:rPr>
              <w:t>1.00 (Normal)</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Oil Quality Factor (OQF, 9 parameters)</w:t>
            </w:r>
          </w:p>
        </w:tc>
        <w:tc>
          <w:tcPr>
            <w:tcW w:type="dxa" w:w="1892"/>
            <w:tcMar>
              <w:top w:w="25" w:type="dxa"/>
              <w:bottom w:w="25" w:type="dxa"/>
              <w:left w:w="50" w:type="dxa"/>
              <w:right w:w="50" w:type="dxa"/>
            </w:tcMar>
          </w:tcPr>
          <w:p>
            <w:r>
              <w:rPr>
                <w:sz w:val="16"/>
              </w:rPr>
              <w:t>3.86 / 4.0</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t>HV Bushings</w:t>
            </w:r>
          </w:p>
        </w:tc>
        <w:tc>
          <w:tcPr>
            <w:tcW w:type="dxa" w:w="1892"/>
            <w:tcMar>
              <w:top w:w="25" w:type="dxa"/>
              <w:bottom w:w="25" w:type="dxa"/>
              <w:left w:w="50" w:type="dxa"/>
              <w:right w:w="50" w:type="dxa"/>
            </w:tcMar>
          </w:tcPr>
          <w:p>
            <w:r>
              <w:rPr>
                <w:sz w:val="16"/>
              </w:rPr>
              <w:t>50 Hz Dissipation Factor (%PF at 20°C)</w:t>
            </w:r>
          </w:p>
        </w:tc>
        <w:tc>
          <w:tcPr>
            <w:tcW w:type="dxa" w:w="1892"/>
            <w:tcMar>
              <w:top w:w="25" w:type="dxa"/>
              <w:bottom w:w="25" w:type="dxa"/>
              <w:left w:w="50" w:type="dxa"/>
              <w:right w:w="50" w:type="dxa"/>
            </w:tcMar>
          </w:tcPr>
          <w:p>
            <w:r>
              <w:rPr>
                <w:sz w:val="16"/>
              </w:rPr>
              <w:t>4 (0.276% - 0.448%)</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Capacitance Deviation (%ΔC1)</w:t>
            </w:r>
          </w:p>
        </w:tc>
        <w:tc>
          <w:tcPr>
            <w:tcW w:type="dxa" w:w="1892"/>
            <w:tcMar>
              <w:top w:w="25" w:type="dxa"/>
              <w:bottom w:w="25" w:type="dxa"/>
              <w:left w:w="50" w:type="dxa"/>
              <w:right w:w="50" w:type="dxa"/>
            </w:tcMar>
          </w:tcPr>
          <w:p>
            <w:r>
              <w:rPr>
                <w:sz w:val="16"/>
              </w:rPr>
              <w:t>4 (-0.93% to -1.52%)</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Bushing Swept Frequency (15-400 Hz)</w:t>
            </w:r>
          </w:p>
        </w:tc>
        <w:tc>
          <w:tcPr>
            <w:tcW w:type="dxa" w:w="1892"/>
            <w:tcMar>
              <w:top w:w="25" w:type="dxa"/>
              <w:bottom w:w="25" w:type="dxa"/>
              <w:left w:w="50" w:type="dxa"/>
              <w:right w:w="50" w:type="dxa"/>
            </w:tcMar>
          </w:tcPr>
          <w:p>
            <w:r>
              <w:rPr>
                <w:sz w:val="16"/>
              </w:rPr>
              <w:t>Not Available (No Data)</w:t>
            </w:r>
          </w:p>
        </w:tc>
        <w:tc>
          <w:tcPr>
            <w:tcW w:type="dxa" w:w="1892"/>
            <w:tcMar>
              <w:top w:w="25" w:type="dxa"/>
              <w:bottom w:w="25" w:type="dxa"/>
              <w:left w:w="50" w:type="dxa"/>
              <w:right w:w="50" w:type="dxa"/>
            </w:tcMar>
          </w:tcPr>
          <w:p>
            <w:r>
              <w:rPr>
                <w:sz w:val="16"/>
              </w:rPr>
              <w:t>-</w:t>
            </w:r>
          </w:p>
        </w:tc>
        <w:tc>
          <w:tcPr>
            <w:tcW w:type="dxa" w:w="1892"/>
            <w:shd w:fill="F1F5F9"/>
            <w:tcMar>
              <w:top w:w="25" w:type="dxa"/>
              <w:bottom w:w="25" w:type="dxa"/>
              <w:left w:w="50" w:type="dxa"/>
              <w:right w:w="50" w:type="dxa"/>
            </w:tcMar>
          </w:tcPr>
          <w:p>
            <w:r>
              <w:rPr>
                <w:sz w:val="16"/>
              </w:rPr>
              <w:t>Unmeasured</w:t>
            </w:r>
          </w:p>
        </w:tc>
      </w:tr>
      <w:tr>
        <w:tc>
          <w:tcPr>
            <w:tcW w:type="dxa" w:w="1892"/>
            <w:tcMar>
              <w:top w:w="25" w:type="dxa"/>
              <w:bottom w:w="25" w:type="dxa"/>
              <w:left w:w="50" w:type="dxa"/>
              <w:right w:w="50" w:type="dxa"/>
            </w:tcMar>
          </w:tcPr>
          <w:p>
            <w:r>
              <w:rPr>
                <w:sz w:val="16"/>
              </w:rPr>
              <w:t>On-Load Tap Changer</w:t>
            </w:r>
          </w:p>
        </w:tc>
        <w:tc>
          <w:tcPr>
            <w:tcW w:type="dxa" w:w="1892"/>
            <w:tcMar>
              <w:top w:w="25" w:type="dxa"/>
              <w:bottom w:w="25" w:type="dxa"/>
              <w:left w:w="50" w:type="dxa"/>
              <w:right w:w="50" w:type="dxa"/>
            </w:tcMar>
          </w:tcPr>
          <w:p>
            <w:r>
              <w:rPr>
                <w:sz w:val="16"/>
              </w:rPr>
              <w:t>OLTC Diverter Oil BDV &amp; Moisture</w:t>
            </w:r>
          </w:p>
        </w:tc>
        <w:tc>
          <w:tcPr>
            <w:tcW w:type="dxa" w:w="1892"/>
            <w:tcMar>
              <w:top w:w="25" w:type="dxa"/>
              <w:bottom w:w="25" w:type="dxa"/>
              <w:left w:w="50" w:type="dxa"/>
              <w:right w:w="50" w:type="dxa"/>
            </w:tcMar>
          </w:tcPr>
          <w:p>
            <w:r>
              <w:rPr>
                <w:sz w:val="16"/>
              </w:rPr>
              <w:t>4 (65.5 kV, 5.9 ppm)</w:t>
            </w:r>
          </w:p>
        </w:tc>
        <w:tc>
          <w:tcPr>
            <w:tcW w:type="dxa" w:w="1892"/>
            <w:tcMar>
              <w:top w:w="25" w:type="dxa"/>
              <w:bottom w:w="25" w:type="dxa"/>
              <w:left w:w="50" w:type="dxa"/>
              <w:right w:w="50" w:type="dxa"/>
            </w:tcMar>
          </w:tcPr>
          <w:p>
            <w:r>
              <w:rPr>
                <w:sz w:val="16"/>
              </w:rPr>
              <w:t>75.0%</w:t>
            </w:r>
          </w:p>
        </w:tc>
        <w:tc>
          <w:tcPr>
            <w:tcW w:type="dxa" w:w="1892"/>
            <w:shd w:fill="FEF9C3"/>
            <w:tcMar>
              <w:top w:w="25" w:type="dxa"/>
              <w:bottom w:w="25" w:type="dxa"/>
              <w:left w:w="50" w:type="dxa"/>
              <w:right w:w="50" w:type="dxa"/>
            </w:tcMar>
          </w:tcPr>
          <w:p>
            <w:r>
              <w:rPr>
                <w:sz w:val="16"/>
              </w:rPr>
              <w:t>B (Acceptable)</w:t>
            </w:r>
          </w:p>
        </w:tc>
      </w:tr>
    </w:tbl>
    <w:p>
      <w:pPr>
        <w:spacing w:before="160"/>
        <w:jc w:val="center"/>
      </w:pPr>
      <w:r>
        <w:drawing>
          <wp:inline xmlns:a="http://schemas.openxmlformats.org/drawingml/2006/main" xmlns:pic="http://schemas.openxmlformats.org/drawingml/2006/picture">
            <wp:extent cx="5120640" cy="2321357"/>
            <wp:docPr id="3" name="Picture 3"/>
            <wp:cNvGraphicFramePr>
              <a:graphicFrameLocks noChangeAspect="1"/>
            </wp:cNvGraphicFramePr>
            <a:graphic>
              <a:graphicData uri="http://schemas.openxmlformats.org/drawingml/2006/picture">
                <pic:pic>
                  <pic:nvPicPr>
                    <pic:cNvPr id="0" name="fig_5_1_hi_summary.png"/>
                    <pic:cNvPicPr/>
                  </pic:nvPicPr>
                  <pic:blipFill>
                    <a:blip r:embed="rId13"/>
                    <a:stretch>
                      <a:fillRect/>
                    </a:stretch>
                  </pic:blipFill>
                  <pic:spPr>
                    <a:xfrm>
                      <a:off x="0" y="0"/>
                      <a:ext cx="5120640" cy="2321357"/>
                    </a:xfrm>
                    <a:prstGeom prst="rect"/>
                  </pic:spPr>
                </pic:pic>
              </a:graphicData>
            </a:graphic>
          </wp:inline>
        </w:drawing>
      </w:r>
    </w:p>
    <w:p>
      <w:pPr>
        <w:jc w:val="center"/>
      </w:pPr>
      <w:r>
        <w:rPr>
          <w:i/>
          <w:sz w:val="17"/>
        </w:rPr>
        <w:t>Figure 5-1: Overall Health Index Breakdown for 34101-TR-001 (Overall HI = 85.0%, Category: Good)</w:t>
      </w:r>
    </w:p>
    <w:p>
      <w:pPr>
        <w:keepNext/>
        <w:spacing w:before="200" w:after="60"/>
      </w:pPr>
      <w:r>
        <w:rPr>
          <w:rFonts w:ascii="Arial" w:hAnsi="Arial"/>
          <w:b/>
          <w:color w:val="2563EB"/>
          <w:sz w:val="22"/>
        </w:rPr>
        <w:t>5.2 THE ASSESSMENT OF EACH COMPONENT</w:t>
      </w:r>
    </w:p>
    <w:p>
      <w:pPr>
        <w:keepNext/>
        <w:spacing w:before="120" w:after="40"/>
      </w:pPr>
      <w:r>
        <w:rPr>
          <w:rFonts w:ascii="Arial" w:hAnsi="Arial"/>
          <w:b/>
          <w:color w:val="0F172A"/>
          <w:sz w:val="20"/>
        </w:rPr>
        <w:t>5.2.1 Active Part Diagnostic Assessment</w:t>
      </w:r>
    </w:p>
    <w:p>
      <w:pPr>
        <w:spacing w:before="0" w:after="80" w:line="276" w:lineRule="auto"/>
      </w:pPr>
      <w:r>
        <w:rPr>
          <w:rFonts w:ascii="Calibri" w:hAnsi="Calibri"/>
          <w:i w:val="0"/>
          <w:color w:val="1E293B"/>
          <w:sz w:val="20"/>
        </w:rPr>
        <w:t>The Active Part evaluation incorporates actual field diagnostic records from TESTRANO 600, Megger S1-1068, and DIRANA instruments:</w:t>
        <w:br/>
        <w:t xml:space="preserve"> • Solid Insulation Degree of Polymerization (DP): Physical paper sampling requires untanking and cutting winding conductor insulation, which is impossible during non-invasive routine maintenance. DP was determined via HPLC liquid furan chromatography of 2-Furaldehyde (2-FAL = 5 ppb = 0.005 ppm) using the Dominelli formulation:</w:t>
        <w:br/>
        <w:t xml:space="preserve">       DP = (1.51 - Log10(2-FAL_ppm)) / 0.0035 = (1.51 - Log10(0.005)) / 0.0035 = 1,089</w:t>
        <w:br/>
        <w:t xml:space="preserve">   This verifies an unaged, robust cellulose structure (DP &gt; 700 = Score 4 / Good).</w:t>
        <w:br/>
        <w:t xml:space="preserve"> • Cellulose Moisture Content: Measured directly on 2026-05-31 via Dielectric Frequency Response (DFR) using OMICRON DIRANA. Moisture in paper is 0.50% wt (dry condition, well below 1.0% threshold).</w:t>
        <w:br/>
        <w:t xml:space="preserve"> • Insulation Resistance &amp; Polarization Index (2026-05-31): Primary winding to ground (5 kV DC): R1min = 16,570 MΩ, R10min = 24,700 MΩ (PI = 1.49). Secondary winding to ground (2.5 kV DC): R1min = 10,160 MΩ, R10min = 20,800 MΩ (PI = 2.05). Core-to-ground insulation tests at &gt;1,000 MΩ at 1,000 V DC.</w:t>
        <w:br/>
        <w:t xml:space="preserve"> • Winding Power Factor (%PF at 20°C): Measured on 2026-05-26 at 10 kV. Inter-winding CHL is 0.141% (5,529.6 pF), primary CH is 0.170% (3,409.3 pF), and secondary CL is 0.208% (9,436.3 pF). All are well below the IEEE Std C57.152 limit of 0.50%.</w:t>
        <w:br/>
        <w:t xml:space="preserve"> • Voltage Ratio &amp; Excitation Current: Tested on routine test taps (Tap 1 Max, Tap 6 Center, Tap 11 Min). Ratio errors are 0.24% (Tap 1), 0.01%–0.02% (Tap 6), and 0.01%–0.02% (Tap 11), all within ±0.50%. Excitation current at 10 kV displays the classic High-Low-High pattern (17.13 mA – 5.33 mA – 17.34 mA) with outer phase symmetry within 1.21%.</w:t>
        <w:br/>
        <w:t xml:space="preserve"> • Short-Circuit Impedance (%Z): Measured on 2026-05-26. Three-phase impedance at center tap is 12.1407% compared to nameplate 12.15% (Deviation: -0.076%, IEEE limit ±3.0%), confirming zero mechanical winding displacement.</w:t>
      </w:r>
    </w:p>
    <w:p>
      <w:pPr>
        <w:keepNext/>
        <w:spacing w:before="120" w:after="40"/>
      </w:pPr>
      <w:r>
        <w:rPr>
          <w:rFonts w:ascii="Arial" w:hAnsi="Arial"/>
          <w:b/>
          <w:color w:val="0F172A"/>
          <w:sz w:val="20"/>
        </w:rPr>
        <w:t>5.2.2 Dissolved Gas Analysis (DGA)</w:t>
      </w:r>
    </w:p>
    <w:p>
      <w:pPr>
        <w:spacing w:before="0" w:after="80" w:line="276" w:lineRule="auto"/>
      </w:pPr>
      <w:r>
        <w:rPr>
          <w:rFonts w:ascii="Calibri" w:hAnsi="Calibri"/>
          <w:i w:val="0"/>
          <w:color w:val="1E293B"/>
          <w:sz w:val="20"/>
        </w:rPr>
        <w:t>DGA trending was evaluated across 11 actual oil samples from 2021 to 2025. Combustible hydrocarbon gases (CH4 = 12 ppm, C2H6 = 2 ppm, C2H4 = 3 ppm, C2H2 = 0.0 ppm) remain well below IEEE Std C57.104-2019 Status 1 limits. Total Dissolved Combustible Gas (TDCG) is 1,074 ppm, driven by carbon monoxide (CO = 1,047 ppm). Trend Factor TF = 1.00 (gas increase &lt; 30%/year) and Gas Ratio Factor = 1.00 (no thermal arcing). Final DGA score is DGAF' = 5.94 (Good / Level 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860"/>
        <w:gridCol w:w="860"/>
        <w:gridCol w:w="860"/>
        <w:gridCol w:w="860"/>
        <w:gridCol w:w="860"/>
        <w:gridCol w:w="860"/>
        <w:gridCol w:w="860"/>
        <w:gridCol w:w="860"/>
        <w:gridCol w:w="860"/>
        <w:gridCol w:w="860"/>
        <w:gridCol w:w="860"/>
      </w:tblGrid>
      <w:tr>
        <w:tc>
          <w:tcPr>
            <w:tcW w:type="dxa" w:w="860"/>
            <w:shd w:fill="1B365D"/>
          </w:tcPr>
          <w:p>
            <w:r>
              <w:rPr>
                <w:b/>
                <w:color w:val="FFFFFF"/>
                <w:sz w:val="15"/>
              </w:rPr>
              <w:t>Sample Date</w:t>
            </w:r>
          </w:p>
        </w:tc>
        <w:tc>
          <w:tcPr>
            <w:tcW w:type="dxa" w:w="860"/>
            <w:shd w:fill="1B365D"/>
          </w:tcPr>
          <w:p>
            <w:r>
              <w:rPr>
                <w:b/>
                <w:color w:val="FFFFFF"/>
                <w:sz w:val="15"/>
              </w:rPr>
              <w:t>H2</w:t>
            </w:r>
          </w:p>
        </w:tc>
        <w:tc>
          <w:tcPr>
            <w:tcW w:type="dxa" w:w="860"/>
            <w:shd w:fill="1B365D"/>
          </w:tcPr>
          <w:p>
            <w:r>
              <w:rPr>
                <w:b/>
                <w:color w:val="FFFFFF"/>
                <w:sz w:val="15"/>
              </w:rPr>
              <w:t>CH4</w:t>
            </w:r>
          </w:p>
        </w:tc>
        <w:tc>
          <w:tcPr>
            <w:tcW w:type="dxa" w:w="860"/>
            <w:shd w:fill="1B365D"/>
          </w:tcPr>
          <w:p>
            <w:r>
              <w:rPr>
                <w:b/>
                <w:color w:val="FFFFFF"/>
                <w:sz w:val="15"/>
              </w:rPr>
              <w:t>C2H6</w:t>
            </w:r>
          </w:p>
        </w:tc>
        <w:tc>
          <w:tcPr>
            <w:tcW w:type="dxa" w:w="860"/>
            <w:shd w:fill="1B365D"/>
          </w:tcPr>
          <w:p>
            <w:r>
              <w:rPr>
                <w:b/>
                <w:color w:val="FFFFFF"/>
                <w:sz w:val="15"/>
              </w:rPr>
              <w:t>C2H4</w:t>
            </w:r>
          </w:p>
        </w:tc>
        <w:tc>
          <w:tcPr>
            <w:tcW w:type="dxa" w:w="860"/>
            <w:shd w:fill="1B365D"/>
          </w:tcPr>
          <w:p>
            <w:r>
              <w:rPr>
                <w:b/>
                <w:color w:val="FFFFFF"/>
                <w:sz w:val="15"/>
              </w:rPr>
              <w:t>C2H2</w:t>
            </w:r>
          </w:p>
        </w:tc>
        <w:tc>
          <w:tcPr>
            <w:tcW w:type="dxa" w:w="860"/>
            <w:shd w:fill="1B365D"/>
          </w:tcPr>
          <w:p>
            <w:r>
              <w:rPr>
                <w:b/>
                <w:color w:val="FFFFFF"/>
                <w:sz w:val="15"/>
              </w:rPr>
              <w:t>CO</w:t>
            </w:r>
          </w:p>
        </w:tc>
        <w:tc>
          <w:tcPr>
            <w:tcW w:type="dxa" w:w="860"/>
            <w:shd w:fill="1B365D"/>
          </w:tcPr>
          <w:p>
            <w:r>
              <w:rPr>
                <w:b/>
                <w:color w:val="FFFFFF"/>
                <w:sz w:val="15"/>
              </w:rPr>
              <w:t>CO2</w:t>
            </w:r>
          </w:p>
        </w:tc>
        <w:tc>
          <w:tcPr>
            <w:tcW w:type="dxa" w:w="860"/>
            <w:shd w:fill="1B365D"/>
          </w:tcPr>
          <w:p>
            <w:r>
              <w:rPr>
                <w:b/>
                <w:color w:val="FFFFFF"/>
                <w:sz w:val="15"/>
              </w:rPr>
              <w:t>O2</w:t>
            </w:r>
          </w:p>
        </w:tc>
        <w:tc>
          <w:tcPr>
            <w:tcW w:type="dxa" w:w="860"/>
            <w:shd w:fill="1B365D"/>
          </w:tcPr>
          <w:p>
            <w:r>
              <w:rPr>
                <w:b/>
                <w:color w:val="FFFFFF"/>
                <w:sz w:val="15"/>
              </w:rPr>
              <w:t>N2</w:t>
            </w:r>
          </w:p>
        </w:tc>
        <w:tc>
          <w:tcPr>
            <w:tcW w:type="dxa" w:w="860"/>
            <w:shd w:fill="1B365D"/>
          </w:tcPr>
          <w:p>
            <w:r>
              <w:rPr>
                <w:b/>
                <w:color w:val="FFFFFF"/>
                <w:sz w:val="15"/>
              </w:rPr>
              <w:t>TDCG</w:t>
            </w:r>
          </w:p>
        </w:tc>
      </w:tr>
      <w:tr>
        <w:tc>
          <w:tcPr>
            <w:tcW w:type="dxa" w:w="860"/>
            <w:tcMar>
              <w:top w:w="15" w:type="dxa"/>
              <w:bottom w:w="15" w:type="dxa"/>
              <w:left w:w="30" w:type="dxa"/>
              <w:right w:w="30" w:type="dxa"/>
            </w:tcMar>
          </w:tcPr>
          <w:p>
            <w:r>
              <w:rPr>
                <w:sz w:val="15"/>
              </w:rPr>
              <w:t>2021-03-05</w:t>
            </w:r>
          </w:p>
        </w:tc>
        <w:tc>
          <w:tcPr>
            <w:tcW w:type="dxa" w:w="860"/>
            <w:tcMar>
              <w:top w:w="15" w:type="dxa"/>
              <w:bottom w:w="15" w:type="dxa"/>
              <w:left w:w="30" w:type="dxa"/>
              <w:right w:w="30" w:type="dxa"/>
            </w:tcMar>
          </w:tcPr>
          <w:p>
            <w:r>
              <w:rPr>
                <w:sz w:val="15"/>
              </w:rPr>
              <w:t>25</w:t>
            </w:r>
          </w:p>
        </w:tc>
        <w:tc>
          <w:tcPr>
            <w:tcW w:type="dxa" w:w="860"/>
            <w:tcMar>
              <w:top w:w="15" w:type="dxa"/>
              <w:bottom w:w="15" w:type="dxa"/>
              <w:left w:w="30" w:type="dxa"/>
              <w:right w:w="30" w:type="dxa"/>
            </w:tcMar>
          </w:tcPr>
          <w:p>
            <w:r>
              <w:rPr>
                <w:sz w:val="15"/>
              </w:rPr>
              <w:t>8</w:t>
            </w:r>
          </w:p>
        </w:tc>
        <w:tc>
          <w:tcPr>
            <w:tcW w:type="dxa" w:w="860"/>
            <w:tcMar>
              <w:top w:w="15" w:type="dxa"/>
              <w:bottom w:w="15" w:type="dxa"/>
              <w:left w:w="30" w:type="dxa"/>
              <w:right w:w="30" w:type="dxa"/>
            </w:tcMar>
          </w:tcPr>
          <w:p>
            <w:r>
              <w:rPr>
                <w:sz w:val="15"/>
              </w:rPr>
              <w:t>0</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307</w:t>
            </w:r>
          </w:p>
        </w:tc>
        <w:tc>
          <w:tcPr>
            <w:tcW w:type="dxa" w:w="860"/>
            <w:tcMar>
              <w:top w:w="15" w:type="dxa"/>
              <w:bottom w:w="15" w:type="dxa"/>
              <w:left w:w="30" w:type="dxa"/>
              <w:right w:w="30" w:type="dxa"/>
            </w:tcMar>
          </w:tcPr>
          <w:p>
            <w:r>
              <w:rPr>
                <w:sz w:val="15"/>
              </w:rPr>
              <w:t>1,986</w:t>
            </w:r>
          </w:p>
        </w:tc>
        <w:tc>
          <w:tcPr>
            <w:tcW w:type="dxa" w:w="860"/>
            <w:tcMar>
              <w:top w:w="15" w:type="dxa"/>
              <w:bottom w:w="15" w:type="dxa"/>
              <w:left w:w="30" w:type="dxa"/>
              <w:right w:w="30" w:type="dxa"/>
            </w:tcMar>
          </w:tcPr>
          <w:p>
            <w:r>
              <w:rPr>
                <w:sz w:val="15"/>
              </w:rPr>
              <w:t>3,992</w:t>
            </w:r>
          </w:p>
        </w:tc>
        <w:tc>
          <w:tcPr>
            <w:tcW w:type="dxa" w:w="860"/>
            <w:tcMar>
              <w:top w:w="15" w:type="dxa"/>
              <w:bottom w:w="15" w:type="dxa"/>
              <w:left w:w="30" w:type="dxa"/>
              <w:right w:w="30" w:type="dxa"/>
            </w:tcMar>
          </w:tcPr>
          <w:p>
            <w:r>
              <w:rPr>
                <w:sz w:val="15"/>
              </w:rPr>
              <w:t>15,924</w:t>
            </w:r>
          </w:p>
        </w:tc>
        <w:tc>
          <w:tcPr>
            <w:tcW w:type="dxa" w:w="860"/>
            <w:tcMar>
              <w:top w:w="15" w:type="dxa"/>
              <w:bottom w:w="15" w:type="dxa"/>
              <w:left w:w="30" w:type="dxa"/>
              <w:right w:w="30" w:type="dxa"/>
            </w:tcMar>
          </w:tcPr>
          <w:p>
            <w:r>
              <w:rPr>
                <w:sz w:val="15"/>
              </w:rPr>
              <w:t>342</w:t>
            </w:r>
          </w:p>
        </w:tc>
      </w:tr>
      <w:tr>
        <w:tc>
          <w:tcPr>
            <w:tcW w:type="dxa" w:w="860"/>
            <w:tcMar>
              <w:top w:w="15" w:type="dxa"/>
              <w:bottom w:w="15" w:type="dxa"/>
              <w:left w:w="30" w:type="dxa"/>
              <w:right w:w="30" w:type="dxa"/>
            </w:tcMar>
          </w:tcPr>
          <w:p>
            <w:r>
              <w:rPr>
                <w:sz w:val="15"/>
              </w:rPr>
              <w:t>2021-05-19</w:t>
            </w:r>
          </w:p>
        </w:tc>
        <w:tc>
          <w:tcPr>
            <w:tcW w:type="dxa" w:w="860"/>
            <w:tcMar>
              <w:top w:w="15" w:type="dxa"/>
              <w:bottom w:w="15" w:type="dxa"/>
              <w:left w:w="30" w:type="dxa"/>
              <w:right w:w="30" w:type="dxa"/>
            </w:tcMar>
          </w:tcPr>
          <w:p>
            <w:r>
              <w:rPr>
                <w:sz w:val="15"/>
              </w:rPr>
              <w:t>12</w:t>
            </w:r>
          </w:p>
        </w:tc>
        <w:tc>
          <w:tcPr>
            <w:tcW w:type="dxa" w:w="860"/>
            <w:tcMar>
              <w:top w:w="15" w:type="dxa"/>
              <w:bottom w:w="15" w:type="dxa"/>
              <w:left w:w="30" w:type="dxa"/>
              <w:right w:w="30" w:type="dxa"/>
            </w:tcMar>
          </w:tcPr>
          <w:p>
            <w:r>
              <w:rPr>
                <w:sz w:val="15"/>
              </w:rPr>
              <w:t>3</w:t>
            </w:r>
          </w:p>
        </w:tc>
        <w:tc>
          <w:tcPr>
            <w:tcW w:type="dxa" w:w="860"/>
            <w:tcMar>
              <w:top w:w="15" w:type="dxa"/>
              <w:bottom w:w="15" w:type="dxa"/>
              <w:left w:w="30" w:type="dxa"/>
              <w:right w:w="30" w:type="dxa"/>
            </w:tcMar>
          </w:tcPr>
          <w:p>
            <w:r>
              <w:rPr>
                <w:sz w:val="15"/>
              </w:rPr>
              <w:t>0</w:t>
            </w:r>
          </w:p>
        </w:tc>
        <w:tc>
          <w:tcPr>
            <w:tcW w:type="dxa" w:w="860"/>
            <w:tcMar>
              <w:top w:w="15" w:type="dxa"/>
              <w:bottom w:w="15" w:type="dxa"/>
              <w:left w:w="30" w:type="dxa"/>
              <w:right w:w="30" w:type="dxa"/>
            </w:tcMar>
          </w:tcPr>
          <w:p>
            <w:r>
              <w:rPr>
                <w:sz w:val="15"/>
              </w:rPr>
              <w:t>1</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285</w:t>
            </w:r>
          </w:p>
        </w:tc>
        <w:tc>
          <w:tcPr>
            <w:tcW w:type="dxa" w:w="860"/>
            <w:tcMar>
              <w:top w:w="15" w:type="dxa"/>
              <w:bottom w:w="15" w:type="dxa"/>
              <w:left w:w="30" w:type="dxa"/>
              <w:right w:w="30" w:type="dxa"/>
            </w:tcMar>
          </w:tcPr>
          <w:p>
            <w:r>
              <w:rPr>
                <w:sz w:val="15"/>
              </w:rPr>
              <w:t>1,948</w:t>
            </w:r>
          </w:p>
        </w:tc>
        <w:tc>
          <w:tcPr>
            <w:tcW w:type="dxa" w:w="860"/>
            <w:tcMar>
              <w:top w:w="15" w:type="dxa"/>
              <w:bottom w:w="15" w:type="dxa"/>
              <w:left w:w="30" w:type="dxa"/>
              <w:right w:w="30" w:type="dxa"/>
            </w:tcMar>
          </w:tcPr>
          <w:p>
            <w:r>
              <w:rPr>
                <w:sz w:val="15"/>
              </w:rPr>
              <w:t>1,451</w:t>
            </w:r>
          </w:p>
        </w:tc>
        <w:tc>
          <w:tcPr>
            <w:tcW w:type="dxa" w:w="860"/>
            <w:tcMar>
              <w:top w:w="15" w:type="dxa"/>
              <w:bottom w:w="15" w:type="dxa"/>
              <w:left w:w="30" w:type="dxa"/>
              <w:right w:w="30" w:type="dxa"/>
            </w:tcMar>
          </w:tcPr>
          <w:p>
            <w:r>
              <w:rPr>
                <w:sz w:val="15"/>
              </w:rPr>
              <w:t>8,378</w:t>
            </w:r>
          </w:p>
        </w:tc>
        <w:tc>
          <w:tcPr>
            <w:tcW w:type="dxa" w:w="860"/>
            <w:tcMar>
              <w:top w:w="15" w:type="dxa"/>
              <w:bottom w:w="15" w:type="dxa"/>
              <w:left w:w="30" w:type="dxa"/>
              <w:right w:w="30" w:type="dxa"/>
            </w:tcMar>
          </w:tcPr>
          <w:p>
            <w:r>
              <w:rPr>
                <w:sz w:val="15"/>
              </w:rPr>
              <w:t>301</w:t>
            </w:r>
          </w:p>
        </w:tc>
      </w:tr>
      <w:tr>
        <w:tc>
          <w:tcPr>
            <w:tcW w:type="dxa" w:w="860"/>
            <w:tcMar>
              <w:top w:w="15" w:type="dxa"/>
              <w:bottom w:w="15" w:type="dxa"/>
              <w:left w:w="30" w:type="dxa"/>
              <w:right w:w="30" w:type="dxa"/>
            </w:tcMar>
          </w:tcPr>
          <w:p>
            <w:r>
              <w:rPr>
                <w:sz w:val="15"/>
              </w:rPr>
              <w:t>2021-08-30</w:t>
            </w:r>
          </w:p>
        </w:tc>
        <w:tc>
          <w:tcPr>
            <w:tcW w:type="dxa" w:w="860"/>
            <w:tcMar>
              <w:top w:w="15" w:type="dxa"/>
              <w:bottom w:w="15" w:type="dxa"/>
              <w:left w:w="30" w:type="dxa"/>
              <w:right w:w="30" w:type="dxa"/>
            </w:tcMar>
          </w:tcPr>
          <w:p>
            <w:r>
              <w:rPr>
                <w:sz w:val="15"/>
              </w:rPr>
              <w:t>11</w:t>
            </w:r>
          </w:p>
        </w:tc>
        <w:tc>
          <w:tcPr>
            <w:tcW w:type="dxa" w:w="860"/>
            <w:tcMar>
              <w:top w:w="15" w:type="dxa"/>
              <w:bottom w:w="15" w:type="dxa"/>
              <w:left w:w="30" w:type="dxa"/>
              <w:right w:w="30" w:type="dxa"/>
            </w:tcMar>
          </w:tcPr>
          <w:p>
            <w:r>
              <w:rPr>
                <w:sz w:val="15"/>
              </w:rPr>
              <w:t>5</w:t>
            </w:r>
          </w:p>
        </w:tc>
        <w:tc>
          <w:tcPr>
            <w:tcW w:type="dxa" w:w="860"/>
            <w:tcMar>
              <w:top w:w="15" w:type="dxa"/>
              <w:bottom w:w="15" w:type="dxa"/>
              <w:left w:w="30" w:type="dxa"/>
              <w:right w:w="30" w:type="dxa"/>
            </w:tcMar>
          </w:tcPr>
          <w:p>
            <w:r>
              <w:rPr>
                <w:sz w:val="15"/>
              </w:rPr>
              <w:t>1</w:t>
            </w:r>
          </w:p>
        </w:tc>
        <w:tc>
          <w:tcPr>
            <w:tcW w:type="dxa" w:w="860"/>
            <w:tcMar>
              <w:top w:w="15" w:type="dxa"/>
              <w:bottom w:w="15" w:type="dxa"/>
              <w:left w:w="30" w:type="dxa"/>
              <w:right w:w="30" w:type="dxa"/>
            </w:tcMar>
          </w:tcPr>
          <w:p>
            <w:r>
              <w:rPr>
                <w:sz w:val="15"/>
              </w:rPr>
              <w:t>1</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243</w:t>
            </w:r>
          </w:p>
        </w:tc>
        <w:tc>
          <w:tcPr>
            <w:tcW w:type="dxa" w:w="860"/>
            <w:tcMar>
              <w:top w:w="15" w:type="dxa"/>
              <w:bottom w:w="15" w:type="dxa"/>
              <w:left w:w="30" w:type="dxa"/>
              <w:right w:w="30" w:type="dxa"/>
            </w:tcMar>
          </w:tcPr>
          <w:p>
            <w:r>
              <w:rPr>
                <w:sz w:val="15"/>
              </w:rPr>
              <w:t>1,603</w:t>
            </w:r>
          </w:p>
        </w:tc>
        <w:tc>
          <w:tcPr>
            <w:tcW w:type="dxa" w:w="860"/>
            <w:tcMar>
              <w:top w:w="15" w:type="dxa"/>
              <w:bottom w:w="15" w:type="dxa"/>
              <w:left w:w="30" w:type="dxa"/>
              <w:right w:w="30" w:type="dxa"/>
            </w:tcMar>
          </w:tcPr>
          <w:p>
            <w:r>
              <w:rPr>
                <w:sz w:val="15"/>
              </w:rPr>
              <w:t>10,738</w:t>
            </w:r>
          </w:p>
        </w:tc>
        <w:tc>
          <w:tcPr>
            <w:tcW w:type="dxa" w:w="860"/>
            <w:tcMar>
              <w:top w:w="15" w:type="dxa"/>
              <w:bottom w:w="15" w:type="dxa"/>
              <w:left w:w="30" w:type="dxa"/>
              <w:right w:w="30" w:type="dxa"/>
            </w:tcMar>
          </w:tcPr>
          <w:p>
            <w:r>
              <w:rPr>
                <w:sz w:val="15"/>
              </w:rPr>
              <w:t>40,034</w:t>
            </w:r>
          </w:p>
        </w:tc>
        <w:tc>
          <w:tcPr>
            <w:tcW w:type="dxa" w:w="860"/>
            <w:tcMar>
              <w:top w:w="15" w:type="dxa"/>
              <w:bottom w:w="15" w:type="dxa"/>
              <w:left w:w="30" w:type="dxa"/>
              <w:right w:w="30" w:type="dxa"/>
            </w:tcMar>
          </w:tcPr>
          <w:p>
            <w:r>
              <w:rPr>
                <w:sz w:val="15"/>
              </w:rPr>
              <w:t>261</w:t>
            </w:r>
          </w:p>
        </w:tc>
      </w:tr>
      <w:tr>
        <w:tc>
          <w:tcPr>
            <w:tcW w:type="dxa" w:w="860"/>
            <w:tcMar>
              <w:top w:w="15" w:type="dxa"/>
              <w:bottom w:w="15" w:type="dxa"/>
              <w:left w:w="30" w:type="dxa"/>
              <w:right w:w="30" w:type="dxa"/>
            </w:tcMar>
          </w:tcPr>
          <w:p>
            <w:r>
              <w:rPr>
                <w:sz w:val="15"/>
              </w:rPr>
              <w:t>2021-12-15</w:t>
            </w:r>
          </w:p>
        </w:tc>
        <w:tc>
          <w:tcPr>
            <w:tcW w:type="dxa" w:w="860"/>
            <w:tcMar>
              <w:top w:w="15" w:type="dxa"/>
              <w:bottom w:w="15" w:type="dxa"/>
              <w:left w:w="30" w:type="dxa"/>
              <w:right w:w="30" w:type="dxa"/>
            </w:tcMar>
          </w:tcPr>
          <w:p>
            <w:r>
              <w:rPr>
                <w:sz w:val="15"/>
              </w:rPr>
              <w:t>14</w:t>
            </w:r>
          </w:p>
        </w:tc>
        <w:tc>
          <w:tcPr>
            <w:tcW w:type="dxa" w:w="860"/>
            <w:tcMar>
              <w:top w:w="15" w:type="dxa"/>
              <w:bottom w:w="15" w:type="dxa"/>
              <w:left w:w="30" w:type="dxa"/>
              <w:right w:w="30" w:type="dxa"/>
            </w:tcMar>
          </w:tcPr>
          <w:p>
            <w:r>
              <w:rPr>
                <w:sz w:val="15"/>
              </w:rPr>
              <w:t>5</w:t>
            </w:r>
          </w:p>
        </w:tc>
        <w:tc>
          <w:tcPr>
            <w:tcW w:type="dxa" w:w="860"/>
            <w:tcMar>
              <w:top w:w="15" w:type="dxa"/>
              <w:bottom w:w="15" w:type="dxa"/>
              <w:left w:w="30" w:type="dxa"/>
              <w:right w:w="30" w:type="dxa"/>
            </w:tcMar>
          </w:tcPr>
          <w:p>
            <w:r>
              <w:rPr>
                <w:sz w:val="15"/>
              </w:rPr>
              <w:t>1</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251</w:t>
            </w:r>
          </w:p>
        </w:tc>
        <w:tc>
          <w:tcPr>
            <w:tcW w:type="dxa" w:w="860"/>
            <w:tcMar>
              <w:top w:w="15" w:type="dxa"/>
              <w:bottom w:w="15" w:type="dxa"/>
              <w:left w:w="30" w:type="dxa"/>
              <w:right w:w="30" w:type="dxa"/>
            </w:tcMar>
          </w:tcPr>
          <w:p>
            <w:r>
              <w:rPr>
                <w:sz w:val="15"/>
              </w:rPr>
              <w:t>1,615</w:t>
            </w:r>
          </w:p>
        </w:tc>
        <w:tc>
          <w:tcPr>
            <w:tcW w:type="dxa" w:w="860"/>
            <w:tcMar>
              <w:top w:w="15" w:type="dxa"/>
              <w:bottom w:w="15" w:type="dxa"/>
              <w:left w:w="30" w:type="dxa"/>
              <w:right w:w="30" w:type="dxa"/>
            </w:tcMar>
          </w:tcPr>
          <w:p>
            <w:r>
              <w:rPr>
                <w:sz w:val="15"/>
              </w:rPr>
              <w:t>8,373</w:t>
            </w:r>
          </w:p>
        </w:tc>
        <w:tc>
          <w:tcPr>
            <w:tcW w:type="dxa" w:w="860"/>
            <w:tcMar>
              <w:top w:w="15" w:type="dxa"/>
              <w:bottom w:w="15" w:type="dxa"/>
              <w:left w:w="30" w:type="dxa"/>
              <w:right w:w="30" w:type="dxa"/>
            </w:tcMar>
          </w:tcPr>
          <w:p>
            <w:r>
              <w:rPr>
                <w:sz w:val="15"/>
              </w:rPr>
              <w:t>30,954</w:t>
            </w:r>
          </w:p>
        </w:tc>
        <w:tc>
          <w:tcPr>
            <w:tcW w:type="dxa" w:w="860"/>
            <w:tcMar>
              <w:top w:w="15" w:type="dxa"/>
              <w:bottom w:w="15" w:type="dxa"/>
              <w:left w:w="30" w:type="dxa"/>
              <w:right w:w="30" w:type="dxa"/>
            </w:tcMar>
          </w:tcPr>
          <w:p>
            <w:r>
              <w:rPr>
                <w:sz w:val="15"/>
              </w:rPr>
              <w:t>273</w:t>
            </w:r>
          </w:p>
        </w:tc>
      </w:tr>
      <w:tr>
        <w:tc>
          <w:tcPr>
            <w:tcW w:type="dxa" w:w="860"/>
            <w:tcMar>
              <w:top w:w="15" w:type="dxa"/>
              <w:bottom w:w="15" w:type="dxa"/>
              <w:left w:w="30" w:type="dxa"/>
              <w:right w:w="30" w:type="dxa"/>
            </w:tcMar>
          </w:tcPr>
          <w:p>
            <w:r>
              <w:rPr>
                <w:sz w:val="15"/>
              </w:rPr>
              <w:t>2022-04-27</w:t>
            </w:r>
          </w:p>
        </w:tc>
        <w:tc>
          <w:tcPr>
            <w:tcW w:type="dxa" w:w="860"/>
            <w:tcMar>
              <w:top w:w="15" w:type="dxa"/>
              <w:bottom w:w="15" w:type="dxa"/>
              <w:left w:w="30" w:type="dxa"/>
              <w:right w:w="30" w:type="dxa"/>
            </w:tcMar>
          </w:tcPr>
          <w:p>
            <w:r>
              <w:rPr>
                <w:sz w:val="15"/>
              </w:rPr>
              <w:t>13</w:t>
            </w:r>
          </w:p>
        </w:tc>
        <w:tc>
          <w:tcPr>
            <w:tcW w:type="dxa" w:w="860"/>
            <w:tcMar>
              <w:top w:w="15" w:type="dxa"/>
              <w:bottom w:w="15" w:type="dxa"/>
              <w:left w:w="30" w:type="dxa"/>
              <w:right w:w="30" w:type="dxa"/>
            </w:tcMar>
          </w:tcPr>
          <w:p>
            <w:r>
              <w:rPr>
                <w:sz w:val="15"/>
              </w:rPr>
              <w:t>11</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4</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646</w:t>
            </w:r>
          </w:p>
        </w:tc>
        <w:tc>
          <w:tcPr>
            <w:tcW w:type="dxa" w:w="860"/>
            <w:tcMar>
              <w:top w:w="15" w:type="dxa"/>
              <w:bottom w:w="15" w:type="dxa"/>
              <w:left w:w="30" w:type="dxa"/>
              <w:right w:w="30" w:type="dxa"/>
            </w:tcMar>
          </w:tcPr>
          <w:p>
            <w:r>
              <w:rPr>
                <w:sz w:val="15"/>
              </w:rPr>
              <w:t>1,197</w:t>
            </w:r>
          </w:p>
        </w:tc>
        <w:tc>
          <w:tcPr>
            <w:tcW w:type="dxa" w:w="860"/>
            <w:tcMar>
              <w:top w:w="15" w:type="dxa"/>
              <w:bottom w:w="15" w:type="dxa"/>
              <w:left w:w="30" w:type="dxa"/>
              <w:right w:w="30" w:type="dxa"/>
            </w:tcMar>
          </w:tcPr>
          <w:p>
            <w:r>
              <w:rPr>
                <w:sz w:val="15"/>
              </w:rPr>
              <w:t>3,532</w:t>
            </w:r>
          </w:p>
        </w:tc>
        <w:tc>
          <w:tcPr>
            <w:tcW w:type="dxa" w:w="860"/>
            <w:tcMar>
              <w:top w:w="15" w:type="dxa"/>
              <w:bottom w:w="15" w:type="dxa"/>
              <w:left w:w="30" w:type="dxa"/>
              <w:right w:w="30" w:type="dxa"/>
            </w:tcMar>
          </w:tcPr>
          <w:p>
            <w:r>
              <w:rPr>
                <w:sz w:val="15"/>
              </w:rPr>
              <w:t>30,495</w:t>
            </w:r>
          </w:p>
        </w:tc>
        <w:tc>
          <w:tcPr>
            <w:tcW w:type="dxa" w:w="860"/>
            <w:tcMar>
              <w:top w:w="15" w:type="dxa"/>
              <w:bottom w:w="15" w:type="dxa"/>
              <w:left w:w="30" w:type="dxa"/>
              <w:right w:w="30" w:type="dxa"/>
            </w:tcMar>
          </w:tcPr>
          <w:p>
            <w:r>
              <w:rPr>
                <w:sz w:val="15"/>
              </w:rPr>
              <w:t>676</w:t>
            </w:r>
          </w:p>
        </w:tc>
      </w:tr>
      <w:tr>
        <w:tc>
          <w:tcPr>
            <w:tcW w:type="dxa" w:w="860"/>
            <w:tcMar>
              <w:top w:w="15" w:type="dxa"/>
              <w:bottom w:w="15" w:type="dxa"/>
              <w:left w:w="30" w:type="dxa"/>
              <w:right w:w="30" w:type="dxa"/>
            </w:tcMar>
          </w:tcPr>
          <w:p>
            <w:r>
              <w:rPr>
                <w:sz w:val="15"/>
              </w:rPr>
              <w:t>2022-08-19</w:t>
            </w:r>
          </w:p>
        </w:tc>
        <w:tc>
          <w:tcPr>
            <w:tcW w:type="dxa" w:w="860"/>
            <w:tcMar>
              <w:top w:w="15" w:type="dxa"/>
              <w:bottom w:w="15" w:type="dxa"/>
              <w:left w:w="30" w:type="dxa"/>
              <w:right w:w="30" w:type="dxa"/>
            </w:tcMar>
          </w:tcPr>
          <w:p>
            <w:r>
              <w:rPr>
                <w:sz w:val="15"/>
              </w:rPr>
              <w:t>8</w:t>
            </w:r>
          </w:p>
        </w:tc>
        <w:tc>
          <w:tcPr>
            <w:tcW w:type="dxa" w:w="860"/>
            <w:tcMar>
              <w:top w:w="15" w:type="dxa"/>
              <w:bottom w:w="15" w:type="dxa"/>
              <w:left w:w="30" w:type="dxa"/>
              <w:right w:w="30" w:type="dxa"/>
            </w:tcMar>
          </w:tcPr>
          <w:p>
            <w:r>
              <w:rPr>
                <w:sz w:val="15"/>
              </w:rPr>
              <w:t>7</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3</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399</w:t>
            </w:r>
          </w:p>
        </w:tc>
        <w:tc>
          <w:tcPr>
            <w:tcW w:type="dxa" w:w="860"/>
            <w:tcMar>
              <w:top w:w="15" w:type="dxa"/>
              <w:bottom w:w="15" w:type="dxa"/>
              <w:left w:w="30" w:type="dxa"/>
              <w:right w:w="30" w:type="dxa"/>
            </w:tcMar>
          </w:tcPr>
          <w:p>
            <w:r>
              <w:rPr>
                <w:sz w:val="15"/>
              </w:rPr>
              <w:t>812</w:t>
            </w:r>
          </w:p>
        </w:tc>
        <w:tc>
          <w:tcPr>
            <w:tcW w:type="dxa" w:w="860"/>
            <w:tcMar>
              <w:top w:w="15" w:type="dxa"/>
              <w:bottom w:w="15" w:type="dxa"/>
              <w:left w:w="30" w:type="dxa"/>
              <w:right w:w="30" w:type="dxa"/>
            </w:tcMar>
          </w:tcPr>
          <w:p>
            <w:r>
              <w:rPr>
                <w:sz w:val="15"/>
              </w:rPr>
              <w:t>2,184</w:t>
            </w:r>
          </w:p>
        </w:tc>
        <w:tc>
          <w:tcPr>
            <w:tcW w:type="dxa" w:w="860"/>
            <w:tcMar>
              <w:top w:w="15" w:type="dxa"/>
              <w:bottom w:w="15" w:type="dxa"/>
              <w:left w:w="30" w:type="dxa"/>
              <w:right w:w="30" w:type="dxa"/>
            </w:tcMar>
          </w:tcPr>
          <w:p>
            <w:r>
              <w:rPr>
                <w:sz w:val="15"/>
              </w:rPr>
              <w:t>18,529</w:t>
            </w:r>
          </w:p>
        </w:tc>
        <w:tc>
          <w:tcPr>
            <w:tcW w:type="dxa" w:w="860"/>
            <w:tcMar>
              <w:top w:w="15" w:type="dxa"/>
              <w:bottom w:w="15" w:type="dxa"/>
              <w:left w:w="30" w:type="dxa"/>
              <w:right w:w="30" w:type="dxa"/>
            </w:tcMar>
          </w:tcPr>
          <w:p>
            <w:r>
              <w:rPr>
                <w:sz w:val="15"/>
              </w:rPr>
              <w:t>419</w:t>
            </w:r>
          </w:p>
        </w:tc>
      </w:tr>
      <w:tr>
        <w:tc>
          <w:tcPr>
            <w:tcW w:type="dxa" w:w="860"/>
            <w:tcMar>
              <w:top w:w="15" w:type="dxa"/>
              <w:bottom w:w="15" w:type="dxa"/>
              <w:left w:w="30" w:type="dxa"/>
              <w:right w:w="30" w:type="dxa"/>
            </w:tcMar>
          </w:tcPr>
          <w:p>
            <w:r>
              <w:rPr>
                <w:sz w:val="15"/>
              </w:rPr>
              <w:t>2023-04-23</w:t>
            </w:r>
          </w:p>
        </w:tc>
        <w:tc>
          <w:tcPr>
            <w:tcW w:type="dxa" w:w="860"/>
            <w:tcMar>
              <w:top w:w="15" w:type="dxa"/>
              <w:bottom w:w="15" w:type="dxa"/>
              <w:left w:w="30" w:type="dxa"/>
              <w:right w:w="30" w:type="dxa"/>
            </w:tcMar>
          </w:tcPr>
          <w:p>
            <w:r>
              <w:rPr>
                <w:sz w:val="15"/>
              </w:rPr>
              <w:t>17</w:t>
            </w:r>
          </w:p>
        </w:tc>
        <w:tc>
          <w:tcPr>
            <w:tcW w:type="dxa" w:w="860"/>
            <w:tcMar>
              <w:top w:w="15" w:type="dxa"/>
              <w:bottom w:w="15" w:type="dxa"/>
              <w:left w:w="30" w:type="dxa"/>
              <w:right w:w="30" w:type="dxa"/>
            </w:tcMar>
          </w:tcPr>
          <w:p>
            <w:r>
              <w:rPr>
                <w:sz w:val="15"/>
              </w:rPr>
              <w:t>12</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5</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832</w:t>
            </w:r>
          </w:p>
        </w:tc>
        <w:tc>
          <w:tcPr>
            <w:tcW w:type="dxa" w:w="860"/>
            <w:tcMar>
              <w:top w:w="15" w:type="dxa"/>
              <w:bottom w:w="15" w:type="dxa"/>
              <w:left w:w="30" w:type="dxa"/>
              <w:right w:w="30" w:type="dxa"/>
            </w:tcMar>
          </w:tcPr>
          <w:p>
            <w:r>
              <w:rPr>
                <w:sz w:val="15"/>
              </w:rPr>
              <w:t>1,395</w:t>
            </w:r>
          </w:p>
        </w:tc>
        <w:tc>
          <w:tcPr>
            <w:tcW w:type="dxa" w:w="860"/>
            <w:tcMar>
              <w:top w:w="15" w:type="dxa"/>
              <w:bottom w:w="15" w:type="dxa"/>
              <w:left w:w="30" w:type="dxa"/>
              <w:right w:w="30" w:type="dxa"/>
            </w:tcMar>
          </w:tcPr>
          <w:p>
            <w:r>
              <w:rPr>
                <w:sz w:val="15"/>
              </w:rPr>
              <w:t>5,323</w:t>
            </w:r>
          </w:p>
        </w:tc>
        <w:tc>
          <w:tcPr>
            <w:tcW w:type="dxa" w:w="860"/>
            <w:tcMar>
              <w:top w:w="15" w:type="dxa"/>
              <w:bottom w:w="15" w:type="dxa"/>
              <w:left w:w="30" w:type="dxa"/>
              <w:right w:w="30" w:type="dxa"/>
            </w:tcMar>
          </w:tcPr>
          <w:p>
            <w:r>
              <w:rPr>
                <w:sz w:val="15"/>
              </w:rPr>
              <w:t>53,154</w:t>
            </w:r>
          </w:p>
        </w:tc>
        <w:tc>
          <w:tcPr>
            <w:tcW w:type="dxa" w:w="860"/>
            <w:tcMar>
              <w:top w:w="15" w:type="dxa"/>
              <w:bottom w:w="15" w:type="dxa"/>
              <w:left w:w="30" w:type="dxa"/>
              <w:right w:w="30" w:type="dxa"/>
            </w:tcMar>
          </w:tcPr>
          <w:p>
            <w:r>
              <w:rPr>
                <w:sz w:val="15"/>
              </w:rPr>
              <w:t>868</w:t>
            </w:r>
          </w:p>
        </w:tc>
      </w:tr>
      <w:tr>
        <w:tc>
          <w:tcPr>
            <w:tcW w:type="dxa" w:w="860"/>
            <w:tcMar>
              <w:top w:w="15" w:type="dxa"/>
              <w:bottom w:w="15" w:type="dxa"/>
              <w:left w:w="30" w:type="dxa"/>
              <w:right w:w="30" w:type="dxa"/>
            </w:tcMar>
          </w:tcPr>
          <w:p>
            <w:r>
              <w:rPr>
                <w:sz w:val="15"/>
              </w:rPr>
              <w:t>2024-05-10</w:t>
            </w:r>
          </w:p>
        </w:tc>
        <w:tc>
          <w:tcPr>
            <w:tcW w:type="dxa" w:w="860"/>
            <w:tcMar>
              <w:top w:w="15" w:type="dxa"/>
              <w:bottom w:w="15" w:type="dxa"/>
              <w:left w:w="30" w:type="dxa"/>
              <w:right w:w="30" w:type="dxa"/>
            </w:tcMar>
          </w:tcPr>
          <w:p>
            <w:r>
              <w:rPr>
                <w:sz w:val="15"/>
              </w:rPr>
              <w:t>6</w:t>
            </w:r>
          </w:p>
        </w:tc>
        <w:tc>
          <w:tcPr>
            <w:tcW w:type="dxa" w:w="860"/>
            <w:tcMar>
              <w:top w:w="15" w:type="dxa"/>
              <w:bottom w:w="15" w:type="dxa"/>
              <w:left w:w="30" w:type="dxa"/>
              <w:right w:w="30" w:type="dxa"/>
            </w:tcMar>
          </w:tcPr>
          <w:p>
            <w:r>
              <w:rPr>
                <w:sz w:val="15"/>
              </w:rPr>
              <w:t>11</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5</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748</w:t>
            </w:r>
          </w:p>
        </w:tc>
        <w:tc>
          <w:tcPr>
            <w:tcW w:type="dxa" w:w="860"/>
            <w:tcMar>
              <w:top w:w="15" w:type="dxa"/>
              <w:bottom w:w="15" w:type="dxa"/>
              <w:left w:w="30" w:type="dxa"/>
              <w:right w:w="30" w:type="dxa"/>
            </w:tcMar>
          </w:tcPr>
          <w:p>
            <w:r>
              <w:rPr>
                <w:sz w:val="15"/>
              </w:rPr>
              <w:t>2,312</w:t>
            </w:r>
          </w:p>
        </w:tc>
        <w:tc>
          <w:tcPr>
            <w:tcW w:type="dxa" w:w="860"/>
            <w:tcMar>
              <w:top w:w="15" w:type="dxa"/>
              <w:bottom w:w="15" w:type="dxa"/>
              <w:left w:w="30" w:type="dxa"/>
              <w:right w:w="30" w:type="dxa"/>
            </w:tcMar>
          </w:tcPr>
          <w:p>
            <w:r>
              <w:rPr>
                <w:sz w:val="15"/>
              </w:rPr>
              <w:t>10,830</w:t>
            </w:r>
          </w:p>
        </w:tc>
        <w:tc>
          <w:tcPr>
            <w:tcW w:type="dxa" w:w="860"/>
            <w:tcMar>
              <w:top w:w="15" w:type="dxa"/>
              <w:bottom w:w="15" w:type="dxa"/>
              <w:left w:w="30" w:type="dxa"/>
              <w:right w:w="30" w:type="dxa"/>
            </w:tcMar>
          </w:tcPr>
          <w:p>
            <w:r>
              <w:rPr>
                <w:sz w:val="15"/>
              </w:rPr>
              <w:t>50,919</w:t>
            </w:r>
          </w:p>
        </w:tc>
        <w:tc>
          <w:tcPr>
            <w:tcW w:type="dxa" w:w="860"/>
            <w:tcMar>
              <w:top w:w="15" w:type="dxa"/>
              <w:bottom w:w="15" w:type="dxa"/>
              <w:left w:w="30" w:type="dxa"/>
              <w:right w:w="30" w:type="dxa"/>
            </w:tcMar>
          </w:tcPr>
          <w:p>
            <w:r>
              <w:rPr>
                <w:sz w:val="15"/>
              </w:rPr>
              <w:t>772</w:t>
            </w:r>
          </w:p>
        </w:tc>
      </w:tr>
      <w:tr>
        <w:tc>
          <w:tcPr>
            <w:tcW w:type="dxa" w:w="860"/>
            <w:tcMar>
              <w:top w:w="15" w:type="dxa"/>
              <w:bottom w:w="15" w:type="dxa"/>
              <w:left w:w="30" w:type="dxa"/>
              <w:right w:w="30" w:type="dxa"/>
            </w:tcMar>
          </w:tcPr>
          <w:p>
            <w:r>
              <w:rPr>
                <w:sz w:val="15"/>
              </w:rPr>
              <w:t>2024-11-15</w:t>
            </w:r>
          </w:p>
        </w:tc>
        <w:tc>
          <w:tcPr>
            <w:tcW w:type="dxa" w:w="860"/>
            <w:tcMar>
              <w:top w:w="15" w:type="dxa"/>
              <w:bottom w:w="15" w:type="dxa"/>
              <w:left w:w="30" w:type="dxa"/>
              <w:right w:w="30" w:type="dxa"/>
            </w:tcMar>
          </w:tcPr>
          <w:p>
            <w:r>
              <w:rPr>
                <w:sz w:val="15"/>
              </w:rPr>
              <w:t>9</w:t>
            </w:r>
          </w:p>
        </w:tc>
        <w:tc>
          <w:tcPr>
            <w:tcW w:type="dxa" w:w="860"/>
            <w:tcMar>
              <w:top w:w="15" w:type="dxa"/>
              <w:bottom w:w="15" w:type="dxa"/>
              <w:left w:w="30" w:type="dxa"/>
              <w:right w:w="30" w:type="dxa"/>
            </w:tcMar>
          </w:tcPr>
          <w:p>
            <w:r>
              <w:rPr>
                <w:sz w:val="15"/>
              </w:rPr>
              <w:t>17</w:t>
            </w:r>
          </w:p>
        </w:tc>
        <w:tc>
          <w:tcPr>
            <w:tcW w:type="dxa" w:w="860"/>
            <w:tcMar>
              <w:top w:w="15" w:type="dxa"/>
              <w:bottom w:w="15" w:type="dxa"/>
              <w:left w:w="30" w:type="dxa"/>
              <w:right w:w="30" w:type="dxa"/>
            </w:tcMar>
          </w:tcPr>
          <w:p>
            <w:r>
              <w:rPr>
                <w:sz w:val="15"/>
              </w:rPr>
              <w:t>3</w:t>
            </w:r>
          </w:p>
        </w:tc>
        <w:tc>
          <w:tcPr>
            <w:tcW w:type="dxa" w:w="860"/>
            <w:tcMar>
              <w:top w:w="15" w:type="dxa"/>
              <w:bottom w:w="15" w:type="dxa"/>
              <w:left w:w="30" w:type="dxa"/>
              <w:right w:w="30" w:type="dxa"/>
            </w:tcMar>
          </w:tcPr>
          <w:p>
            <w:r>
              <w:rPr>
                <w:sz w:val="15"/>
              </w:rPr>
              <w:t>6</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1,348</w:t>
            </w:r>
          </w:p>
        </w:tc>
        <w:tc>
          <w:tcPr>
            <w:tcW w:type="dxa" w:w="860"/>
            <w:tcMar>
              <w:top w:w="15" w:type="dxa"/>
              <w:bottom w:w="15" w:type="dxa"/>
              <w:left w:w="30" w:type="dxa"/>
              <w:right w:w="30" w:type="dxa"/>
            </w:tcMar>
          </w:tcPr>
          <w:p>
            <w:r>
              <w:rPr>
                <w:sz w:val="15"/>
              </w:rPr>
              <w:t>2,572</w:t>
            </w:r>
          </w:p>
        </w:tc>
        <w:tc>
          <w:tcPr>
            <w:tcW w:type="dxa" w:w="860"/>
            <w:tcMar>
              <w:top w:w="15" w:type="dxa"/>
              <w:bottom w:w="15" w:type="dxa"/>
              <w:left w:w="30" w:type="dxa"/>
              <w:right w:w="30" w:type="dxa"/>
            </w:tcMar>
          </w:tcPr>
          <w:p>
            <w:r>
              <w:rPr>
                <w:sz w:val="15"/>
              </w:rPr>
              <w:t>6,248</w:t>
            </w:r>
          </w:p>
        </w:tc>
        <w:tc>
          <w:tcPr>
            <w:tcW w:type="dxa" w:w="860"/>
            <w:tcMar>
              <w:top w:w="15" w:type="dxa"/>
              <w:bottom w:w="15" w:type="dxa"/>
              <w:left w:w="30" w:type="dxa"/>
              <w:right w:w="30" w:type="dxa"/>
            </w:tcMar>
          </w:tcPr>
          <w:p>
            <w:r>
              <w:rPr>
                <w:sz w:val="15"/>
              </w:rPr>
              <w:t>61,657</w:t>
            </w:r>
          </w:p>
        </w:tc>
        <w:tc>
          <w:tcPr>
            <w:tcW w:type="dxa" w:w="860"/>
            <w:tcMar>
              <w:top w:w="15" w:type="dxa"/>
              <w:bottom w:w="15" w:type="dxa"/>
              <w:left w:w="30" w:type="dxa"/>
              <w:right w:w="30" w:type="dxa"/>
            </w:tcMar>
          </w:tcPr>
          <w:p>
            <w:r>
              <w:rPr>
                <w:sz w:val="15"/>
              </w:rPr>
              <w:t>1,383</w:t>
            </w:r>
          </w:p>
        </w:tc>
      </w:tr>
      <w:tr>
        <w:tc>
          <w:tcPr>
            <w:tcW w:type="dxa" w:w="860"/>
            <w:tcMar>
              <w:top w:w="15" w:type="dxa"/>
              <w:bottom w:w="15" w:type="dxa"/>
              <w:left w:w="30" w:type="dxa"/>
              <w:right w:w="30" w:type="dxa"/>
            </w:tcMar>
          </w:tcPr>
          <w:p>
            <w:r>
              <w:rPr>
                <w:sz w:val="15"/>
              </w:rPr>
              <w:t>2025-05-28</w:t>
            </w:r>
          </w:p>
        </w:tc>
        <w:tc>
          <w:tcPr>
            <w:tcW w:type="dxa" w:w="860"/>
            <w:tcMar>
              <w:top w:w="15" w:type="dxa"/>
              <w:bottom w:w="15" w:type="dxa"/>
              <w:left w:w="30" w:type="dxa"/>
              <w:right w:w="30" w:type="dxa"/>
            </w:tcMar>
          </w:tcPr>
          <w:p>
            <w:r>
              <w:rPr>
                <w:sz w:val="15"/>
              </w:rPr>
              <w:t>9</w:t>
            </w:r>
          </w:p>
        </w:tc>
        <w:tc>
          <w:tcPr>
            <w:tcW w:type="dxa" w:w="860"/>
            <w:tcMar>
              <w:top w:w="15" w:type="dxa"/>
              <w:bottom w:w="15" w:type="dxa"/>
              <w:left w:w="30" w:type="dxa"/>
              <w:right w:w="30" w:type="dxa"/>
            </w:tcMar>
          </w:tcPr>
          <w:p>
            <w:r>
              <w:rPr>
                <w:sz w:val="15"/>
              </w:rPr>
              <w:t>17</w:t>
            </w:r>
          </w:p>
        </w:tc>
        <w:tc>
          <w:tcPr>
            <w:tcW w:type="dxa" w:w="860"/>
            <w:tcMar>
              <w:top w:w="15" w:type="dxa"/>
              <w:bottom w:w="15" w:type="dxa"/>
              <w:left w:w="30" w:type="dxa"/>
              <w:right w:w="30" w:type="dxa"/>
            </w:tcMar>
          </w:tcPr>
          <w:p>
            <w:r>
              <w:rPr>
                <w:sz w:val="15"/>
              </w:rPr>
              <w:t>6</w:t>
            </w:r>
          </w:p>
        </w:tc>
        <w:tc>
          <w:tcPr>
            <w:tcW w:type="dxa" w:w="860"/>
            <w:tcMar>
              <w:top w:w="15" w:type="dxa"/>
              <w:bottom w:w="15" w:type="dxa"/>
              <w:left w:w="30" w:type="dxa"/>
              <w:right w:w="30" w:type="dxa"/>
            </w:tcMar>
          </w:tcPr>
          <w:p>
            <w:r>
              <w:rPr>
                <w:sz w:val="15"/>
              </w:rPr>
              <w:t>16</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1,441</w:t>
            </w:r>
          </w:p>
        </w:tc>
        <w:tc>
          <w:tcPr>
            <w:tcW w:type="dxa" w:w="860"/>
            <w:tcMar>
              <w:top w:w="15" w:type="dxa"/>
              <w:bottom w:w="15" w:type="dxa"/>
              <w:left w:w="30" w:type="dxa"/>
              <w:right w:w="30" w:type="dxa"/>
            </w:tcMar>
          </w:tcPr>
          <w:p>
            <w:r>
              <w:rPr>
                <w:sz w:val="15"/>
              </w:rPr>
              <w:t>3,408</w:t>
            </w:r>
          </w:p>
        </w:tc>
        <w:tc>
          <w:tcPr>
            <w:tcW w:type="dxa" w:w="860"/>
            <w:tcMar>
              <w:top w:w="15" w:type="dxa"/>
              <w:bottom w:w="15" w:type="dxa"/>
              <w:left w:w="30" w:type="dxa"/>
              <w:right w:w="30" w:type="dxa"/>
            </w:tcMar>
          </w:tcPr>
          <w:p>
            <w:r>
              <w:rPr>
                <w:sz w:val="15"/>
              </w:rPr>
              <w:t>7,608</w:t>
            </w:r>
          </w:p>
        </w:tc>
        <w:tc>
          <w:tcPr>
            <w:tcW w:type="dxa" w:w="860"/>
            <w:tcMar>
              <w:top w:w="15" w:type="dxa"/>
              <w:bottom w:w="15" w:type="dxa"/>
              <w:left w:w="30" w:type="dxa"/>
              <w:right w:w="30" w:type="dxa"/>
            </w:tcMar>
          </w:tcPr>
          <w:p>
            <w:r>
              <w:rPr>
                <w:sz w:val="15"/>
              </w:rPr>
              <w:t>84,439</w:t>
            </w:r>
          </w:p>
        </w:tc>
        <w:tc>
          <w:tcPr>
            <w:tcW w:type="dxa" w:w="860"/>
            <w:tcMar>
              <w:top w:w="15" w:type="dxa"/>
              <w:bottom w:w="15" w:type="dxa"/>
              <w:left w:w="30" w:type="dxa"/>
              <w:right w:w="30" w:type="dxa"/>
            </w:tcMar>
          </w:tcPr>
          <w:p>
            <w:r>
              <w:rPr>
                <w:sz w:val="15"/>
              </w:rPr>
              <w:t>1,489</w:t>
            </w:r>
          </w:p>
        </w:tc>
      </w:tr>
      <w:tr>
        <w:tc>
          <w:tcPr>
            <w:tcW w:type="dxa" w:w="860"/>
            <w:shd w:fill="F1F5F9"/>
            <w:tcMar>
              <w:top w:w="15" w:type="dxa"/>
              <w:bottom w:w="15" w:type="dxa"/>
              <w:left w:w="30" w:type="dxa"/>
              <w:right w:w="30" w:type="dxa"/>
            </w:tcMar>
          </w:tcPr>
          <w:p>
            <w:r>
              <w:rPr>
                <w:sz w:val="15"/>
              </w:rPr>
              <w:t>2025-11-10</w:t>
            </w:r>
          </w:p>
        </w:tc>
        <w:tc>
          <w:tcPr>
            <w:tcW w:type="dxa" w:w="860"/>
            <w:tcMar>
              <w:top w:w="15" w:type="dxa"/>
              <w:bottom w:w="15" w:type="dxa"/>
              <w:left w:w="30" w:type="dxa"/>
              <w:right w:w="30" w:type="dxa"/>
            </w:tcMar>
          </w:tcPr>
          <w:p>
            <w:r>
              <w:rPr>
                <w:sz w:val="15"/>
              </w:rPr>
              <w:t>10</w:t>
            </w:r>
          </w:p>
        </w:tc>
        <w:tc>
          <w:tcPr>
            <w:tcW w:type="dxa" w:w="860"/>
            <w:tcMar>
              <w:top w:w="15" w:type="dxa"/>
              <w:bottom w:w="15" w:type="dxa"/>
              <w:left w:w="30" w:type="dxa"/>
              <w:right w:w="30" w:type="dxa"/>
            </w:tcMar>
          </w:tcPr>
          <w:p>
            <w:r>
              <w:rPr>
                <w:sz w:val="15"/>
              </w:rPr>
              <w:t>12</w:t>
            </w:r>
          </w:p>
        </w:tc>
        <w:tc>
          <w:tcPr>
            <w:tcW w:type="dxa" w:w="860"/>
            <w:tcMar>
              <w:top w:w="15" w:type="dxa"/>
              <w:bottom w:w="15" w:type="dxa"/>
              <w:left w:w="30" w:type="dxa"/>
              <w:right w:w="30" w:type="dxa"/>
            </w:tcMar>
          </w:tcPr>
          <w:p>
            <w:r>
              <w:rPr>
                <w:sz w:val="15"/>
              </w:rPr>
              <w:t>2</w:t>
            </w:r>
          </w:p>
        </w:tc>
        <w:tc>
          <w:tcPr>
            <w:tcW w:type="dxa" w:w="860"/>
            <w:tcMar>
              <w:top w:w="15" w:type="dxa"/>
              <w:bottom w:w="15" w:type="dxa"/>
              <w:left w:w="30" w:type="dxa"/>
              <w:right w:w="30" w:type="dxa"/>
            </w:tcMar>
          </w:tcPr>
          <w:p>
            <w:r>
              <w:rPr>
                <w:sz w:val="15"/>
              </w:rPr>
              <w:t>3</w:t>
            </w:r>
          </w:p>
        </w:tc>
        <w:tc>
          <w:tcPr>
            <w:tcW w:type="dxa" w:w="860"/>
            <w:tcMar>
              <w:top w:w="15" w:type="dxa"/>
              <w:bottom w:w="15" w:type="dxa"/>
              <w:left w:w="30" w:type="dxa"/>
              <w:right w:w="30" w:type="dxa"/>
            </w:tcMar>
          </w:tcPr>
          <w:p>
            <w:r>
              <w:rPr>
                <w:sz w:val="15"/>
              </w:rPr>
              <w:t>0.0</w:t>
            </w:r>
          </w:p>
        </w:tc>
        <w:tc>
          <w:tcPr>
            <w:tcW w:type="dxa" w:w="860"/>
            <w:tcMar>
              <w:top w:w="15" w:type="dxa"/>
              <w:bottom w:w="15" w:type="dxa"/>
              <w:left w:w="30" w:type="dxa"/>
              <w:right w:w="30" w:type="dxa"/>
            </w:tcMar>
          </w:tcPr>
          <w:p>
            <w:r>
              <w:rPr>
                <w:sz w:val="15"/>
              </w:rPr>
              <w:t>1,047</w:t>
            </w:r>
          </w:p>
        </w:tc>
        <w:tc>
          <w:tcPr>
            <w:tcW w:type="dxa" w:w="860"/>
            <w:tcMar>
              <w:top w:w="15" w:type="dxa"/>
              <w:bottom w:w="15" w:type="dxa"/>
              <w:left w:w="30" w:type="dxa"/>
              <w:right w:w="30" w:type="dxa"/>
            </w:tcMar>
          </w:tcPr>
          <w:p>
            <w:r>
              <w:rPr>
                <w:sz w:val="15"/>
              </w:rPr>
              <w:t>2,358</w:t>
            </w:r>
          </w:p>
        </w:tc>
        <w:tc>
          <w:tcPr>
            <w:tcW w:type="dxa" w:w="860"/>
            <w:tcMar>
              <w:top w:w="15" w:type="dxa"/>
              <w:bottom w:w="15" w:type="dxa"/>
              <w:left w:w="30" w:type="dxa"/>
              <w:right w:w="30" w:type="dxa"/>
            </w:tcMar>
          </w:tcPr>
          <w:p>
            <w:r>
              <w:rPr>
                <w:sz w:val="15"/>
              </w:rPr>
              <w:t>13,253</w:t>
            </w:r>
          </w:p>
        </w:tc>
        <w:tc>
          <w:tcPr>
            <w:tcW w:type="dxa" w:w="860"/>
            <w:tcMar>
              <w:top w:w="15" w:type="dxa"/>
              <w:bottom w:w="15" w:type="dxa"/>
              <w:left w:w="30" w:type="dxa"/>
              <w:right w:w="30" w:type="dxa"/>
            </w:tcMar>
          </w:tcPr>
          <w:p>
            <w:r>
              <w:rPr>
                <w:sz w:val="15"/>
              </w:rPr>
              <w:t>69,106</w:t>
            </w:r>
          </w:p>
        </w:tc>
        <w:tc>
          <w:tcPr>
            <w:tcW w:type="dxa" w:w="860"/>
            <w:tcMar>
              <w:top w:w="15" w:type="dxa"/>
              <w:bottom w:w="15" w:type="dxa"/>
              <w:left w:w="30" w:type="dxa"/>
              <w:right w:w="30" w:type="dxa"/>
            </w:tcMar>
          </w:tcPr>
          <w:p>
            <w:r>
              <w:rPr>
                <w:sz w:val="15"/>
              </w:rPr>
              <w:t>1,074</w:t>
            </w:r>
          </w:p>
        </w:tc>
      </w:tr>
    </w:tbl>
    <w:p>
      <w:pPr>
        <w:keepNext/>
        <w:spacing w:before="120" w:after="40"/>
      </w:pPr>
      <w:r>
        <w:rPr>
          <w:rFonts w:ascii="Arial" w:hAnsi="Arial"/>
          <w:b/>
          <w:color w:val="0F172A"/>
          <w:sz w:val="20"/>
        </w:rPr>
        <w:t>5.2.3 Quality of the Liquid Insulation (OQF)</w:t>
      </w:r>
    </w:p>
    <w:p>
      <w:pPr>
        <w:spacing w:before="0" w:after="80" w:line="276" w:lineRule="auto"/>
      </w:pPr>
      <w:r>
        <w:rPr>
          <w:rFonts w:ascii="Calibri" w:hAnsi="Calibri"/>
          <w:i w:val="0"/>
          <w:color w:val="1E293B"/>
          <w:sz w:val="20"/>
        </w:rPr>
        <w:t>The Oil Quality Factor (OQF) evaluates the physical, chemical, and electrical properties of main tank oil per IEEE Std C57.106. Tested properties include Breakdown Voltage (53.5 to 76.2 kV), Moisture in oil (8.7 ppm at 46°C), Acidity (0.010 mg KOH/g), Interfacial Tension (35.5 mN/m), %PF at 25°C (0.002%), Color (1.0), Passivator (83.6 mg/kg), and Corrosive Sulfur (1a Non-corrosive). The calculated OQF is 3.86 out of 4.0, corresponding to Condition Score 4 (Good).</w:t>
      </w:r>
    </w:p>
    <w:p>
      <w:pPr>
        <w:keepNext/>
        <w:spacing w:before="120" w:after="40"/>
      </w:pPr>
      <w:r>
        <w:rPr>
          <w:rFonts w:ascii="Arial" w:hAnsi="Arial"/>
          <w:b/>
          <w:color w:val="0F172A"/>
          <w:sz w:val="20"/>
        </w:rPr>
        <w:t>5.2.4 Bushing Subsystem Assessment</w:t>
      </w:r>
    </w:p>
    <w:p>
      <w:pPr>
        <w:spacing w:before="0" w:after="80" w:line="276" w:lineRule="auto"/>
      </w:pPr>
      <w:r>
        <w:rPr>
          <w:rFonts w:ascii="Calibri" w:hAnsi="Calibri"/>
          <w:i w:val="0"/>
          <w:color w:val="1E293B"/>
          <w:sz w:val="20"/>
        </w:rPr>
        <w:t>High-voltage 115 kV condenser bushings were tested via 10 kV UST. Capacitance shifts from nameplate are -1.02% (H1), -0.93% (H2), and -1.52% (H3), well within the IEEE allowable limit (±4.8%). Corrected dissipation factors at 20°C are 0.276% (H1), 0.287% (H2), and 0.448% (H3), complying with the standard limit (&lt;0.50%). Note: Bushing swept frequency (15–400 Hz) was not performed on this unit.</w:t>
      </w:r>
    </w:p>
    <w:p>
      <w:pPr>
        <w:keepNext/>
        <w:spacing w:before="120" w:after="40"/>
      </w:pPr>
      <w:r>
        <w:rPr>
          <w:rFonts w:ascii="Arial" w:hAnsi="Arial"/>
          <w:b/>
          <w:color w:val="0F172A"/>
          <w:sz w:val="20"/>
        </w:rPr>
        <w:t>5.2.5 On-Load Tap Changer (OLTC) Subsystem Assessment</w:t>
      </w:r>
    </w:p>
    <w:p>
      <w:pPr>
        <w:spacing w:before="0" w:after="80" w:line="276" w:lineRule="auto"/>
      </w:pPr>
      <w:r>
        <w:rPr>
          <w:rFonts w:ascii="Calibri" w:hAnsi="Calibri"/>
          <w:i w:val="0"/>
          <w:color w:val="1E293B"/>
          <w:sz w:val="20"/>
        </w:rPr>
        <w:t>The MR Model VIII 200D tap changer diverter oil tests show Breakdown Voltage of 65.5 kV and water content of 5.9 ppm. Duval Triangle 2 coordinates place operation in Zone X1 (Normal arcing). Cumulative operations count stands at 97,424. Note: Dynamic Resistance Measurement (DRM scan) was not performed during this routine cycle; mechanical and contact integrity was verified via static DC winding resistance across taps.</w:t>
      </w:r>
    </w:p>
    <w:p>
      <w:pPr>
        <w:keepNext/>
        <w:spacing w:before="280" w:after="80"/>
      </w:pPr>
      <w:r>
        <w:rPr>
          <w:rFonts w:ascii="Arial" w:hAnsi="Arial"/>
          <w:b/>
          <w:color w:val="1B365D"/>
          <w:sz w:val="26"/>
        </w:rPr>
        <w:t>6. EXPECTED REMAINING LIFETIME</w:t>
      </w:r>
    </w:p>
    <w:p>
      <w:pPr>
        <w:spacing w:before="0" w:after="80" w:line="276" w:lineRule="auto"/>
      </w:pPr>
      <w:r>
        <w:rPr>
          <w:rFonts w:ascii="Calibri" w:hAnsi="Calibri"/>
          <w:i w:val="0"/>
          <w:color w:val="1E293B"/>
          <w:sz w:val="20"/>
        </w:rPr>
        <w:t>Degradation modeling for 34101-TR-001 is grounded in the verified solid insulation state: DP = 1,089 (from 2-FAL = 5 ppb) and moisture in paper = 0.50% wt (DFR DIRANA). Modeling adheres to the SINTEF second-order chain scission formulation:</w:t>
        <w:br/>
        <w:t xml:space="preserve">    (1 / DP_t) - (1 / DP_0) = k * t</w:t>
        <w:br/>
        <w:t>Where initial unaged DP_0 = 1,100, present DP = 1,089, and calendar service age = 18.0 years.</w:t>
      </w:r>
    </w:p>
    <w:p>
      <w:pPr>
        <w:spacing w:before="0" w:after="80" w:line="276" w:lineRule="auto"/>
      </w:pPr>
      <w:r>
        <w:rPr>
          <w:rFonts w:ascii="Calibri" w:hAnsi="Calibri"/>
          <w:i w:val="0"/>
          <w:color w:val="1E293B"/>
          <w:sz w:val="20"/>
        </w:rPr>
        <w:t>Empirical historical aging rate k is 5.10 x 10^-7 year^-1, reflecting light operational loading and effective ONAN cooling. For conservative engineering forecasting, we model remaining life under standard Arrhenius kinetic rates for dry cellulose (k = 1.50 x 10^-5 year^-1 to 2.50 x 10^-5 year^-1):</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892"/>
            <w:shd w:fill="1B365D"/>
          </w:tcPr>
          <w:p>
            <w:r>
              <w:rPr>
                <w:b/>
                <w:color w:val="FFFFFF"/>
                <w:sz w:val="16"/>
              </w:rPr>
              <w:t>Operating Regime</w:t>
            </w:r>
          </w:p>
        </w:tc>
        <w:tc>
          <w:tcPr>
            <w:tcW w:type="dxa" w:w="1892"/>
            <w:shd w:fill="1B365D"/>
          </w:tcPr>
          <w:p>
            <w:r>
              <w:rPr>
                <w:b/>
                <w:color w:val="FFFFFF"/>
                <w:sz w:val="16"/>
              </w:rPr>
              <w:t>Kinetic Rate k (year^-1)</w:t>
            </w:r>
          </w:p>
        </w:tc>
        <w:tc>
          <w:tcPr>
            <w:tcW w:type="dxa" w:w="1892"/>
            <w:shd w:fill="1B365D"/>
          </w:tcPr>
          <w:p>
            <w:r>
              <w:rPr>
                <w:b/>
                <w:color w:val="FFFFFF"/>
                <w:sz w:val="16"/>
              </w:rPr>
              <w:t>Years to DP = 300</w:t>
            </w:r>
          </w:p>
        </w:tc>
        <w:tc>
          <w:tcPr>
            <w:tcW w:type="dxa" w:w="1892"/>
            <w:shd w:fill="1B365D"/>
          </w:tcPr>
          <w:p>
            <w:r>
              <w:rPr>
                <w:b/>
                <w:color w:val="FFFFFF"/>
                <w:sz w:val="16"/>
              </w:rPr>
              <w:t>Years to DP = 200</w:t>
            </w:r>
          </w:p>
        </w:tc>
        <w:tc>
          <w:tcPr>
            <w:tcW w:type="dxa" w:w="1892"/>
            <w:shd w:fill="1B365D"/>
          </w:tcPr>
          <w:p>
            <w:r>
              <w:rPr>
                <w:b/>
                <w:color w:val="FFFFFF"/>
                <w:sz w:val="16"/>
              </w:rPr>
              <w:t>Expected End Year</w:t>
            </w:r>
          </w:p>
        </w:tc>
      </w:tr>
      <w:tr>
        <w:tc>
          <w:tcPr>
            <w:tcW w:type="dxa" w:w="1892"/>
            <w:shd w:fill="DCFCE7"/>
            <w:tcMar>
              <w:top w:w="25" w:type="dxa"/>
              <w:bottom w:w="25" w:type="dxa"/>
              <w:left w:w="45" w:type="dxa"/>
              <w:right w:w="45" w:type="dxa"/>
            </w:tcMar>
          </w:tcPr>
          <w:p>
            <w:r>
              <w:rPr>
                <w:sz w:val="16"/>
              </w:rPr>
              <w:t>Dry Baseline (0.5% Moist, ONAN ~50°C)</w:t>
            </w:r>
          </w:p>
        </w:tc>
        <w:tc>
          <w:tcPr>
            <w:tcW w:type="dxa" w:w="1892"/>
            <w:tcMar>
              <w:top w:w="25" w:type="dxa"/>
              <w:bottom w:w="25" w:type="dxa"/>
              <w:left w:w="45" w:type="dxa"/>
              <w:right w:w="45" w:type="dxa"/>
            </w:tcMar>
          </w:tcPr>
          <w:p>
            <w:r>
              <w:rPr>
                <w:sz w:val="16"/>
              </w:rPr>
              <w:t>1.50 x 10^-5</w:t>
            </w:r>
          </w:p>
        </w:tc>
        <w:tc>
          <w:tcPr>
            <w:tcW w:type="dxa" w:w="1892"/>
            <w:tcMar>
              <w:top w:w="25" w:type="dxa"/>
              <w:bottom w:w="25" w:type="dxa"/>
              <w:left w:w="45" w:type="dxa"/>
              <w:right w:w="45" w:type="dxa"/>
            </w:tcMar>
          </w:tcPr>
          <w:p>
            <w:r>
              <w:rPr>
                <w:sz w:val="16"/>
              </w:rPr>
              <w:t>161 Years</w:t>
            </w:r>
          </w:p>
        </w:tc>
        <w:tc>
          <w:tcPr>
            <w:tcW w:type="dxa" w:w="1892"/>
            <w:tcMar>
              <w:top w:w="25" w:type="dxa"/>
              <w:bottom w:w="25" w:type="dxa"/>
              <w:left w:w="45" w:type="dxa"/>
              <w:right w:w="45" w:type="dxa"/>
            </w:tcMar>
          </w:tcPr>
          <w:p>
            <w:r>
              <w:rPr>
                <w:sz w:val="16"/>
              </w:rPr>
              <w:t>272 Years</w:t>
            </w:r>
          </w:p>
        </w:tc>
        <w:tc>
          <w:tcPr>
            <w:tcW w:type="dxa" w:w="1892"/>
            <w:tcMar>
              <w:top w:w="25" w:type="dxa"/>
              <w:bottom w:w="25" w:type="dxa"/>
              <w:left w:w="45" w:type="dxa"/>
              <w:right w:w="45" w:type="dxa"/>
            </w:tcMar>
          </w:tcPr>
          <w:p>
            <w:r>
              <w:rPr>
                <w:sz w:val="16"/>
              </w:rPr>
              <w:t>&gt; Year 2100</w:t>
            </w:r>
          </w:p>
        </w:tc>
      </w:tr>
      <w:tr>
        <w:tc>
          <w:tcPr>
            <w:tcW w:type="dxa" w:w="1892"/>
            <w:tcMar>
              <w:top w:w="25" w:type="dxa"/>
              <w:bottom w:w="25" w:type="dxa"/>
              <w:left w:w="45" w:type="dxa"/>
              <w:right w:w="45" w:type="dxa"/>
            </w:tcMar>
          </w:tcPr>
          <w:p>
            <w:r>
              <w:rPr>
                <w:sz w:val="16"/>
              </w:rPr>
              <w:t>Moderate Loading (+10°C Temp Rise)</w:t>
            </w:r>
          </w:p>
        </w:tc>
        <w:tc>
          <w:tcPr>
            <w:tcW w:type="dxa" w:w="1892"/>
            <w:tcMar>
              <w:top w:w="25" w:type="dxa"/>
              <w:bottom w:w="25" w:type="dxa"/>
              <w:left w:w="45" w:type="dxa"/>
              <w:right w:w="45" w:type="dxa"/>
            </w:tcMar>
          </w:tcPr>
          <w:p>
            <w:r>
              <w:rPr>
                <w:sz w:val="16"/>
              </w:rPr>
              <w:t>2.50 x 10^-5</w:t>
            </w:r>
          </w:p>
        </w:tc>
        <w:tc>
          <w:tcPr>
            <w:tcW w:type="dxa" w:w="1892"/>
            <w:tcMar>
              <w:top w:w="25" w:type="dxa"/>
              <w:bottom w:w="25" w:type="dxa"/>
              <w:left w:w="45" w:type="dxa"/>
              <w:right w:w="45" w:type="dxa"/>
            </w:tcMar>
          </w:tcPr>
          <w:p>
            <w:r>
              <w:rPr>
                <w:sz w:val="16"/>
              </w:rPr>
              <w:t>96 Years</w:t>
            </w:r>
          </w:p>
        </w:tc>
        <w:tc>
          <w:tcPr>
            <w:tcW w:type="dxa" w:w="1892"/>
            <w:tcMar>
              <w:top w:w="25" w:type="dxa"/>
              <w:bottom w:w="25" w:type="dxa"/>
              <w:left w:w="45" w:type="dxa"/>
              <w:right w:w="45" w:type="dxa"/>
            </w:tcMar>
          </w:tcPr>
          <w:p>
            <w:r>
              <w:rPr>
                <w:sz w:val="16"/>
              </w:rPr>
              <w:t>163 Years</w:t>
            </w:r>
          </w:p>
        </w:tc>
        <w:tc>
          <w:tcPr>
            <w:tcW w:type="dxa" w:w="1892"/>
            <w:tcMar>
              <w:top w:w="25" w:type="dxa"/>
              <w:bottom w:w="25" w:type="dxa"/>
              <w:left w:w="45" w:type="dxa"/>
              <w:right w:w="45" w:type="dxa"/>
            </w:tcMar>
          </w:tcPr>
          <w:p>
            <w:r>
              <w:rPr>
                <w:sz w:val="16"/>
              </w:rPr>
              <w:t>Year 2122</w:t>
            </w:r>
          </w:p>
        </w:tc>
      </w:tr>
      <w:tr>
        <w:tc>
          <w:tcPr>
            <w:tcW w:type="dxa" w:w="1892"/>
            <w:tcMar>
              <w:top w:w="25" w:type="dxa"/>
              <w:bottom w:w="25" w:type="dxa"/>
              <w:left w:w="45" w:type="dxa"/>
              <w:right w:w="45" w:type="dxa"/>
            </w:tcMar>
          </w:tcPr>
          <w:p>
            <w:r>
              <w:rPr>
                <w:sz w:val="16"/>
              </w:rPr>
              <w:t>Degraded State (&gt;2.0% Moist, Continuous O2)</w:t>
            </w:r>
          </w:p>
        </w:tc>
        <w:tc>
          <w:tcPr>
            <w:tcW w:type="dxa" w:w="1892"/>
            <w:tcMar>
              <w:top w:w="25" w:type="dxa"/>
              <w:bottom w:w="25" w:type="dxa"/>
              <w:left w:w="45" w:type="dxa"/>
              <w:right w:w="45" w:type="dxa"/>
            </w:tcMar>
          </w:tcPr>
          <w:p>
            <w:r>
              <w:rPr>
                <w:sz w:val="16"/>
              </w:rPr>
              <w:t>4.50 x 10^-5</w:t>
            </w:r>
          </w:p>
        </w:tc>
        <w:tc>
          <w:tcPr>
            <w:tcW w:type="dxa" w:w="1892"/>
            <w:tcMar>
              <w:top w:w="25" w:type="dxa"/>
              <w:bottom w:w="25" w:type="dxa"/>
              <w:left w:w="45" w:type="dxa"/>
              <w:right w:w="45" w:type="dxa"/>
            </w:tcMar>
          </w:tcPr>
          <w:p>
            <w:r>
              <w:rPr>
                <w:sz w:val="16"/>
              </w:rPr>
              <w:t>53 Years</w:t>
            </w:r>
          </w:p>
        </w:tc>
        <w:tc>
          <w:tcPr>
            <w:tcW w:type="dxa" w:w="1892"/>
            <w:tcMar>
              <w:top w:w="25" w:type="dxa"/>
              <w:bottom w:w="25" w:type="dxa"/>
              <w:left w:w="45" w:type="dxa"/>
              <w:right w:w="45" w:type="dxa"/>
            </w:tcMar>
          </w:tcPr>
          <w:p>
            <w:r>
              <w:rPr>
                <w:sz w:val="16"/>
              </w:rPr>
              <w:t>90 Years</w:t>
            </w:r>
          </w:p>
        </w:tc>
        <w:tc>
          <w:tcPr>
            <w:tcW w:type="dxa" w:w="1892"/>
            <w:tcMar>
              <w:top w:w="25" w:type="dxa"/>
              <w:bottom w:w="25" w:type="dxa"/>
              <w:left w:w="45" w:type="dxa"/>
              <w:right w:w="45" w:type="dxa"/>
            </w:tcMar>
          </w:tcPr>
          <w:p>
            <w:r>
              <w:rPr>
                <w:sz w:val="16"/>
              </w:rPr>
              <w:t>Year 2079</w:t>
            </w:r>
          </w:p>
        </w:tc>
      </w:tr>
    </w:tbl>
    <w:p>
      <w:pPr>
        <w:spacing w:before="120"/>
        <w:jc w:val="center"/>
      </w:pPr>
      <w:r>
        <w:drawing>
          <wp:inline xmlns:a="http://schemas.openxmlformats.org/drawingml/2006/main" xmlns:pic="http://schemas.openxmlformats.org/drawingml/2006/picture">
            <wp:extent cx="4937760" cy="2501798"/>
            <wp:docPr id="4" name="Picture 4"/>
            <wp:cNvGraphicFramePr>
              <a:graphicFrameLocks noChangeAspect="1"/>
            </wp:cNvGraphicFramePr>
            <a:graphic>
              <a:graphicData uri="http://schemas.openxmlformats.org/drawingml/2006/picture">
                <pic:pic>
                  <pic:nvPicPr>
                    <pic:cNvPr id="0" name="fig_6_3_degradation.png"/>
                    <pic:cNvPicPr/>
                  </pic:nvPicPr>
                  <pic:blipFill>
                    <a:blip r:embed="rId14"/>
                    <a:stretch>
                      <a:fillRect/>
                    </a:stretch>
                  </pic:blipFill>
                  <pic:spPr>
                    <a:xfrm>
                      <a:off x="0" y="0"/>
                      <a:ext cx="4937760" cy="2501798"/>
                    </a:xfrm>
                    <a:prstGeom prst="rect"/>
                  </pic:spPr>
                </pic:pic>
              </a:graphicData>
            </a:graphic>
          </wp:inline>
        </w:drawing>
      </w:r>
    </w:p>
    <w:p>
      <w:pPr>
        <w:keepNext/>
        <w:spacing w:before="280" w:after="80"/>
      </w:pPr>
      <w:r>
        <w:rPr>
          <w:rFonts w:ascii="Arial" w:hAnsi="Arial"/>
          <w:b/>
          <w:color w:val="1B365D"/>
          <w:sz w:val="26"/>
        </w:rPr>
        <w:t>7. RECOMMENDATION &amp; MONITORING GAPS AUDIT</w:t>
      </w:r>
    </w:p>
    <w:p>
      <w:pPr>
        <w:spacing w:before="0" w:after="80" w:line="276" w:lineRule="auto"/>
      </w:pPr>
      <w:r>
        <w:rPr>
          <w:rFonts w:ascii="Calibri" w:hAnsi="Calibri"/>
          <w:i w:val="0"/>
          <w:color w:val="1E293B"/>
          <w:sz w:val="20"/>
        </w:rPr>
        <w:t>Based on the diagnostic findings and comprehensive data audit of 34101-TR-001, the asset management action plan is formulated as follows: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65"/>
        <w:gridCol w:w="2365"/>
        <w:gridCol w:w="2365"/>
        <w:gridCol w:w="2365"/>
      </w:tblGrid>
      <w:tr>
        <w:tc>
          <w:tcPr>
            <w:tcW w:type="dxa" w:w="2365"/>
            <w:shd w:fill="1B365D"/>
          </w:tcPr>
          <w:p>
            <w:r>
              <w:rPr>
                <w:b/>
                <w:color w:val="FFFFFF"/>
                <w:sz w:val="16"/>
              </w:rPr>
              <w:t>Diagnostic Domain</w:t>
            </w:r>
          </w:p>
        </w:tc>
        <w:tc>
          <w:tcPr>
            <w:tcW w:type="dxa" w:w="2365"/>
            <w:shd w:fill="1B365D"/>
          </w:tcPr>
          <w:p>
            <w:r>
              <w:rPr>
                <w:b/>
                <w:color w:val="FFFFFF"/>
                <w:sz w:val="16"/>
              </w:rPr>
              <w:t>Data Availability Status in Database</w:t>
            </w:r>
          </w:p>
        </w:tc>
        <w:tc>
          <w:tcPr>
            <w:tcW w:type="dxa" w:w="2365"/>
            <w:shd w:fill="1B365D"/>
          </w:tcPr>
          <w:p>
            <w:r>
              <w:rPr>
                <w:b/>
                <w:color w:val="FFFFFF"/>
                <w:sz w:val="16"/>
              </w:rPr>
              <w:t>Current Assessment Basis</w:t>
            </w:r>
          </w:p>
        </w:tc>
        <w:tc>
          <w:tcPr>
            <w:tcW w:type="dxa" w:w="2365"/>
            <w:shd w:fill="1B365D"/>
          </w:tcPr>
          <w:p>
            <w:r>
              <w:rPr>
                <w:b/>
                <w:color w:val="FFFFFF"/>
                <w:sz w:val="16"/>
              </w:rPr>
              <w:t>Future Action Plan</w:t>
            </w:r>
          </w:p>
        </w:tc>
      </w:tr>
      <w:tr>
        <w:tc>
          <w:tcPr>
            <w:tcW w:type="dxa" w:w="2365"/>
            <w:tcMar>
              <w:top w:w="25" w:type="dxa"/>
              <w:bottom w:w="25" w:type="dxa"/>
              <w:left w:w="45" w:type="dxa"/>
              <w:right w:w="45" w:type="dxa"/>
            </w:tcMar>
          </w:tcPr>
          <w:p>
            <w:r>
              <w:rPr>
                <w:sz w:val="16"/>
              </w:rPr>
              <w:t>Direct Paper Tensile DP</w:t>
            </w:r>
          </w:p>
        </w:tc>
        <w:tc>
          <w:tcPr>
            <w:tcW w:type="dxa" w:w="2365"/>
            <w:shd w:fill="FEF9C3"/>
            <w:tcMar>
              <w:top w:w="25" w:type="dxa"/>
              <w:bottom w:w="25" w:type="dxa"/>
              <w:left w:w="45" w:type="dxa"/>
              <w:right w:w="45" w:type="dxa"/>
            </w:tcMar>
          </w:tcPr>
          <w:p>
            <w:r>
              <w:rPr>
                <w:sz w:val="16"/>
              </w:rPr>
              <w:t>NO DATA (Unmeasured)</w:t>
            </w:r>
          </w:p>
        </w:tc>
        <w:tc>
          <w:tcPr>
            <w:tcW w:type="dxa" w:w="2365"/>
            <w:tcMar>
              <w:top w:w="25" w:type="dxa"/>
              <w:bottom w:w="25" w:type="dxa"/>
              <w:left w:w="45" w:type="dxa"/>
              <w:right w:w="45" w:type="dxa"/>
            </w:tcMar>
          </w:tcPr>
          <w:p>
            <w:r>
              <w:rPr>
                <w:sz w:val="16"/>
              </w:rPr>
              <w:t>Estimated from 2-FAL (5 ppb -&gt; DP=1089) &amp; DFR (0.5%)</w:t>
            </w:r>
          </w:p>
        </w:tc>
        <w:tc>
          <w:tcPr>
            <w:tcW w:type="dxa" w:w="2365"/>
            <w:tcMar>
              <w:top w:w="25" w:type="dxa"/>
              <w:bottom w:w="25" w:type="dxa"/>
              <w:left w:w="45" w:type="dxa"/>
              <w:right w:w="45" w:type="dxa"/>
            </w:tcMar>
          </w:tcPr>
          <w:p>
            <w:r>
              <w:rPr>
                <w:sz w:val="16"/>
              </w:rPr>
              <w:t>Direct sampling only if unit is untanked in future</w:t>
            </w:r>
          </w:p>
        </w:tc>
      </w:tr>
      <w:tr>
        <w:tc>
          <w:tcPr>
            <w:tcW w:type="dxa" w:w="2365"/>
            <w:tcMar>
              <w:top w:w="25" w:type="dxa"/>
              <w:bottom w:w="25" w:type="dxa"/>
              <w:left w:w="45" w:type="dxa"/>
              <w:right w:w="45" w:type="dxa"/>
            </w:tcMar>
          </w:tcPr>
          <w:p>
            <w:r>
              <w:rPr>
                <w:sz w:val="16"/>
              </w:rPr>
              <w:t>OLTC Dynamic Resistance (DRM)</w:t>
            </w:r>
          </w:p>
        </w:tc>
        <w:tc>
          <w:tcPr>
            <w:tcW w:type="dxa" w:w="2365"/>
            <w:shd w:fill="FEF9C3"/>
            <w:tcMar>
              <w:top w:w="25" w:type="dxa"/>
              <w:bottom w:w="25" w:type="dxa"/>
              <w:left w:w="45" w:type="dxa"/>
              <w:right w:w="45" w:type="dxa"/>
            </w:tcMar>
          </w:tcPr>
          <w:p>
            <w:r>
              <w:rPr>
                <w:sz w:val="16"/>
              </w:rPr>
              <w:t>NO DATA (Unmeasured)</w:t>
            </w:r>
          </w:p>
        </w:tc>
        <w:tc>
          <w:tcPr>
            <w:tcW w:type="dxa" w:w="2365"/>
            <w:tcMar>
              <w:top w:w="25" w:type="dxa"/>
              <w:bottom w:w="25" w:type="dxa"/>
              <w:left w:w="45" w:type="dxa"/>
              <w:right w:w="45" w:type="dxa"/>
            </w:tcMar>
          </w:tcPr>
          <w:p>
            <w:r>
              <w:rPr>
                <w:sz w:val="16"/>
              </w:rPr>
              <w:t>Evaluated via static winding resistance across taps &amp; oil</w:t>
            </w:r>
          </w:p>
        </w:tc>
        <w:tc>
          <w:tcPr>
            <w:tcW w:type="dxa" w:w="2365"/>
            <w:tcMar>
              <w:top w:w="25" w:type="dxa"/>
              <w:bottom w:w="25" w:type="dxa"/>
              <w:left w:w="45" w:type="dxa"/>
              <w:right w:w="45" w:type="dxa"/>
            </w:tcMar>
          </w:tcPr>
          <w:p>
            <w:r>
              <w:rPr>
                <w:sz w:val="16"/>
              </w:rPr>
              <w:t>Perform DRM scan during next 2029 major PM cycle</w:t>
            </w:r>
          </w:p>
        </w:tc>
      </w:tr>
      <w:tr>
        <w:tc>
          <w:tcPr>
            <w:tcW w:type="dxa" w:w="2365"/>
            <w:tcMar>
              <w:top w:w="25" w:type="dxa"/>
              <w:bottom w:w="25" w:type="dxa"/>
              <w:left w:w="45" w:type="dxa"/>
              <w:right w:w="45" w:type="dxa"/>
            </w:tcMar>
          </w:tcPr>
          <w:p>
            <w:r>
              <w:rPr>
                <w:sz w:val="16"/>
              </w:rPr>
              <w:t>Frequency Response Analysis (FRA)</w:t>
            </w:r>
          </w:p>
        </w:tc>
        <w:tc>
          <w:tcPr>
            <w:tcW w:type="dxa" w:w="2365"/>
            <w:shd w:fill="FEF9C3"/>
            <w:tcMar>
              <w:top w:w="25" w:type="dxa"/>
              <w:bottom w:w="25" w:type="dxa"/>
              <w:left w:w="45" w:type="dxa"/>
              <w:right w:w="45" w:type="dxa"/>
            </w:tcMar>
          </w:tcPr>
          <w:p>
            <w:r>
              <w:rPr>
                <w:sz w:val="16"/>
              </w:rPr>
              <w:t>NO DATA (Unmeasured)</w:t>
            </w:r>
          </w:p>
        </w:tc>
        <w:tc>
          <w:tcPr>
            <w:tcW w:type="dxa" w:w="2365"/>
            <w:tcMar>
              <w:top w:w="25" w:type="dxa"/>
              <w:bottom w:w="25" w:type="dxa"/>
              <w:left w:w="45" w:type="dxa"/>
              <w:right w:w="45" w:type="dxa"/>
            </w:tcMar>
          </w:tcPr>
          <w:p>
            <w:r>
              <w:rPr>
                <w:sz w:val="16"/>
              </w:rPr>
              <w:t>Evaluated via short-circuit impedance (%Z dev: -0.076%)</w:t>
            </w:r>
          </w:p>
        </w:tc>
        <w:tc>
          <w:tcPr>
            <w:tcW w:type="dxa" w:w="2365"/>
            <w:tcMar>
              <w:top w:w="25" w:type="dxa"/>
              <w:bottom w:w="25" w:type="dxa"/>
              <w:left w:w="45" w:type="dxa"/>
              <w:right w:w="45" w:type="dxa"/>
            </w:tcMar>
          </w:tcPr>
          <w:p>
            <w:r>
              <w:rPr>
                <w:sz w:val="16"/>
              </w:rPr>
              <w:t>Conduct baseline SFRA during 2029 planned outage</w:t>
            </w:r>
          </w:p>
        </w:tc>
      </w:tr>
      <w:tr>
        <w:tc>
          <w:tcPr>
            <w:tcW w:type="dxa" w:w="2365"/>
            <w:tcMar>
              <w:top w:w="25" w:type="dxa"/>
              <w:bottom w:w="25" w:type="dxa"/>
              <w:left w:w="45" w:type="dxa"/>
              <w:right w:w="45" w:type="dxa"/>
            </w:tcMar>
          </w:tcPr>
          <w:p>
            <w:r>
              <w:rPr>
                <w:sz w:val="16"/>
              </w:rPr>
              <w:t>Bushing Swept Frequency (15-400Hz)</w:t>
            </w:r>
          </w:p>
        </w:tc>
        <w:tc>
          <w:tcPr>
            <w:tcW w:type="dxa" w:w="2365"/>
            <w:shd w:fill="FEF9C3"/>
            <w:tcMar>
              <w:top w:w="25" w:type="dxa"/>
              <w:bottom w:w="25" w:type="dxa"/>
              <w:left w:w="45" w:type="dxa"/>
              <w:right w:w="45" w:type="dxa"/>
            </w:tcMar>
          </w:tcPr>
          <w:p>
            <w:r>
              <w:rPr>
                <w:sz w:val="16"/>
              </w:rPr>
              <w:t>NO DATA (Unmeasured)</w:t>
            </w:r>
          </w:p>
        </w:tc>
        <w:tc>
          <w:tcPr>
            <w:tcW w:type="dxa" w:w="2365"/>
            <w:tcMar>
              <w:top w:w="25" w:type="dxa"/>
              <w:bottom w:w="25" w:type="dxa"/>
              <w:left w:w="45" w:type="dxa"/>
              <w:right w:w="45" w:type="dxa"/>
            </w:tcMar>
          </w:tcPr>
          <w:p>
            <w:r>
              <w:rPr>
                <w:sz w:val="16"/>
              </w:rPr>
              <w:t>Evaluated via standard 10 kV UST testing (C1 and PF)</w:t>
            </w:r>
          </w:p>
        </w:tc>
        <w:tc>
          <w:tcPr>
            <w:tcW w:type="dxa" w:w="2365"/>
            <w:tcMar>
              <w:top w:w="25" w:type="dxa"/>
              <w:bottom w:w="25" w:type="dxa"/>
              <w:left w:w="45" w:type="dxa"/>
              <w:right w:w="45" w:type="dxa"/>
            </w:tcMar>
          </w:tcPr>
          <w:p>
            <w:r>
              <w:rPr>
                <w:sz w:val="16"/>
              </w:rPr>
              <w:t>Include dielectric frequency sweep in next bushing PM</w:t>
            </w:r>
          </w:p>
        </w:tc>
      </w:tr>
      <w:tr>
        <w:tc>
          <w:tcPr>
            <w:tcW w:type="dxa" w:w="2365"/>
            <w:tcMar>
              <w:top w:w="25" w:type="dxa"/>
              <w:bottom w:w="25" w:type="dxa"/>
              <w:left w:w="45" w:type="dxa"/>
              <w:right w:w="45" w:type="dxa"/>
            </w:tcMar>
          </w:tcPr>
          <w:p>
            <w:r>
              <w:rPr>
                <w:sz w:val="16"/>
              </w:rPr>
              <w:t>Online Partial Discharge (PD)</w:t>
            </w:r>
          </w:p>
        </w:tc>
        <w:tc>
          <w:tcPr>
            <w:tcW w:type="dxa" w:w="2365"/>
            <w:shd w:fill="FEF9C3"/>
            <w:tcMar>
              <w:top w:w="25" w:type="dxa"/>
              <w:bottom w:w="25" w:type="dxa"/>
              <w:left w:w="45" w:type="dxa"/>
              <w:right w:w="45" w:type="dxa"/>
            </w:tcMar>
          </w:tcPr>
          <w:p>
            <w:r>
              <w:rPr>
                <w:sz w:val="16"/>
              </w:rPr>
              <w:t>NO DATA (Unmeasured)</w:t>
            </w:r>
          </w:p>
        </w:tc>
        <w:tc>
          <w:tcPr>
            <w:tcW w:type="dxa" w:w="2365"/>
            <w:tcMar>
              <w:top w:w="25" w:type="dxa"/>
              <w:bottom w:w="25" w:type="dxa"/>
              <w:left w:w="45" w:type="dxa"/>
              <w:right w:w="45" w:type="dxa"/>
            </w:tcMar>
          </w:tcPr>
          <w:p>
            <w:r>
              <w:rPr>
                <w:sz w:val="16"/>
              </w:rPr>
              <w:t>Evaluated via DGA fault gases (C2H2 = 0.0 ppm, H2 = 10 ppm)</w:t>
            </w:r>
          </w:p>
        </w:tc>
        <w:tc>
          <w:tcPr>
            <w:tcW w:type="dxa" w:w="2365"/>
            <w:tcMar>
              <w:top w:w="25" w:type="dxa"/>
              <w:bottom w:w="25" w:type="dxa"/>
              <w:left w:w="45" w:type="dxa"/>
              <w:right w:w="45" w:type="dxa"/>
            </w:tcMar>
          </w:tcPr>
          <w:p>
            <w:r>
              <w:rPr>
                <w:sz w:val="16"/>
              </w:rPr>
              <w:t>Consider acoustic/HFCT survey if CO exceeds 1,400 ppm</w:t>
            </w:r>
          </w:p>
        </w:tc>
      </w:tr>
    </w:tbl>
    <w:p>
      <w:pPr>
        <w:keepNext/>
        <w:spacing w:before="200" w:after="60"/>
      </w:pPr>
      <w:r>
        <w:rPr>
          <w:rFonts w:ascii="Arial" w:hAnsi="Arial"/>
          <w:b/>
          <w:color w:val="2563EB"/>
          <w:sz w:val="22"/>
        </w:rPr>
        <w:t>7.1 Technical Asset Action Plan</w:t>
      </w:r>
    </w:p>
    <w:p>
      <w:pPr>
        <w:spacing w:before="0" w:after="80" w:line="276" w:lineRule="auto"/>
      </w:pPr>
      <w:r>
        <w:rPr>
          <w:rFonts w:ascii="Calibri" w:hAnsi="Calibri"/>
          <w:i w:val="0"/>
          <w:color w:val="1E293B"/>
          <w:sz w:val="20"/>
        </w:rPr>
        <w:t>1. Routine Preventive Maintenance: Continue the 3-year preventive maintenance interval. Next comprehensive outage test: Q2 / 2029.</w:t>
        <w:br/>
        <w:t>2. Main Tank DGA Surveillance: Continue annual sampling. Establish an engineering review threshold at CO &gt; 1,400 ppm.</w:t>
        <w:br/>
        <w:t>3. Thermography: Perform semi-annual infrared thermography on all HV bushing connections, neutral grounding terminals, and surge arrester disconnectors during peak operational loading.</w:t>
        <w:br/>
        <w:t>4. OLTC Maintenance: Log cumulative operations towards the 150,000 operation boundary. Plan internal contact inspection for 2029.</w:t>
      </w:r>
    </w:p>
    <w:p>
      <w:pPr>
        <w:keepNext/>
        <w:spacing w:before="280" w:after="80"/>
      </w:pPr>
      <w:r>
        <w:rPr>
          <w:rFonts w:ascii="Arial" w:hAnsi="Arial"/>
          <w:b/>
          <w:color w:val="1B365D"/>
          <w:sz w:val="26"/>
        </w:rPr>
        <w:t>8. REFERENCES</w:t>
      </w:r>
    </w:p>
    <w:p>
      <w:pPr>
        <w:spacing w:after="40" w:line="264" w:lineRule="auto"/>
      </w:pPr>
      <w:r>
        <w:rPr>
          <w:rFonts w:ascii="Calibri" w:hAnsi="Calibri"/>
          <w:color w:val="334155"/>
          <w:sz w:val="17"/>
        </w:rPr>
        <w:t>[1] M. R. M. Castillo, J. B. A. London and N. G. Bretas, 'An approach to power system branch parameter estimation,' 2008 IEEE Canada Electric Power Conference, 2008.</w:t>
      </w:r>
    </w:p>
    <w:p>
      <w:pPr>
        <w:spacing w:after="40" w:line="264" w:lineRule="auto"/>
      </w:pPr>
      <w:r>
        <w:rPr>
          <w:rFonts w:ascii="Calibri" w:hAnsi="Calibri"/>
          <w:color w:val="334155"/>
          <w:sz w:val="17"/>
        </w:rPr>
        <w:t>[2] A. Jahromi, R. Piercy, S. Cress, J. Service and W. Fan, 'An approach to power transformer asset management using health index,' IEEE Electrical Insulation Magazine, vol. 25, no. 2, 2009.</w:t>
      </w:r>
    </w:p>
    <w:p>
      <w:pPr>
        <w:spacing w:after="40" w:line="264" w:lineRule="auto"/>
      </w:pPr>
      <w:r>
        <w:rPr>
          <w:rFonts w:ascii="Calibri" w:hAnsi="Calibri"/>
          <w:color w:val="334155"/>
          <w:sz w:val="17"/>
        </w:rPr>
        <w:t>[3] L. E. Lundgaard, K. B. Liland, D. Linhjell, et al., 'Transformer Windings Ageing, diagnosis and asset management,' SINTEF Energy Research, 2015.</w:t>
      </w:r>
    </w:p>
    <w:p>
      <w:pPr>
        <w:spacing w:after="40" w:line="264" w:lineRule="auto"/>
      </w:pPr>
      <w:r>
        <w:rPr>
          <w:rFonts w:ascii="Calibri" w:hAnsi="Calibri"/>
          <w:color w:val="334155"/>
          <w:sz w:val="17"/>
        </w:rPr>
        <w:t>[4] CIGRE Technical Brochure 494, 'Furanic Compounds for Diagnosis,' 2012.</w:t>
      </w:r>
    </w:p>
    <w:p>
      <w:pPr>
        <w:spacing w:after="40" w:line="264" w:lineRule="auto"/>
      </w:pPr>
      <w:r>
        <w:rPr>
          <w:rFonts w:ascii="Calibri" w:hAnsi="Calibri"/>
          <w:color w:val="334155"/>
          <w:sz w:val="17"/>
        </w:rPr>
        <w:t>[5] IEEE Std C57.152-2013, 'IEEE Guide for Diagnostic Field Testing of Fluid-Filled Power Transformers, Regulators, and Reactors.'</w:t>
      </w:r>
    </w:p>
    <w:p>
      <w:pPr>
        <w:spacing w:after="40" w:line="264" w:lineRule="auto"/>
      </w:pPr>
      <w:r>
        <w:rPr>
          <w:rFonts w:ascii="Calibri" w:hAnsi="Calibri"/>
          <w:color w:val="334155"/>
          <w:sz w:val="17"/>
        </w:rPr>
        <w:t>[6] CIGRE Technical Brochure 962, 'Guide for Transformer Maintenance,' 2025 Edition.</w:t>
      </w:r>
    </w:p>
    <w:p>
      <w:pPr>
        <w:spacing w:after="40" w:line="264" w:lineRule="auto"/>
      </w:pPr>
      <w:r>
        <w:rPr>
          <w:rFonts w:ascii="Calibri" w:hAnsi="Calibri"/>
          <w:color w:val="334155"/>
          <w:sz w:val="17"/>
        </w:rPr>
        <w:t>[7] OMICRON, 'SFRA and Mechanical Testing on Power Transformers: Theory and Field Experience,' 2022.</w:t>
      </w:r>
    </w:p>
    <w:p>
      <w:pPr>
        <w:spacing w:after="40" w:line="264" w:lineRule="auto"/>
      </w:pPr>
      <w:r>
        <w:rPr>
          <w:rFonts w:ascii="Calibri" w:hAnsi="Calibri"/>
          <w:color w:val="334155"/>
          <w:sz w:val="17"/>
        </w:rPr>
        <w:t>[8] Gabriel, Tanasescu, Dragomir, et al., 'Assessment of Power Transformers Conditions Based on Health Index,' 2012.</w:t>
      </w:r>
    </w:p>
    <w:p>
      <w:pPr>
        <w:spacing w:after="40" w:line="264" w:lineRule="auto"/>
      </w:pPr>
      <w:r>
        <w:rPr>
          <w:rFonts w:ascii="Calibri" w:hAnsi="Calibri"/>
          <w:color w:val="334155"/>
          <w:sz w:val="17"/>
        </w:rPr>
        <w:t>[9] CIGRE Technical Brochure 414, 'Dielectric Response Diagnoses for Transformer Windings,' Working Group D1.01, 2010.</w:t>
      </w:r>
    </w:p>
    <w:p>
      <w:pPr>
        <w:spacing w:after="40" w:line="264" w:lineRule="auto"/>
      </w:pPr>
      <w:r>
        <w:rPr>
          <w:rFonts w:ascii="Calibri" w:hAnsi="Calibri"/>
          <w:color w:val="334155"/>
          <w:sz w:val="17"/>
        </w:rPr>
        <w:t>[10] IEC Publication 60599:2022, 'Mineral oil-impregnated electrical equipment in service - Guide to the interpretation of dissolved and free gases analysis.'</w:t>
      </w:r>
    </w:p>
    <w:p>
      <w:pPr>
        <w:spacing w:after="40" w:line="264" w:lineRule="auto"/>
      </w:pPr>
      <w:r>
        <w:rPr>
          <w:rFonts w:ascii="Calibri" w:hAnsi="Calibri"/>
          <w:color w:val="334155"/>
          <w:sz w:val="17"/>
        </w:rPr>
        <w:t>[11] IEEE Std C57.104-2019, 'IEEE Guide for the Interpretation of Gases Generated in Mineral Oil-Immersed Transformers.'</w:t>
      </w:r>
    </w:p>
    <w:p>
      <w:pPr>
        <w:spacing w:after="40" w:line="264" w:lineRule="auto"/>
      </w:pPr>
      <w:r>
        <w:rPr>
          <w:rFonts w:ascii="Calibri" w:hAnsi="Calibri"/>
          <w:color w:val="334155"/>
          <w:sz w:val="17"/>
        </w:rPr>
        <w:t>[12] CIGRE Technical Brochure 445, 'Guide for Transformer Maintenance,' Working Group A2.34, 2011.</w:t>
      </w:r>
    </w:p>
    <w:p>
      <w:pPr>
        <w:spacing w:after="40" w:line="264" w:lineRule="auto"/>
      </w:pPr>
      <w:r>
        <w:rPr>
          <w:rFonts w:ascii="Calibri" w:hAnsi="Calibri"/>
          <w:color w:val="334155"/>
          <w:sz w:val="17"/>
        </w:rPr>
        <w:t>[13] IEEE Std C57.12.200-2022, 'IEEE Guide for the Dielectric Frequency Response Measurement of Bushings.'</w:t>
      </w:r>
    </w:p>
    <w:p>
      <w:pPr>
        <w:spacing w:after="40" w:line="264" w:lineRule="auto"/>
      </w:pPr>
      <w:r>
        <w:rPr>
          <w:rFonts w:ascii="Calibri" w:hAnsi="Calibri"/>
          <w:color w:val="334155"/>
          <w:sz w:val="17"/>
        </w:rPr>
        <w:t>[14] D. Robalino, P. Werelius, and I. Güner, 'Effective insulation condition assessment of HV and EHV bushings,' CIGRE Session 2022.</w:t>
      </w:r>
    </w:p>
    <w:p>
      <w:pPr>
        <w:spacing w:after="40" w:line="264" w:lineRule="auto"/>
      </w:pPr>
      <w:r>
        <w:rPr>
          <w:rFonts w:ascii="Calibri" w:hAnsi="Calibri"/>
          <w:color w:val="334155"/>
          <w:sz w:val="17"/>
        </w:rPr>
        <w:t>[15] IEC 60422:2013, 'Mineral insulating oils in electrical equipment - Supervision and maintenance guidance.'</w:t>
      </w:r>
    </w:p>
    <w:p>
      <w:pPr>
        <w:spacing w:after="40" w:line="264" w:lineRule="auto"/>
      </w:pPr>
      <w:r>
        <w:rPr>
          <w:rFonts w:ascii="Calibri" w:hAnsi="Calibri"/>
          <w:color w:val="334155"/>
          <w:sz w:val="17"/>
        </w:rPr>
        <w:t>[16] IEC 60076-7:2018, 'Power transformers - Part 7: Loading guide for mineral-oil-immersed power transformers.'</w:t>
      </w:r>
    </w:p>
    <w:p>
      <w:pPr>
        <w:spacing w:after="40" w:line="264" w:lineRule="auto"/>
      </w:pPr>
      <w:r>
        <w:rPr>
          <w:rFonts w:ascii="Calibri" w:hAnsi="Calibri"/>
          <w:color w:val="334155"/>
          <w:sz w:val="17"/>
        </w:rPr>
        <w:t>[17] L. E. Lundgaard, W. Hansen, D. Linhjell, and T. J. Painter, 'Aging of oil-impregnated paper in power transformers,' IEEE Trans. Dielectr. Electr. Insul., 2004.</w:t>
      </w:r>
    </w:p>
    <w:p>
      <w:pPr>
        <w:spacing w:after="40" w:line="264" w:lineRule="auto"/>
      </w:pPr>
      <w:r>
        <w:rPr>
          <w:rFonts w:ascii="Calibri" w:hAnsi="Calibri"/>
          <w:color w:val="334155"/>
          <w:sz w:val="17"/>
        </w:rPr>
        <w:t>[18] L. E. Lundgaard et al., 'TR A7099 Transformer Windings - Ageing, Diagnostics, and Asset Management,' SINTEF, 2013.</w:t>
      </w:r>
    </w:p>
    <w:p>
      <w:pPr>
        <w:spacing w:after="40" w:line="264" w:lineRule="auto"/>
      </w:pPr>
      <w:r>
        <w:rPr>
          <w:rFonts w:ascii="Calibri" w:hAnsi="Calibri"/>
          <w:color w:val="334155"/>
          <w:sz w:val="17"/>
        </w:rPr>
        <w:t>[19] US Bureau of Reclamation, 'FIST 3-31: Transformer Diagnostics,' 2003.</w:t>
      </w:r>
    </w:p>
    <w:p>
      <w:pPr>
        <w:spacing w:after="40" w:line="264" w:lineRule="auto"/>
      </w:pPr>
      <w:r>
        <w:rPr>
          <w:rFonts w:ascii="Calibri" w:hAnsi="Calibri"/>
          <w:color w:val="334155"/>
          <w:sz w:val="17"/>
        </w:rPr>
        <w:t>[20] CIGRE Technical Brochure 349, 'Moisture Equilibrium and Moisture Migration Within Transformer Insulation Systems,' 2008.</w:t>
      </w:r>
    </w:p>
    <w:p>
      <w:r>
        <w:br w:type="page"/>
      </w:r>
    </w:p>
    <w:p>
      <w:pPr>
        <w:keepNext/>
        <w:spacing w:before="280" w:after="80"/>
      </w:pPr>
      <w:r>
        <w:rPr>
          <w:rFonts w:ascii="Arial" w:hAnsi="Arial"/>
          <w:b/>
          <w:color w:val="1B365D"/>
          <w:sz w:val="26"/>
        </w:rPr>
        <w:t>ANNEX A: ELECTRICAL DIAGNOSTIC FIELD TEST RECORDS (ACTUAL DATA)</w:t>
      </w:r>
    </w:p>
    <w:p>
      <w:pPr>
        <w:keepNext/>
        <w:spacing w:before="200" w:after="60"/>
      </w:pPr>
      <w:r>
        <w:rPr>
          <w:rFonts w:ascii="Arial" w:hAnsi="Arial"/>
          <w:b/>
          <w:color w:val="2563EB"/>
          <w:sz w:val="22"/>
        </w:rPr>
        <w:t>A.1 Insulation Resistance &amp; Polarization Index (IR/PI) - 2026-05-31</w:t>
      </w:r>
    </w:p>
    <w:p>
      <w:pPr>
        <w:spacing w:before="0" w:after="80" w:line="276" w:lineRule="auto"/>
      </w:pPr>
      <w:r>
        <w:rPr>
          <w:rFonts w:ascii="Calibri" w:hAnsi="Calibri"/>
          <w:i w:val="0"/>
          <w:color w:val="1E293B"/>
          <w:sz w:val="20"/>
        </w:rPr>
        <w:t>Primary Winding to Ground (Tested at 5,000 Vdc with Megger S1-1068):</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860"/>
        <w:gridCol w:w="860"/>
        <w:gridCol w:w="860"/>
        <w:gridCol w:w="860"/>
        <w:gridCol w:w="860"/>
        <w:gridCol w:w="860"/>
        <w:gridCol w:w="860"/>
        <w:gridCol w:w="860"/>
        <w:gridCol w:w="860"/>
        <w:gridCol w:w="860"/>
        <w:gridCol w:w="860"/>
      </w:tblGrid>
      <w:tr>
        <w:tc>
          <w:tcPr>
            <w:tcW w:type="dxa" w:w="860"/>
            <w:shd w:fill="1B365D"/>
          </w:tcPr>
          <w:p>
            <w:r>
              <w:rPr>
                <w:b/>
                <w:color w:val="FFFFFF"/>
                <w:sz w:val="15"/>
              </w:rPr>
              <w:t>Min 1</w:t>
            </w:r>
          </w:p>
        </w:tc>
        <w:tc>
          <w:tcPr>
            <w:tcW w:type="dxa" w:w="860"/>
            <w:shd w:fill="1B365D"/>
          </w:tcPr>
          <w:p>
            <w:r>
              <w:rPr>
                <w:b/>
                <w:color w:val="FFFFFF"/>
                <w:sz w:val="15"/>
              </w:rPr>
              <w:t>Min 2</w:t>
            </w:r>
          </w:p>
        </w:tc>
        <w:tc>
          <w:tcPr>
            <w:tcW w:type="dxa" w:w="860"/>
            <w:shd w:fill="1B365D"/>
          </w:tcPr>
          <w:p>
            <w:r>
              <w:rPr>
                <w:b/>
                <w:color w:val="FFFFFF"/>
                <w:sz w:val="15"/>
              </w:rPr>
              <w:t>Min 3</w:t>
            </w:r>
          </w:p>
        </w:tc>
        <w:tc>
          <w:tcPr>
            <w:tcW w:type="dxa" w:w="860"/>
            <w:shd w:fill="1B365D"/>
          </w:tcPr>
          <w:p>
            <w:r>
              <w:rPr>
                <w:b/>
                <w:color w:val="FFFFFF"/>
                <w:sz w:val="15"/>
              </w:rPr>
              <w:t>Min 4</w:t>
            </w:r>
          </w:p>
        </w:tc>
        <w:tc>
          <w:tcPr>
            <w:tcW w:type="dxa" w:w="860"/>
            <w:shd w:fill="1B365D"/>
          </w:tcPr>
          <w:p>
            <w:r>
              <w:rPr>
                <w:b/>
                <w:color w:val="FFFFFF"/>
                <w:sz w:val="15"/>
              </w:rPr>
              <w:t>Min 5</w:t>
            </w:r>
          </w:p>
        </w:tc>
        <w:tc>
          <w:tcPr>
            <w:tcW w:type="dxa" w:w="860"/>
            <w:shd w:fill="1B365D"/>
          </w:tcPr>
          <w:p>
            <w:r>
              <w:rPr>
                <w:b/>
                <w:color w:val="FFFFFF"/>
                <w:sz w:val="15"/>
              </w:rPr>
              <w:t>Min 6</w:t>
            </w:r>
          </w:p>
        </w:tc>
        <w:tc>
          <w:tcPr>
            <w:tcW w:type="dxa" w:w="860"/>
            <w:shd w:fill="1B365D"/>
          </w:tcPr>
          <w:p>
            <w:r>
              <w:rPr>
                <w:b/>
                <w:color w:val="FFFFFF"/>
                <w:sz w:val="15"/>
              </w:rPr>
              <w:t>Min 7</w:t>
            </w:r>
          </w:p>
        </w:tc>
        <w:tc>
          <w:tcPr>
            <w:tcW w:type="dxa" w:w="860"/>
            <w:shd w:fill="1B365D"/>
          </w:tcPr>
          <w:p>
            <w:r>
              <w:rPr>
                <w:b/>
                <w:color w:val="FFFFFF"/>
                <w:sz w:val="15"/>
              </w:rPr>
              <w:t>Min 8</w:t>
            </w:r>
          </w:p>
        </w:tc>
        <w:tc>
          <w:tcPr>
            <w:tcW w:type="dxa" w:w="860"/>
            <w:shd w:fill="1B365D"/>
          </w:tcPr>
          <w:p>
            <w:r>
              <w:rPr>
                <w:b/>
                <w:color w:val="FFFFFF"/>
                <w:sz w:val="15"/>
              </w:rPr>
              <w:t>Min 9</w:t>
            </w:r>
          </w:p>
        </w:tc>
        <w:tc>
          <w:tcPr>
            <w:tcW w:type="dxa" w:w="860"/>
            <w:shd w:fill="1B365D"/>
          </w:tcPr>
          <w:p>
            <w:r>
              <w:rPr>
                <w:b/>
                <w:color w:val="FFFFFF"/>
                <w:sz w:val="15"/>
              </w:rPr>
              <w:t>Min 10</w:t>
            </w:r>
          </w:p>
        </w:tc>
        <w:tc>
          <w:tcPr>
            <w:tcW w:type="dxa" w:w="860"/>
            <w:shd w:fill="1B365D"/>
          </w:tcPr>
          <w:p>
            <w:r>
              <w:rPr>
                <w:b/>
                <w:color w:val="FFFFFF"/>
                <w:sz w:val="15"/>
              </w:rPr>
              <w:t>PI</w:t>
            </w:r>
          </w:p>
        </w:tc>
      </w:tr>
      <w:tr>
        <w:tc>
          <w:tcPr>
            <w:tcW w:type="dxa" w:w="860"/>
          </w:tcPr>
          <w:p>
            <w:r>
              <w:rPr>
                <w:sz w:val="15"/>
              </w:rPr>
              <w:t>16,570</w:t>
            </w:r>
          </w:p>
        </w:tc>
        <w:tc>
          <w:tcPr>
            <w:tcW w:type="dxa" w:w="860"/>
          </w:tcPr>
          <w:p>
            <w:r>
              <w:rPr>
                <w:sz w:val="15"/>
              </w:rPr>
              <w:t>17,990</w:t>
            </w:r>
          </w:p>
        </w:tc>
        <w:tc>
          <w:tcPr>
            <w:tcW w:type="dxa" w:w="860"/>
          </w:tcPr>
          <w:p>
            <w:r>
              <w:rPr>
                <w:sz w:val="15"/>
              </w:rPr>
              <w:t>19,040</w:t>
            </w:r>
          </w:p>
        </w:tc>
        <w:tc>
          <w:tcPr>
            <w:tcW w:type="dxa" w:w="860"/>
          </w:tcPr>
          <w:p>
            <w:r>
              <w:rPr>
                <w:sz w:val="15"/>
              </w:rPr>
              <w:t>20,100</w:t>
            </w:r>
          </w:p>
        </w:tc>
        <w:tc>
          <w:tcPr>
            <w:tcW w:type="dxa" w:w="860"/>
          </w:tcPr>
          <w:p>
            <w:r>
              <w:rPr>
                <w:sz w:val="15"/>
              </w:rPr>
              <w:t>21,500</w:t>
            </w:r>
          </w:p>
        </w:tc>
        <w:tc>
          <w:tcPr>
            <w:tcW w:type="dxa" w:w="860"/>
          </w:tcPr>
          <w:p>
            <w:r>
              <w:rPr>
                <w:sz w:val="15"/>
              </w:rPr>
              <w:t>21,900</w:t>
            </w:r>
          </w:p>
        </w:tc>
        <w:tc>
          <w:tcPr>
            <w:tcW w:type="dxa" w:w="860"/>
          </w:tcPr>
          <w:p>
            <w:r>
              <w:rPr>
                <w:sz w:val="15"/>
              </w:rPr>
              <w:t>22,800</w:t>
            </w:r>
          </w:p>
        </w:tc>
        <w:tc>
          <w:tcPr>
            <w:tcW w:type="dxa" w:w="860"/>
          </w:tcPr>
          <w:p>
            <w:r>
              <w:rPr>
                <w:sz w:val="15"/>
              </w:rPr>
              <w:t>23,700</w:t>
            </w:r>
          </w:p>
        </w:tc>
        <w:tc>
          <w:tcPr>
            <w:tcW w:type="dxa" w:w="860"/>
          </w:tcPr>
          <w:p>
            <w:r>
              <w:rPr>
                <w:sz w:val="15"/>
              </w:rPr>
              <w:t>24,410</w:t>
            </w:r>
          </w:p>
        </w:tc>
        <w:tc>
          <w:tcPr>
            <w:tcW w:type="dxa" w:w="860"/>
          </w:tcPr>
          <w:p>
            <w:r>
              <w:rPr>
                <w:sz w:val="15"/>
              </w:rPr>
              <w:t>24,700</w:t>
            </w:r>
          </w:p>
        </w:tc>
        <w:tc>
          <w:tcPr>
            <w:tcW w:type="dxa" w:w="860"/>
            <w:shd w:fill="DCFCE7"/>
          </w:tcPr>
          <w:p>
            <w:r>
              <w:rPr>
                <w:sz w:val="15"/>
              </w:rPr>
              <w:t>1.49</w:t>
            </w:r>
          </w:p>
        </w:tc>
      </w:tr>
    </w:tbl>
    <w:p>
      <w:pPr>
        <w:spacing w:before="0" w:after="80" w:line="276" w:lineRule="auto"/>
      </w:pPr>
      <w:r>
        <w:rPr>
          <w:rFonts w:ascii="Calibri" w:hAnsi="Calibri"/>
          <w:i w:val="0"/>
          <w:color w:val="1E293B"/>
          <w:sz w:val="20"/>
        </w:rPr>
        <w:t>Secondary Winding to Ground (Tested at 2,500 Vdc with Megger S1-1068):</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860"/>
        <w:gridCol w:w="860"/>
        <w:gridCol w:w="860"/>
        <w:gridCol w:w="860"/>
        <w:gridCol w:w="860"/>
        <w:gridCol w:w="860"/>
        <w:gridCol w:w="860"/>
        <w:gridCol w:w="860"/>
        <w:gridCol w:w="860"/>
        <w:gridCol w:w="860"/>
        <w:gridCol w:w="860"/>
      </w:tblGrid>
      <w:tr>
        <w:tc>
          <w:tcPr>
            <w:tcW w:type="dxa" w:w="860"/>
            <w:shd w:fill="1B365D"/>
          </w:tcPr>
          <w:p>
            <w:r>
              <w:rPr>
                <w:b/>
                <w:color w:val="FFFFFF"/>
                <w:sz w:val="15"/>
              </w:rPr>
              <w:t>Min 1</w:t>
            </w:r>
          </w:p>
        </w:tc>
        <w:tc>
          <w:tcPr>
            <w:tcW w:type="dxa" w:w="860"/>
            <w:shd w:fill="1B365D"/>
          </w:tcPr>
          <w:p>
            <w:r>
              <w:rPr>
                <w:b/>
                <w:color w:val="FFFFFF"/>
                <w:sz w:val="15"/>
              </w:rPr>
              <w:t>Min 2</w:t>
            </w:r>
          </w:p>
        </w:tc>
        <w:tc>
          <w:tcPr>
            <w:tcW w:type="dxa" w:w="860"/>
            <w:shd w:fill="1B365D"/>
          </w:tcPr>
          <w:p>
            <w:r>
              <w:rPr>
                <w:b/>
                <w:color w:val="FFFFFF"/>
                <w:sz w:val="15"/>
              </w:rPr>
              <w:t>Min 3</w:t>
            </w:r>
          </w:p>
        </w:tc>
        <w:tc>
          <w:tcPr>
            <w:tcW w:type="dxa" w:w="860"/>
            <w:shd w:fill="1B365D"/>
          </w:tcPr>
          <w:p>
            <w:r>
              <w:rPr>
                <w:b/>
                <w:color w:val="FFFFFF"/>
                <w:sz w:val="15"/>
              </w:rPr>
              <w:t>Min 4</w:t>
            </w:r>
          </w:p>
        </w:tc>
        <w:tc>
          <w:tcPr>
            <w:tcW w:type="dxa" w:w="860"/>
            <w:shd w:fill="1B365D"/>
          </w:tcPr>
          <w:p>
            <w:r>
              <w:rPr>
                <w:b/>
                <w:color w:val="FFFFFF"/>
                <w:sz w:val="15"/>
              </w:rPr>
              <w:t>Min 5</w:t>
            </w:r>
          </w:p>
        </w:tc>
        <w:tc>
          <w:tcPr>
            <w:tcW w:type="dxa" w:w="860"/>
            <w:shd w:fill="1B365D"/>
          </w:tcPr>
          <w:p>
            <w:r>
              <w:rPr>
                <w:b/>
                <w:color w:val="FFFFFF"/>
                <w:sz w:val="15"/>
              </w:rPr>
              <w:t>Min 6</w:t>
            </w:r>
          </w:p>
        </w:tc>
        <w:tc>
          <w:tcPr>
            <w:tcW w:type="dxa" w:w="860"/>
            <w:shd w:fill="1B365D"/>
          </w:tcPr>
          <w:p>
            <w:r>
              <w:rPr>
                <w:b/>
                <w:color w:val="FFFFFF"/>
                <w:sz w:val="15"/>
              </w:rPr>
              <w:t>Min 7</w:t>
            </w:r>
          </w:p>
        </w:tc>
        <w:tc>
          <w:tcPr>
            <w:tcW w:type="dxa" w:w="860"/>
            <w:shd w:fill="1B365D"/>
          </w:tcPr>
          <w:p>
            <w:r>
              <w:rPr>
                <w:b/>
                <w:color w:val="FFFFFF"/>
                <w:sz w:val="15"/>
              </w:rPr>
              <w:t>Min 8</w:t>
            </w:r>
          </w:p>
        </w:tc>
        <w:tc>
          <w:tcPr>
            <w:tcW w:type="dxa" w:w="860"/>
            <w:shd w:fill="1B365D"/>
          </w:tcPr>
          <w:p>
            <w:r>
              <w:rPr>
                <w:b/>
                <w:color w:val="FFFFFF"/>
                <w:sz w:val="15"/>
              </w:rPr>
              <w:t>Min 9</w:t>
            </w:r>
          </w:p>
        </w:tc>
        <w:tc>
          <w:tcPr>
            <w:tcW w:type="dxa" w:w="860"/>
            <w:shd w:fill="1B365D"/>
          </w:tcPr>
          <w:p>
            <w:r>
              <w:rPr>
                <w:b/>
                <w:color w:val="FFFFFF"/>
                <w:sz w:val="15"/>
              </w:rPr>
              <w:t>Min 10</w:t>
            </w:r>
          </w:p>
        </w:tc>
        <w:tc>
          <w:tcPr>
            <w:tcW w:type="dxa" w:w="860"/>
            <w:shd w:fill="1B365D"/>
          </w:tcPr>
          <w:p>
            <w:r>
              <w:rPr>
                <w:b/>
                <w:color w:val="FFFFFF"/>
                <w:sz w:val="15"/>
              </w:rPr>
              <w:t>PI</w:t>
            </w:r>
          </w:p>
        </w:tc>
      </w:tr>
      <w:tr>
        <w:tc>
          <w:tcPr>
            <w:tcW w:type="dxa" w:w="860"/>
          </w:tcPr>
          <w:p>
            <w:r>
              <w:rPr>
                <w:sz w:val="15"/>
              </w:rPr>
              <w:t>10,160</w:t>
            </w:r>
          </w:p>
        </w:tc>
        <w:tc>
          <w:tcPr>
            <w:tcW w:type="dxa" w:w="860"/>
          </w:tcPr>
          <w:p>
            <w:r>
              <w:rPr>
                <w:sz w:val="15"/>
              </w:rPr>
              <w:t>12,160</w:t>
            </w:r>
          </w:p>
        </w:tc>
        <w:tc>
          <w:tcPr>
            <w:tcW w:type="dxa" w:w="860"/>
          </w:tcPr>
          <w:p>
            <w:r>
              <w:rPr>
                <w:sz w:val="15"/>
              </w:rPr>
              <w:t>13,650</w:t>
            </w:r>
          </w:p>
        </w:tc>
        <w:tc>
          <w:tcPr>
            <w:tcW w:type="dxa" w:w="860"/>
          </w:tcPr>
          <w:p>
            <w:r>
              <w:rPr>
                <w:sz w:val="15"/>
              </w:rPr>
              <w:t>14,880</w:t>
            </w:r>
          </w:p>
        </w:tc>
        <w:tc>
          <w:tcPr>
            <w:tcW w:type="dxa" w:w="860"/>
          </w:tcPr>
          <w:p>
            <w:r>
              <w:rPr>
                <w:sz w:val="15"/>
              </w:rPr>
              <w:t>16,080</w:t>
            </w:r>
          </w:p>
        </w:tc>
        <w:tc>
          <w:tcPr>
            <w:tcW w:type="dxa" w:w="860"/>
          </w:tcPr>
          <w:p>
            <w:r>
              <w:rPr>
                <w:sz w:val="15"/>
              </w:rPr>
              <w:t>17,120</w:t>
            </w:r>
          </w:p>
        </w:tc>
        <w:tc>
          <w:tcPr>
            <w:tcW w:type="dxa" w:w="860"/>
          </w:tcPr>
          <w:p>
            <w:r>
              <w:rPr>
                <w:sz w:val="15"/>
              </w:rPr>
              <w:t>18,300</w:t>
            </w:r>
          </w:p>
        </w:tc>
        <w:tc>
          <w:tcPr>
            <w:tcW w:type="dxa" w:w="860"/>
          </w:tcPr>
          <w:p>
            <w:r>
              <w:rPr>
                <w:sz w:val="15"/>
              </w:rPr>
              <w:t>19,090</w:t>
            </w:r>
          </w:p>
        </w:tc>
        <w:tc>
          <w:tcPr>
            <w:tcW w:type="dxa" w:w="860"/>
          </w:tcPr>
          <w:p>
            <w:r>
              <w:rPr>
                <w:sz w:val="15"/>
              </w:rPr>
              <w:t>20,000</w:t>
            </w:r>
          </w:p>
        </w:tc>
        <w:tc>
          <w:tcPr>
            <w:tcW w:type="dxa" w:w="860"/>
          </w:tcPr>
          <w:p>
            <w:r>
              <w:rPr>
                <w:sz w:val="15"/>
              </w:rPr>
              <w:t>20,800</w:t>
            </w:r>
          </w:p>
        </w:tc>
        <w:tc>
          <w:tcPr>
            <w:tcW w:type="dxa" w:w="860"/>
            <w:shd w:fill="DCFCE7"/>
          </w:tcPr>
          <w:p>
            <w:r>
              <w:rPr>
                <w:sz w:val="15"/>
              </w:rPr>
              <w:t>2.05</w:t>
            </w:r>
          </w:p>
        </w:tc>
      </w:tr>
    </w:tbl>
    <w:p>
      <w:pPr>
        <w:keepNext/>
        <w:spacing w:before="200" w:after="60"/>
      </w:pPr>
      <w:r>
        <w:rPr>
          <w:rFonts w:ascii="Arial" w:hAnsi="Arial"/>
          <w:b/>
          <w:color w:val="2563EB"/>
          <w:sz w:val="22"/>
        </w:rPr>
        <w:t>A.2 Voltage Ratio &amp; Polarity Test Records (Actual Measured Taps)</w:t>
      </w:r>
    </w:p>
    <w:p>
      <w:pPr>
        <w:spacing w:before="0" w:after="80" w:line="276" w:lineRule="auto"/>
      </w:pPr>
      <w:r>
        <w:rPr>
          <w:rFonts w:ascii="Calibri" w:hAnsi="Calibri"/>
          <w:i w:val="0"/>
          <w:color w:val="1E293B"/>
          <w:sz w:val="20"/>
        </w:rPr>
        <w:t>Tested on 2026-05-26 with OMICRON TESTRANO 600. Routine PM protocol measures Tap 1 (Max), Tap 6 (Center), and Tap 11 (Min):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183"/>
        <w:gridCol w:w="1183"/>
        <w:gridCol w:w="1183"/>
        <w:gridCol w:w="1183"/>
        <w:gridCol w:w="1183"/>
        <w:gridCol w:w="1183"/>
        <w:gridCol w:w="1183"/>
        <w:gridCol w:w="1183"/>
      </w:tblGrid>
      <w:tr>
        <w:tc>
          <w:tcPr>
            <w:tcW w:type="dxa" w:w="1183"/>
            <w:shd w:fill="1B365D"/>
          </w:tcPr>
          <w:p>
            <w:r>
              <w:rPr>
                <w:b/>
                <w:color w:val="FFFFFF"/>
                <w:sz w:val="15"/>
              </w:rPr>
              <w:t>Tap Position</w:t>
            </w:r>
          </w:p>
        </w:tc>
        <w:tc>
          <w:tcPr>
            <w:tcW w:type="dxa" w:w="1183"/>
            <w:shd w:fill="1B365D"/>
          </w:tcPr>
          <w:p>
            <w:r>
              <w:rPr>
                <w:b/>
                <w:color w:val="FFFFFF"/>
                <w:sz w:val="15"/>
              </w:rPr>
              <w:t>HV Rated (V)</w:t>
            </w:r>
          </w:p>
        </w:tc>
        <w:tc>
          <w:tcPr>
            <w:tcW w:type="dxa" w:w="1183"/>
            <w:shd w:fill="1B365D"/>
          </w:tcPr>
          <w:p>
            <w:r>
              <w:rPr>
                <w:b/>
                <w:color w:val="FFFFFF"/>
                <w:sz w:val="15"/>
              </w:rPr>
              <w:t>LV Rated (V)</w:t>
            </w:r>
          </w:p>
        </w:tc>
        <w:tc>
          <w:tcPr>
            <w:tcW w:type="dxa" w:w="1183"/>
            <w:shd w:fill="1B365D"/>
          </w:tcPr>
          <w:p>
            <w:r>
              <w:rPr>
                <w:b/>
                <w:color w:val="FFFFFF"/>
                <w:sz w:val="15"/>
              </w:rPr>
              <w:t>Calculated Ratio</w:t>
            </w:r>
          </w:p>
        </w:tc>
        <w:tc>
          <w:tcPr>
            <w:tcW w:type="dxa" w:w="1183"/>
            <w:shd w:fill="1B365D"/>
          </w:tcPr>
          <w:p>
            <w:r>
              <w:rPr>
                <w:b/>
                <w:color w:val="FFFFFF"/>
                <w:sz w:val="15"/>
              </w:rPr>
              <w:t>H1:X1 Ratio</w:t>
            </w:r>
          </w:p>
        </w:tc>
        <w:tc>
          <w:tcPr>
            <w:tcW w:type="dxa" w:w="1183"/>
            <w:shd w:fill="1B365D"/>
          </w:tcPr>
          <w:p>
            <w:r>
              <w:rPr>
                <w:b/>
                <w:color w:val="FFFFFF"/>
                <w:sz w:val="15"/>
              </w:rPr>
              <w:t>% Error</w:t>
            </w:r>
          </w:p>
        </w:tc>
        <w:tc>
          <w:tcPr>
            <w:tcW w:type="dxa" w:w="1183"/>
            <w:shd w:fill="1B365D"/>
          </w:tcPr>
          <w:p>
            <w:r>
              <w:rPr>
                <w:b/>
                <w:color w:val="FFFFFF"/>
                <w:sz w:val="15"/>
              </w:rPr>
              <w:t>H2:X2 Ratio</w:t>
            </w:r>
          </w:p>
        </w:tc>
        <w:tc>
          <w:tcPr>
            <w:tcW w:type="dxa" w:w="1183"/>
            <w:shd w:fill="1B365D"/>
          </w:tcPr>
          <w:p>
            <w:r>
              <w:rPr>
                <w:b/>
                <w:color w:val="FFFFFF"/>
                <w:sz w:val="15"/>
              </w:rPr>
              <w:t>H3:X3 Ratio</w:t>
            </w:r>
          </w:p>
        </w:tc>
      </w:tr>
      <w:tr>
        <w:tc>
          <w:tcPr>
            <w:tcW w:type="dxa" w:w="1183"/>
            <w:tcMar>
              <w:top w:w="20" w:type="dxa"/>
              <w:bottom w:w="20" w:type="dxa"/>
              <w:left w:w="35" w:type="dxa"/>
              <w:right w:w="35" w:type="dxa"/>
            </w:tcMar>
          </w:tcPr>
          <w:p>
            <w:r>
              <w:rPr>
                <w:sz w:val="15"/>
              </w:rPr>
              <w:t>Tap 1 (Max)</w:t>
            </w:r>
          </w:p>
        </w:tc>
        <w:tc>
          <w:tcPr>
            <w:tcW w:type="dxa" w:w="1183"/>
            <w:tcMar>
              <w:top w:w="20" w:type="dxa"/>
              <w:bottom w:w="20" w:type="dxa"/>
              <w:left w:w="35" w:type="dxa"/>
              <w:right w:w="35" w:type="dxa"/>
            </w:tcMar>
          </w:tcPr>
          <w:p>
            <w:r>
              <w:rPr>
                <w:sz w:val="15"/>
              </w:rPr>
              <w:t>120,750 V</w:t>
            </w:r>
          </w:p>
        </w:tc>
        <w:tc>
          <w:tcPr>
            <w:tcW w:type="dxa" w:w="1183"/>
            <w:tcMar>
              <w:top w:w="20" w:type="dxa"/>
              <w:bottom w:w="20" w:type="dxa"/>
              <w:left w:w="35" w:type="dxa"/>
              <w:right w:w="35" w:type="dxa"/>
            </w:tcMar>
          </w:tcPr>
          <w:p>
            <w:r>
              <w:rPr>
                <w:sz w:val="15"/>
              </w:rPr>
              <w:t>22,000 V</w:t>
            </w:r>
          </w:p>
        </w:tc>
        <w:tc>
          <w:tcPr>
            <w:tcW w:type="dxa" w:w="1183"/>
            <w:tcMar>
              <w:top w:w="20" w:type="dxa"/>
              <w:bottom w:w="20" w:type="dxa"/>
              <w:left w:w="35" w:type="dxa"/>
              <w:right w:w="35" w:type="dxa"/>
            </w:tcMar>
          </w:tcPr>
          <w:p>
            <w:r>
              <w:rPr>
                <w:sz w:val="15"/>
              </w:rPr>
              <w:t>9.506</w:t>
            </w:r>
          </w:p>
        </w:tc>
        <w:tc>
          <w:tcPr>
            <w:tcW w:type="dxa" w:w="1183"/>
            <w:tcMar>
              <w:top w:w="20" w:type="dxa"/>
              <w:bottom w:w="20" w:type="dxa"/>
              <w:left w:w="35" w:type="dxa"/>
              <w:right w:w="35" w:type="dxa"/>
            </w:tcMar>
          </w:tcPr>
          <w:p>
            <w:r>
              <w:rPr>
                <w:sz w:val="15"/>
              </w:rPr>
              <w:t>9.483</w:t>
            </w:r>
          </w:p>
        </w:tc>
        <w:tc>
          <w:tcPr>
            <w:tcW w:type="dxa" w:w="1183"/>
            <w:tcMar>
              <w:top w:w="20" w:type="dxa"/>
              <w:bottom w:w="20" w:type="dxa"/>
              <w:left w:w="35" w:type="dxa"/>
              <w:right w:w="35" w:type="dxa"/>
            </w:tcMar>
          </w:tcPr>
          <w:p>
            <w:r>
              <w:rPr>
                <w:sz w:val="15"/>
              </w:rPr>
              <w:t>0.24%</w:t>
            </w:r>
          </w:p>
        </w:tc>
        <w:tc>
          <w:tcPr>
            <w:tcW w:type="dxa" w:w="1183"/>
            <w:tcMar>
              <w:top w:w="20" w:type="dxa"/>
              <w:bottom w:w="20" w:type="dxa"/>
              <w:left w:w="35" w:type="dxa"/>
              <w:right w:w="35" w:type="dxa"/>
            </w:tcMar>
          </w:tcPr>
          <w:p>
            <w:r>
              <w:rPr>
                <w:sz w:val="15"/>
              </w:rPr>
              <w:t>9.482 (0.25%)</w:t>
            </w:r>
          </w:p>
        </w:tc>
        <w:tc>
          <w:tcPr>
            <w:tcW w:type="dxa" w:w="1183"/>
            <w:tcMar>
              <w:top w:w="20" w:type="dxa"/>
              <w:bottom w:w="20" w:type="dxa"/>
              <w:left w:w="35" w:type="dxa"/>
              <w:right w:w="35" w:type="dxa"/>
            </w:tcMar>
          </w:tcPr>
          <w:p>
            <w:r>
              <w:rPr>
                <w:sz w:val="15"/>
              </w:rPr>
              <w:t>9.482 (0.25%)</w:t>
            </w:r>
          </w:p>
        </w:tc>
      </w:tr>
      <w:tr>
        <w:tc>
          <w:tcPr>
            <w:tcW w:type="dxa" w:w="1183"/>
            <w:tcMar>
              <w:top w:w="20" w:type="dxa"/>
              <w:bottom w:w="20" w:type="dxa"/>
              <w:left w:w="35" w:type="dxa"/>
              <w:right w:w="35" w:type="dxa"/>
            </w:tcMar>
          </w:tcPr>
          <w:p>
            <w:r>
              <w:rPr>
                <w:sz w:val="15"/>
              </w:rPr>
              <w:t>Tap 6 (Center)</w:t>
            </w:r>
          </w:p>
        </w:tc>
        <w:tc>
          <w:tcPr>
            <w:tcW w:type="dxa" w:w="1183"/>
            <w:tcMar>
              <w:top w:w="20" w:type="dxa"/>
              <w:bottom w:w="20" w:type="dxa"/>
              <w:left w:w="35" w:type="dxa"/>
              <w:right w:w="35" w:type="dxa"/>
            </w:tcMar>
          </w:tcPr>
          <w:p>
            <w:r>
              <w:rPr>
                <w:sz w:val="15"/>
              </w:rPr>
              <w:t>115,000 V</w:t>
            </w:r>
          </w:p>
        </w:tc>
        <w:tc>
          <w:tcPr>
            <w:tcW w:type="dxa" w:w="1183"/>
            <w:tcMar>
              <w:top w:w="20" w:type="dxa"/>
              <w:bottom w:w="20" w:type="dxa"/>
              <w:left w:w="35" w:type="dxa"/>
              <w:right w:w="35" w:type="dxa"/>
            </w:tcMar>
          </w:tcPr>
          <w:p>
            <w:r>
              <w:rPr>
                <w:sz w:val="15"/>
              </w:rPr>
              <w:t>22,000 V</w:t>
            </w:r>
          </w:p>
        </w:tc>
        <w:tc>
          <w:tcPr>
            <w:tcW w:type="dxa" w:w="1183"/>
            <w:tcMar>
              <w:top w:w="20" w:type="dxa"/>
              <w:bottom w:w="20" w:type="dxa"/>
              <w:left w:w="35" w:type="dxa"/>
              <w:right w:w="35" w:type="dxa"/>
            </w:tcMar>
          </w:tcPr>
          <w:p>
            <w:r>
              <w:rPr>
                <w:sz w:val="15"/>
              </w:rPr>
              <w:t>9.054</w:t>
            </w:r>
          </w:p>
        </w:tc>
        <w:tc>
          <w:tcPr>
            <w:tcW w:type="dxa" w:w="1183"/>
            <w:tcMar>
              <w:top w:w="20" w:type="dxa"/>
              <w:bottom w:w="20" w:type="dxa"/>
              <w:left w:w="35" w:type="dxa"/>
              <w:right w:w="35" w:type="dxa"/>
            </w:tcMar>
          </w:tcPr>
          <w:p>
            <w:r>
              <w:rPr>
                <w:sz w:val="15"/>
              </w:rPr>
              <w:t>9.036</w:t>
            </w:r>
          </w:p>
        </w:tc>
        <w:tc>
          <w:tcPr>
            <w:tcW w:type="dxa" w:w="1183"/>
            <w:tcMar>
              <w:top w:w="20" w:type="dxa"/>
              <w:bottom w:w="20" w:type="dxa"/>
              <w:left w:w="35" w:type="dxa"/>
              <w:right w:w="35" w:type="dxa"/>
            </w:tcMar>
          </w:tcPr>
          <w:p>
            <w:r>
              <w:rPr>
                <w:sz w:val="15"/>
              </w:rPr>
              <w:t>0.01%</w:t>
            </w:r>
          </w:p>
        </w:tc>
        <w:tc>
          <w:tcPr>
            <w:tcW w:type="dxa" w:w="1183"/>
            <w:tcMar>
              <w:top w:w="20" w:type="dxa"/>
              <w:bottom w:w="20" w:type="dxa"/>
              <w:left w:w="35" w:type="dxa"/>
              <w:right w:w="35" w:type="dxa"/>
            </w:tcMar>
          </w:tcPr>
          <w:p>
            <w:r>
              <w:rPr>
                <w:sz w:val="15"/>
              </w:rPr>
              <w:t>9.035 (0.02%)</w:t>
            </w:r>
          </w:p>
        </w:tc>
        <w:tc>
          <w:tcPr>
            <w:tcW w:type="dxa" w:w="1183"/>
            <w:tcMar>
              <w:top w:w="20" w:type="dxa"/>
              <w:bottom w:w="20" w:type="dxa"/>
              <w:left w:w="35" w:type="dxa"/>
              <w:right w:w="35" w:type="dxa"/>
            </w:tcMar>
          </w:tcPr>
          <w:p>
            <w:r>
              <w:rPr>
                <w:sz w:val="15"/>
              </w:rPr>
              <w:t>9.035 (0.02%)</w:t>
            </w:r>
          </w:p>
        </w:tc>
      </w:tr>
      <w:tr>
        <w:tc>
          <w:tcPr>
            <w:tcW w:type="dxa" w:w="1183"/>
            <w:tcMar>
              <w:top w:w="20" w:type="dxa"/>
              <w:bottom w:w="20" w:type="dxa"/>
              <w:left w:w="35" w:type="dxa"/>
              <w:right w:w="35" w:type="dxa"/>
            </w:tcMar>
          </w:tcPr>
          <w:p>
            <w:r>
              <w:rPr>
                <w:sz w:val="15"/>
              </w:rPr>
              <w:t>Tap 11 (Min)</w:t>
            </w:r>
          </w:p>
        </w:tc>
        <w:tc>
          <w:tcPr>
            <w:tcW w:type="dxa" w:w="1183"/>
            <w:tcMar>
              <w:top w:w="20" w:type="dxa"/>
              <w:bottom w:w="20" w:type="dxa"/>
              <w:left w:w="35" w:type="dxa"/>
              <w:right w:w="35" w:type="dxa"/>
            </w:tcMar>
          </w:tcPr>
          <w:p>
            <w:r>
              <w:rPr>
                <w:sz w:val="15"/>
              </w:rPr>
              <w:t>109,250 V</w:t>
            </w:r>
          </w:p>
        </w:tc>
        <w:tc>
          <w:tcPr>
            <w:tcW w:type="dxa" w:w="1183"/>
            <w:tcMar>
              <w:top w:w="20" w:type="dxa"/>
              <w:bottom w:w="20" w:type="dxa"/>
              <w:left w:w="35" w:type="dxa"/>
              <w:right w:w="35" w:type="dxa"/>
            </w:tcMar>
          </w:tcPr>
          <w:p>
            <w:r>
              <w:rPr>
                <w:sz w:val="15"/>
              </w:rPr>
              <w:t>22,000 V</w:t>
            </w:r>
          </w:p>
        </w:tc>
        <w:tc>
          <w:tcPr>
            <w:tcW w:type="dxa" w:w="1183"/>
            <w:tcMar>
              <w:top w:w="20" w:type="dxa"/>
              <w:bottom w:w="20" w:type="dxa"/>
              <w:left w:w="35" w:type="dxa"/>
              <w:right w:w="35" w:type="dxa"/>
            </w:tcMar>
          </w:tcPr>
          <w:p>
            <w:r>
              <w:rPr>
                <w:sz w:val="15"/>
              </w:rPr>
              <w:t>8.601</w:t>
            </w:r>
          </w:p>
        </w:tc>
        <w:tc>
          <w:tcPr>
            <w:tcW w:type="dxa" w:w="1183"/>
            <w:tcMar>
              <w:top w:w="20" w:type="dxa"/>
              <w:bottom w:w="20" w:type="dxa"/>
              <w:left w:w="35" w:type="dxa"/>
              <w:right w:w="35" w:type="dxa"/>
            </w:tcMar>
          </w:tcPr>
          <w:p>
            <w:r>
              <w:rPr>
                <w:sz w:val="15"/>
              </w:rPr>
              <w:t>8.588</w:t>
            </w:r>
          </w:p>
        </w:tc>
        <w:tc>
          <w:tcPr>
            <w:tcW w:type="dxa" w:w="1183"/>
            <w:tcMar>
              <w:top w:w="20" w:type="dxa"/>
              <w:bottom w:w="20" w:type="dxa"/>
              <w:left w:w="35" w:type="dxa"/>
              <w:right w:w="35" w:type="dxa"/>
            </w:tcMar>
          </w:tcPr>
          <w:p>
            <w:r>
              <w:rPr>
                <w:sz w:val="15"/>
              </w:rPr>
              <w:t>0.01%</w:t>
            </w:r>
          </w:p>
        </w:tc>
        <w:tc>
          <w:tcPr>
            <w:tcW w:type="dxa" w:w="1183"/>
            <w:tcMar>
              <w:top w:w="20" w:type="dxa"/>
              <w:bottom w:w="20" w:type="dxa"/>
              <w:left w:w="35" w:type="dxa"/>
              <w:right w:w="35" w:type="dxa"/>
            </w:tcMar>
          </w:tcPr>
          <w:p>
            <w:r>
              <w:rPr>
                <w:sz w:val="15"/>
              </w:rPr>
              <w:t>8.588 (0.01%)</w:t>
            </w:r>
          </w:p>
        </w:tc>
        <w:tc>
          <w:tcPr>
            <w:tcW w:type="dxa" w:w="1183"/>
            <w:tcMar>
              <w:top w:w="20" w:type="dxa"/>
              <w:bottom w:w="20" w:type="dxa"/>
              <w:left w:w="35" w:type="dxa"/>
              <w:right w:w="35" w:type="dxa"/>
            </w:tcMar>
          </w:tcPr>
          <w:p>
            <w:r>
              <w:rPr>
                <w:sz w:val="15"/>
              </w:rPr>
              <w:t>8.587 (0.02%)</w:t>
            </w:r>
          </w:p>
        </w:tc>
      </w:tr>
    </w:tbl>
    <w:p>
      <w:pPr>
        <w:keepNext/>
        <w:spacing w:before="200" w:after="60"/>
      </w:pPr>
      <w:r>
        <w:rPr>
          <w:rFonts w:ascii="Arial" w:hAnsi="Arial"/>
          <w:b/>
          <w:color w:val="2563EB"/>
          <w:sz w:val="22"/>
        </w:rPr>
        <w:t>A.3 DC Winding Resistance Test Records (Actual Measured Taps)</w:t>
      </w:r>
    </w:p>
    <w:p>
      <w:pPr>
        <w:spacing w:before="0" w:after="80" w:line="276" w:lineRule="auto"/>
      </w:pPr>
      <w:r>
        <w:rPr>
          <w:rFonts w:ascii="Calibri" w:hAnsi="Calibri"/>
          <w:i w:val="0"/>
          <w:color w:val="1E293B"/>
          <w:sz w:val="20"/>
        </w:rPr>
        <w:t>Tested on 2026-05-26 at 40°C winding temperature (Corrected to 75°C per IEEE C57.152):</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77"/>
        <w:gridCol w:w="1577"/>
        <w:gridCol w:w="1577"/>
        <w:gridCol w:w="1577"/>
        <w:gridCol w:w="1577"/>
        <w:gridCol w:w="1577"/>
      </w:tblGrid>
      <w:tr>
        <w:tc>
          <w:tcPr>
            <w:tcW w:type="dxa" w:w="1577"/>
            <w:shd w:fill="1B365D"/>
          </w:tcPr>
          <w:p>
            <w:r>
              <w:rPr>
                <w:b/>
                <w:color w:val="FFFFFF"/>
                <w:sz w:val="15"/>
              </w:rPr>
              <w:t>Winding / Tap</w:t>
            </w:r>
          </w:p>
        </w:tc>
        <w:tc>
          <w:tcPr>
            <w:tcW w:type="dxa" w:w="1577"/>
            <w:shd w:fill="1B365D"/>
          </w:tcPr>
          <w:p>
            <w:r>
              <w:rPr>
                <w:b/>
                <w:color w:val="FFFFFF"/>
                <w:sz w:val="15"/>
              </w:rPr>
              <w:t>Phase 1 (mΩ)</w:t>
            </w:r>
          </w:p>
        </w:tc>
        <w:tc>
          <w:tcPr>
            <w:tcW w:type="dxa" w:w="1577"/>
            <w:shd w:fill="1B365D"/>
          </w:tcPr>
          <w:p>
            <w:r>
              <w:rPr>
                <w:b/>
                <w:color w:val="FFFFFF"/>
                <w:sz w:val="15"/>
              </w:rPr>
              <w:t>Phase 2 (mΩ)</w:t>
            </w:r>
          </w:p>
        </w:tc>
        <w:tc>
          <w:tcPr>
            <w:tcW w:type="dxa" w:w="1577"/>
            <w:shd w:fill="1B365D"/>
          </w:tcPr>
          <w:p>
            <w:r>
              <w:rPr>
                <w:b/>
                <w:color w:val="FFFFFF"/>
                <w:sz w:val="15"/>
              </w:rPr>
              <w:t>Phase 3 (mΩ)</w:t>
            </w:r>
          </w:p>
        </w:tc>
        <w:tc>
          <w:tcPr>
            <w:tcW w:type="dxa" w:w="1577"/>
            <w:shd w:fill="1B365D"/>
          </w:tcPr>
          <w:p>
            <w:r>
              <w:rPr>
                <w:b/>
                <w:color w:val="FFFFFF"/>
                <w:sz w:val="15"/>
              </w:rPr>
              <w:t>Max Phase Dev. (%)</w:t>
            </w:r>
          </w:p>
        </w:tc>
        <w:tc>
          <w:tcPr>
            <w:tcW w:type="dxa" w:w="1577"/>
            <w:shd w:fill="1B365D"/>
          </w:tcPr>
          <w:p>
            <w:r>
              <w:rPr>
                <w:b/>
                <w:color w:val="FFFFFF"/>
                <w:sz w:val="15"/>
              </w:rPr>
              <w:t>Limit per IEEE</w:t>
            </w:r>
          </w:p>
        </w:tc>
      </w:tr>
      <w:tr>
        <w:tc>
          <w:tcPr>
            <w:tcW w:type="dxa" w:w="1577"/>
            <w:tcMar>
              <w:top w:w="20" w:type="dxa"/>
              <w:bottom w:w="20" w:type="dxa"/>
              <w:left w:w="40" w:type="dxa"/>
              <w:right w:w="40" w:type="dxa"/>
            </w:tcMar>
          </w:tcPr>
          <w:p>
            <w:r>
              <w:rPr>
                <w:sz w:val="15"/>
              </w:rPr>
              <w:t>HV Tap 1 (Max)</w:t>
            </w:r>
          </w:p>
        </w:tc>
        <w:tc>
          <w:tcPr>
            <w:tcW w:type="dxa" w:w="1577"/>
            <w:tcMar>
              <w:top w:w="20" w:type="dxa"/>
              <w:bottom w:w="20" w:type="dxa"/>
              <w:left w:w="40" w:type="dxa"/>
              <w:right w:w="40" w:type="dxa"/>
            </w:tcMar>
          </w:tcPr>
          <w:p>
            <w:r>
              <w:rPr>
                <w:sz w:val="15"/>
              </w:rPr>
              <w:t>1170.35</w:t>
            </w:r>
          </w:p>
        </w:tc>
        <w:tc>
          <w:tcPr>
            <w:tcW w:type="dxa" w:w="1577"/>
            <w:tcMar>
              <w:top w:w="20" w:type="dxa"/>
              <w:bottom w:w="20" w:type="dxa"/>
              <w:left w:w="40" w:type="dxa"/>
              <w:right w:w="40" w:type="dxa"/>
            </w:tcMar>
          </w:tcPr>
          <w:p>
            <w:r>
              <w:rPr>
                <w:sz w:val="15"/>
              </w:rPr>
              <w:t>1169.22</w:t>
            </w:r>
          </w:p>
        </w:tc>
        <w:tc>
          <w:tcPr>
            <w:tcW w:type="dxa" w:w="1577"/>
            <w:tcMar>
              <w:top w:w="20" w:type="dxa"/>
              <w:bottom w:w="20" w:type="dxa"/>
              <w:left w:w="40" w:type="dxa"/>
              <w:right w:w="40" w:type="dxa"/>
            </w:tcMar>
          </w:tcPr>
          <w:p>
            <w:r>
              <w:rPr>
                <w:sz w:val="15"/>
              </w:rPr>
              <w:t>1163.58</w:t>
            </w:r>
          </w:p>
        </w:tc>
        <w:tc>
          <w:tcPr>
            <w:tcW w:type="dxa" w:w="1577"/>
            <w:tcMar>
              <w:top w:w="20" w:type="dxa"/>
              <w:bottom w:w="20" w:type="dxa"/>
              <w:left w:w="40" w:type="dxa"/>
              <w:right w:w="40" w:type="dxa"/>
            </w:tcMar>
          </w:tcPr>
          <w:p>
            <w:r>
              <w:rPr>
                <w:sz w:val="15"/>
              </w:rPr>
              <w:t>0.58%</w:t>
            </w:r>
          </w:p>
        </w:tc>
        <w:tc>
          <w:tcPr>
            <w:tcW w:type="dxa" w:w="1577"/>
            <w:shd w:fill="DCFCE7"/>
            <w:tcMar>
              <w:top w:w="20" w:type="dxa"/>
              <w:bottom w:w="20" w:type="dxa"/>
              <w:left w:w="40" w:type="dxa"/>
              <w:right w:w="40" w:type="dxa"/>
            </w:tcMar>
          </w:tcPr>
          <w:p>
            <w:r>
              <w:rPr>
                <w:sz w:val="15"/>
              </w:rPr>
              <w:t>&lt; 2.0% (Pass)</w:t>
            </w:r>
          </w:p>
        </w:tc>
      </w:tr>
      <w:tr>
        <w:tc>
          <w:tcPr>
            <w:tcW w:type="dxa" w:w="1577"/>
            <w:tcMar>
              <w:top w:w="20" w:type="dxa"/>
              <w:bottom w:w="20" w:type="dxa"/>
              <w:left w:w="40" w:type="dxa"/>
              <w:right w:w="40" w:type="dxa"/>
            </w:tcMar>
          </w:tcPr>
          <w:p>
            <w:r>
              <w:rPr>
                <w:sz w:val="15"/>
              </w:rPr>
              <w:t>HV Tap 6 (Center)</w:t>
            </w:r>
          </w:p>
        </w:tc>
        <w:tc>
          <w:tcPr>
            <w:tcW w:type="dxa" w:w="1577"/>
            <w:tcMar>
              <w:top w:w="20" w:type="dxa"/>
              <w:bottom w:w="20" w:type="dxa"/>
              <w:left w:w="40" w:type="dxa"/>
              <w:right w:w="40" w:type="dxa"/>
            </w:tcMar>
          </w:tcPr>
          <w:p>
            <w:r>
              <w:rPr>
                <w:sz w:val="15"/>
              </w:rPr>
              <w:t>1111.46</w:t>
            </w:r>
          </w:p>
        </w:tc>
        <w:tc>
          <w:tcPr>
            <w:tcW w:type="dxa" w:w="1577"/>
            <w:tcMar>
              <w:top w:w="20" w:type="dxa"/>
              <w:bottom w:w="20" w:type="dxa"/>
              <w:left w:w="40" w:type="dxa"/>
              <w:right w:w="40" w:type="dxa"/>
            </w:tcMar>
          </w:tcPr>
          <w:p>
            <w:r>
              <w:rPr>
                <w:sz w:val="15"/>
              </w:rPr>
              <w:t>1101.82</w:t>
            </w:r>
          </w:p>
        </w:tc>
        <w:tc>
          <w:tcPr>
            <w:tcW w:type="dxa" w:w="1577"/>
            <w:tcMar>
              <w:top w:w="20" w:type="dxa"/>
              <w:bottom w:w="20" w:type="dxa"/>
              <w:left w:w="40" w:type="dxa"/>
              <w:right w:w="40" w:type="dxa"/>
            </w:tcMar>
          </w:tcPr>
          <w:p>
            <w:r>
              <w:rPr>
                <w:sz w:val="15"/>
              </w:rPr>
              <w:t>1096.68</w:t>
            </w:r>
          </w:p>
        </w:tc>
        <w:tc>
          <w:tcPr>
            <w:tcW w:type="dxa" w:w="1577"/>
            <w:tcMar>
              <w:top w:w="20" w:type="dxa"/>
              <w:bottom w:w="20" w:type="dxa"/>
              <w:left w:w="40" w:type="dxa"/>
              <w:right w:w="40" w:type="dxa"/>
            </w:tcMar>
          </w:tcPr>
          <w:p>
            <w:r>
              <w:rPr>
                <w:sz w:val="15"/>
              </w:rPr>
              <w:t>1.35%</w:t>
            </w:r>
          </w:p>
        </w:tc>
        <w:tc>
          <w:tcPr>
            <w:tcW w:type="dxa" w:w="1577"/>
            <w:shd w:fill="DCFCE7"/>
            <w:tcMar>
              <w:top w:w="20" w:type="dxa"/>
              <w:bottom w:w="20" w:type="dxa"/>
              <w:left w:w="40" w:type="dxa"/>
              <w:right w:w="40" w:type="dxa"/>
            </w:tcMar>
          </w:tcPr>
          <w:p>
            <w:r>
              <w:rPr>
                <w:sz w:val="15"/>
              </w:rPr>
              <w:t>&lt; 2.0% (Pass)</w:t>
            </w:r>
          </w:p>
        </w:tc>
      </w:tr>
      <w:tr>
        <w:tc>
          <w:tcPr>
            <w:tcW w:type="dxa" w:w="1577"/>
            <w:tcMar>
              <w:top w:w="20" w:type="dxa"/>
              <w:bottom w:w="20" w:type="dxa"/>
              <w:left w:w="40" w:type="dxa"/>
              <w:right w:w="40" w:type="dxa"/>
            </w:tcMar>
          </w:tcPr>
          <w:p>
            <w:r>
              <w:rPr>
                <w:sz w:val="15"/>
              </w:rPr>
              <w:t>HV Tap 11 (Min)</w:t>
            </w:r>
          </w:p>
        </w:tc>
        <w:tc>
          <w:tcPr>
            <w:tcW w:type="dxa" w:w="1577"/>
            <w:tcMar>
              <w:top w:w="20" w:type="dxa"/>
              <w:bottom w:w="20" w:type="dxa"/>
              <w:left w:w="40" w:type="dxa"/>
              <w:right w:w="40" w:type="dxa"/>
            </w:tcMar>
          </w:tcPr>
          <w:p>
            <w:r>
              <w:rPr>
                <w:sz w:val="15"/>
              </w:rPr>
              <w:t>1095.62</w:t>
            </w:r>
          </w:p>
        </w:tc>
        <w:tc>
          <w:tcPr>
            <w:tcW w:type="dxa" w:w="1577"/>
            <w:tcMar>
              <w:top w:w="20" w:type="dxa"/>
              <w:bottom w:w="20" w:type="dxa"/>
              <w:left w:w="40" w:type="dxa"/>
              <w:right w:w="40" w:type="dxa"/>
            </w:tcMar>
          </w:tcPr>
          <w:p>
            <w:r>
              <w:rPr>
                <w:sz w:val="15"/>
              </w:rPr>
              <w:t>1089.24</w:t>
            </w:r>
          </w:p>
        </w:tc>
        <w:tc>
          <w:tcPr>
            <w:tcW w:type="dxa" w:w="1577"/>
            <w:tcMar>
              <w:top w:w="20" w:type="dxa"/>
              <w:bottom w:w="20" w:type="dxa"/>
              <w:left w:w="40" w:type="dxa"/>
              <w:right w:w="40" w:type="dxa"/>
            </w:tcMar>
          </w:tcPr>
          <w:p>
            <w:r>
              <w:rPr>
                <w:sz w:val="15"/>
              </w:rPr>
              <w:t>1089.21</w:t>
            </w:r>
          </w:p>
        </w:tc>
        <w:tc>
          <w:tcPr>
            <w:tcW w:type="dxa" w:w="1577"/>
            <w:tcMar>
              <w:top w:w="20" w:type="dxa"/>
              <w:bottom w:w="20" w:type="dxa"/>
              <w:left w:w="40" w:type="dxa"/>
              <w:right w:w="40" w:type="dxa"/>
            </w:tcMar>
          </w:tcPr>
          <w:p>
            <w:r>
              <w:rPr>
                <w:sz w:val="15"/>
              </w:rPr>
              <w:t>0.59%</w:t>
            </w:r>
          </w:p>
        </w:tc>
        <w:tc>
          <w:tcPr>
            <w:tcW w:type="dxa" w:w="1577"/>
            <w:shd w:fill="DCFCE7"/>
            <w:tcMar>
              <w:top w:w="20" w:type="dxa"/>
              <w:bottom w:w="20" w:type="dxa"/>
              <w:left w:w="40" w:type="dxa"/>
              <w:right w:w="40" w:type="dxa"/>
            </w:tcMar>
          </w:tcPr>
          <w:p>
            <w:r>
              <w:rPr>
                <w:sz w:val="15"/>
              </w:rPr>
              <w:t>&lt; 2.0% (Pass)</w:t>
            </w:r>
          </w:p>
        </w:tc>
      </w:tr>
      <w:tr>
        <w:tc>
          <w:tcPr>
            <w:tcW w:type="dxa" w:w="1577"/>
            <w:tcMar>
              <w:top w:w="20" w:type="dxa"/>
              <w:bottom w:w="20" w:type="dxa"/>
              <w:left w:w="40" w:type="dxa"/>
              <w:right w:w="40" w:type="dxa"/>
            </w:tcMar>
          </w:tcPr>
          <w:p>
            <w:r>
              <w:rPr>
                <w:sz w:val="15"/>
              </w:rPr>
              <w:t>LV Winding (X1, X2, X3)</w:t>
            </w:r>
          </w:p>
        </w:tc>
        <w:tc>
          <w:tcPr>
            <w:tcW w:type="dxa" w:w="1577"/>
            <w:tcMar>
              <w:top w:w="20" w:type="dxa"/>
              <w:bottom w:w="20" w:type="dxa"/>
              <w:left w:w="40" w:type="dxa"/>
              <w:right w:w="40" w:type="dxa"/>
            </w:tcMar>
          </w:tcPr>
          <w:p>
            <w:r>
              <w:rPr>
                <w:sz w:val="15"/>
              </w:rPr>
              <w:t>15.04</w:t>
            </w:r>
          </w:p>
        </w:tc>
        <w:tc>
          <w:tcPr>
            <w:tcW w:type="dxa" w:w="1577"/>
            <w:tcMar>
              <w:top w:w="20" w:type="dxa"/>
              <w:bottom w:w="20" w:type="dxa"/>
              <w:left w:w="40" w:type="dxa"/>
              <w:right w:w="40" w:type="dxa"/>
            </w:tcMar>
          </w:tcPr>
          <w:p>
            <w:r>
              <w:rPr>
                <w:sz w:val="15"/>
              </w:rPr>
              <w:t>14.88</w:t>
            </w:r>
          </w:p>
        </w:tc>
        <w:tc>
          <w:tcPr>
            <w:tcW w:type="dxa" w:w="1577"/>
            <w:tcMar>
              <w:top w:w="20" w:type="dxa"/>
              <w:bottom w:w="20" w:type="dxa"/>
              <w:left w:w="40" w:type="dxa"/>
              <w:right w:w="40" w:type="dxa"/>
            </w:tcMar>
          </w:tcPr>
          <w:p>
            <w:r>
              <w:rPr>
                <w:sz w:val="15"/>
              </w:rPr>
              <w:t>15.11</w:t>
            </w:r>
          </w:p>
        </w:tc>
        <w:tc>
          <w:tcPr>
            <w:tcW w:type="dxa" w:w="1577"/>
            <w:tcMar>
              <w:top w:w="20" w:type="dxa"/>
              <w:bottom w:w="20" w:type="dxa"/>
              <w:left w:w="40" w:type="dxa"/>
              <w:right w:w="40" w:type="dxa"/>
            </w:tcMar>
          </w:tcPr>
          <w:p>
            <w:r>
              <w:rPr>
                <w:sz w:val="15"/>
              </w:rPr>
              <w:t>1.55%</w:t>
            </w:r>
          </w:p>
        </w:tc>
        <w:tc>
          <w:tcPr>
            <w:tcW w:type="dxa" w:w="1577"/>
            <w:shd w:fill="DCFCE7"/>
            <w:tcMar>
              <w:top w:w="20" w:type="dxa"/>
              <w:bottom w:w="20" w:type="dxa"/>
              <w:left w:w="40" w:type="dxa"/>
              <w:right w:w="40" w:type="dxa"/>
            </w:tcMar>
          </w:tcPr>
          <w:p>
            <w:r>
              <w:rPr>
                <w:sz w:val="15"/>
              </w:rPr>
              <w:t>&lt; 2.0% (Pass)</w:t>
            </w:r>
          </w:p>
        </w:tc>
      </w:tr>
    </w:tbl>
    <w:p>
      <w:pPr>
        <w:keepNext/>
        <w:spacing w:before="200" w:after="60"/>
      </w:pPr>
      <w:r>
        <w:rPr>
          <w:rFonts w:ascii="Arial" w:hAnsi="Arial"/>
          <w:b/>
          <w:color w:val="2563EB"/>
          <w:sz w:val="22"/>
        </w:rPr>
        <w:t>A.4 Short-Circuit Impedance (%Z) Deviation Test Records</w:t>
      </w:r>
    </w:p>
    <w:p>
      <w:pPr>
        <w:spacing w:before="0" w:after="80" w:line="276" w:lineRule="auto"/>
      </w:pPr>
      <w:r>
        <w:rPr>
          <w:rFonts w:ascii="Calibri" w:hAnsi="Calibri"/>
          <w:i w:val="0"/>
          <w:color w:val="1E293B"/>
          <w:sz w:val="20"/>
        </w:rPr>
        <w:t>Three-phase equivalent impedance measured on 2026-05-26 with TESTRANO 600:</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77"/>
        <w:gridCol w:w="1577"/>
        <w:gridCol w:w="1577"/>
        <w:gridCol w:w="1577"/>
        <w:gridCol w:w="1577"/>
        <w:gridCol w:w="1577"/>
      </w:tblGrid>
      <w:tr>
        <w:tc>
          <w:tcPr>
            <w:tcW w:type="dxa" w:w="1577"/>
            <w:shd w:fill="1B365D"/>
          </w:tcPr>
          <w:p>
            <w:r>
              <w:rPr>
                <w:b/>
                <w:color w:val="FFFFFF"/>
                <w:sz w:val="15"/>
              </w:rPr>
              <w:t>Tap Position</w:t>
            </w:r>
          </w:p>
        </w:tc>
        <w:tc>
          <w:tcPr>
            <w:tcW w:type="dxa" w:w="1577"/>
            <w:shd w:fill="1B365D"/>
          </w:tcPr>
          <w:p>
            <w:r>
              <w:rPr>
                <w:b/>
                <w:color w:val="FFFFFF"/>
                <w:sz w:val="15"/>
              </w:rPr>
              <w:t>HV Rated (kV)</w:t>
            </w:r>
          </w:p>
        </w:tc>
        <w:tc>
          <w:tcPr>
            <w:tcW w:type="dxa" w:w="1577"/>
            <w:shd w:fill="1B365D"/>
          </w:tcPr>
          <w:p>
            <w:r>
              <w:rPr>
                <w:b/>
                <w:color w:val="FFFFFF"/>
                <w:sz w:val="15"/>
              </w:rPr>
              <w:t>Nameplate %Z</w:t>
            </w:r>
          </w:p>
        </w:tc>
        <w:tc>
          <w:tcPr>
            <w:tcW w:type="dxa" w:w="1577"/>
            <w:shd w:fill="1B365D"/>
          </w:tcPr>
          <w:p>
            <w:r>
              <w:rPr>
                <w:b/>
                <w:color w:val="FFFFFF"/>
                <w:sz w:val="15"/>
              </w:rPr>
              <w:t>Measured 3Φ %Z</w:t>
            </w:r>
          </w:p>
        </w:tc>
        <w:tc>
          <w:tcPr>
            <w:tcW w:type="dxa" w:w="1577"/>
            <w:shd w:fill="1B365D"/>
          </w:tcPr>
          <w:p>
            <w:r>
              <w:rPr>
                <w:b/>
                <w:color w:val="FFFFFF"/>
                <w:sz w:val="15"/>
              </w:rPr>
              <w:t>Deviation (%)</w:t>
            </w:r>
          </w:p>
        </w:tc>
        <w:tc>
          <w:tcPr>
            <w:tcW w:type="dxa" w:w="1577"/>
            <w:shd w:fill="1B365D"/>
          </w:tcPr>
          <w:p>
            <w:r>
              <w:rPr>
                <w:b/>
                <w:color w:val="FFFFFF"/>
                <w:sz w:val="15"/>
              </w:rPr>
              <w:t>IEEE Status</w:t>
            </w:r>
          </w:p>
        </w:tc>
      </w:tr>
      <w:tr>
        <w:tc>
          <w:tcPr>
            <w:tcW w:type="dxa" w:w="1577"/>
            <w:tcMar>
              <w:top w:w="20" w:type="dxa"/>
              <w:bottom w:w="20" w:type="dxa"/>
              <w:left w:w="45" w:type="dxa"/>
              <w:right w:w="45" w:type="dxa"/>
            </w:tcMar>
          </w:tcPr>
          <w:p>
            <w:r>
              <w:rPr>
                <w:sz w:val="15"/>
              </w:rPr>
              <w:t>Tap 1 (Max)</w:t>
            </w:r>
          </w:p>
        </w:tc>
        <w:tc>
          <w:tcPr>
            <w:tcW w:type="dxa" w:w="1577"/>
            <w:tcMar>
              <w:top w:w="20" w:type="dxa"/>
              <w:bottom w:w="20" w:type="dxa"/>
              <w:left w:w="45" w:type="dxa"/>
              <w:right w:w="45" w:type="dxa"/>
            </w:tcMar>
          </w:tcPr>
          <w:p>
            <w:r>
              <w:rPr>
                <w:sz w:val="15"/>
              </w:rPr>
              <w:t>120.75 kV</w:t>
            </w:r>
          </w:p>
        </w:tc>
        <w:tc>
          <w:tcPr>
            <w:tcW w:type="dxa" w:w="1577"/>
            <w:tcMar>
              <w:top w:w="20" w:type="dxa"/>
              <w:bottom w:w="20" w:type="dxa"/>
              <w:left w:w="45" w:type="dxa"/>
              <w:right w:w="45" w:type="dxa"/>
            </w:tcMar>
          </w:tcPr>
          <w:p>
            <w:r>
              <w:rPr>
                <w:sz w:val="15"/>
              </w:rPr>
              <w:t>12.3800%</w:t>
            </w:r>
          </w:p>
        </w:tc>
        <w:tc>
          <w:tcPr>
            <w:tcW w:type="dxa" w:w="1577"/>
            <w:tcMar>
              <w:top w:w="20" w:type="dxa"/>
              <w:bottom w:w="20" w:type="dxa"/>
              <w:left w:w="45" w:type="dxa"/>
              <w:right w:w="45" w:type="dxa"/>
            </w:tcMar>
          </w:tcPr>
          <w:p>
            <w:r>
              <w:rPr>
                <w:sz w:val="15"/>
              </w:rPr>
              <w:t>12.3984%</w:t>
            </w:r>
          </w:p>
        </w:tc>
        <w:tc>
          <w:tcPr>
            <w:tcW w:type="dxa" w:w="1577"/>
            <w:tcMar>
              <w:top w:w="20" w:type="dxa"/>
              <w:bottom w:w="20" w:type="dxa"/>
              <w:left w:w="45" w:type="dxa"/>
              <w:right w:w="45" w:type="dxa"/>
            </w:tcMar>
          </w:tcPr>
          <w:p>
            <w:r>
              <w:rPr>
                <w:sz w:val="15"/>
              </w:rPr>
              <w:t>+0.148%</w:t>
            </w:r>
          </w:p>
        </w:tc>
        <w:tc>
          <w:tcPr>
            <w:tcW w:type="dxa" w:w="1577"/>
            <w:shd w:fill="DCFCE7"/>
            <w:tcMar>
              <w:top w:w="20" w:type="dxa"/>
              <w:bottom w:w="20" w:type="dxa"/>
              <w:left w:w="45" w:type="dxa"/>
              <w:right w:w="45" w:type="dxa"/>
            </w:tcMar>
          </w:tcPr>
          <w:p>
            <w:r>
              <w:rPr>
                <w:sz w:val="15"/>
              </w:rPr>
              <w:t>Level A (Good)</w:t>
            </w:r>
          </w:p>
        </w:tc>
      </w:tr>
      <w:tr>
        <w:tc>
          <w:tcPr>
            <w:tcW w:type="dxa" w:w="1577"/>
            <w:tcMar>
              <w:top w:w="20" w:type="dxa"/>
              <w:bottom w:w="20" w:type="dxa"/>
              <w:left w:w="45" w:type="dxa"/>
              <w:right w:w="45" w:type="dxa"/>
            </w:tcMar>
          </w:tcPr>
          <w:p>
            <w:r>
              <w:rPr>
                <w:sz w:val="15"/>
              </w:rPr>
              <w:t>Tap 6 (Center)</w:t>
            </w:r>
          </w:p>
        </w:tc>
        <w:tc>
          <w:tcPr>
            <w:tcW w:type="dxa" w:w="1577"/>
            <w:tcMar>
              <w:top w:w="20" w:type="dxa"/>
              <w:bottom w:w="20" w:type="dxa"/>
              <w:left w:w="45" w:type="dxa"/>
              <w:right w:w="45" w:type="dxa"/>
            </w:tcMar>
          </w:tcPr>
          <w:p>
            <w:r>
              <w:rPr>
                <w:sz w:val="15"/>
              </w:rPr>
              <w:t>115.00 kV</w:t>
            </w:r>
          </w:p>
        </w:tc>
        <w:tc>
          <w:tcPr>
            <w:tcW w:type="dxa" w:w="1577"/>
            <w:tcMar>
              <w:top w:w="20" w:type="dxa"/>
              <w:bottom w:w="20" w:type="dxa"/>
              <w:left w:w="45" w:type="dxa"/>
              <w:right w:w="45" w:type="dxa"/>
            </w:tcMar>
          </w:tcPr>
          <w:p>
            <w:r>
              <w:rPr>
                <w:sz w:val="15"/>
              </w:rPr>
              <w:t>12.1500%</w:t>
            </w:r>
          </w:p>
        </w:tc>
        <w:tc>
          <w:tcPr>
            <w:tcW w:type="dxa" w:w="1577"/>
            <w:tcMar>
              <w:top w:w="20" w:type="dxa"/>
              <w:bottom w:w="20" w:type="dxa"/>
              <w:left w:w="45" w:type="dxa"/>
              <w:right w:w="45" w:type="dxa"/>
            </w:tcMar>
          </w:tcPr>
          <w:p>
            <w:r>
              <w:rPr>
                <w:sz w:val="15"/>
              </w:rPr>
              <w:t>12.1407%</w:t>
            </w:r>
          </w:p>
        </w:tc>
        <w:tc>
          <w:tcPr>
            <w:tcW w:type="dxa" w:w="1577"/>
            <w:tcMar>
              <w:top w:w="20" w:type="dxa"/>
              <w:bottom w:w="20" w:type="dxa"/>
              <w:left w:w="45" w:type="dxa"/>
              <w:right w:w="45" w:type="dxa"/>
            </w:tcMar>
          </w:tcPr>
          <w:p>
            <w:r>
              <w:rPr>
                <w:sz w:val="15"/>
              </w:rPr>
              <w:t>-0.076%</w:t>
            </w:r>
          </w:p>
        </w:tc>
        <w:tc>
          <w:tcPr>
            <w:tcW w:type="dxa" w:w="1577"/>
            <w:shd w:fill="DCFCE7"/>
            <w:tcMar>
              <w:top w:w="20" w:type="dxa"/>
              <w:bottom w:w="20" w:type="dxa"/>
              <w:left w:w="45" w:type="dxa"/>
              <w:right w:w="45" w:type="dxa"/>
            </w:tcMar>
          </w:tcPr>
          <w:p>
            <w:r>
              <w:rPr>
                <w:sz w:val="15"/>
              </w:rPr>
              <w:t>Level A (Good)</w:t>
            </w:r>
          </w:p>
        </w:tc>
      </w:tr>
      <w:tr>
        <w:tc>
          <w:tcPr>
            <w:tcW w:type="dxa" w:w="1577"/>
            <w:tcMar>
              <w:top w:w="20" w:type="dxa"/>
              <w:bottom w:w="20" w:type="dxa"/>
              <w:left w:w="45" w:type="dxa"/>
              <w:right w:w="45" w:type="dxa"/>
            </w:tcMar>
          </w:tcPr>
          <w:p>
            <w:r>
              <w:rPr>
                <w:sz w:val="15"/>
              </w:rPr>
              <w:t>Tap 11 (Min)</w:t>
            </w:r>
          </w:p>
        </w:tc>
        <w:tc>
          <w:tcPr>
            <w:tcW w:type="dxa" w:w="1577"/>
            <w:tcMar>
              <w:top w:w="20" w:type="dxa"/>
              <w:bottom w:w="20" w:type="dxa"/>
              <w:left w:w="45" w:type="dxa"/>
              <w:right w:w="45" w:type="dxa"/>
            </w:tcMar>
          </w:tcPr>
          <w:p>
            <w:r>
              <w:rPr>
                <w:sz w:val="15"/>
              </w:rPr>
              <w:t>109.25 kV</w:t>
            </w:r>
          </w:p>
        </w:tc>
        <w:tc>
          <w:tcPr>
            <w:tcW w:type="dxa" w:w="1577"/>
            <w:tcMar>
              <w:top w:w="20" w:type="dxa"/>
              <w:bottom w:w="20" w:type="dxa"/>
              <w:left w:w="45" w:type="dxa"/>
              <w:right w:w="45" w:type="dxa"/>
            </w:tcMar>
          </w:tcPr>
          <w:p>
            <w:r>
              <w:rPr>
                <w:sz w:val="15"/>
              </w:rPr>
              <w:t>11.9000%</w:t>
            </w:r>
          </w:p>
        </w:tc>
        <w:tc>
          <w:tcPr>
            <w:tcW w:type="dxa" w:w="1577"/>
            <w:tcMar>
              <w:top w:w="20" w:type="dxa"/>
              <w:bottom w:w="20" w:type="dxa"/>
              <w:left w:w="45" w:type="dxa"/>
              <w:right w:w="45" w:type="dxa"/>
            </w:tcMar>
          </w:tcPr>
          <w:p>
            <w:r>
              <w:rPr>
                <w:sz w:val="15"/>
              </w:rPr>
              <w:t>11.9401%</w:t>
            </w:r>
          </w:p>
        </w:tc>
        <w:tc>
          <w:tcPr>
            <w:tcW w:type="dxa" w:w="1577"/>
            <w:tcMar>
              <w:top w:w="20" w:type="dxa"/>
              <w:bottom w:w="20" w:type="dxa"/>
              <w:left w:w="45" w:type="dxa"/>
              <w:right w:w="45" w:type="dxa"/>
            </w:tcMar>
          </w:tcPr>
          <w:p>
            <w:r>
              <w:rPr>
                <w:sz w:val="15"/>
              </w:rPr>
              <w:t>+0.337%</w:t>
            </w:r>
          </w:p>
        </w:tc>
        <w:tc>
          <w:tcPr>
            <w:tcW w:type="dxa" w:w="1577"/>
            <w:shd w:fill="DCFCE7"/>
            <w:tcMar>
              <w:top w:w="20" w:type="dxa"/>
              <w:bottom w:w="20" w:type="dxa"/>
              <w:left w:w="45" w:type="dxa"/>
              <w:right w:w="45" w:type="dxa"/>
            </w:tcMar>
          </w:tcPr>
          <w:p>
            <w:r>
              <w:rPr>
                <w:sz w:val="15"/>
              </w:rPr>
              <w:t>Level A (Good)</w:t>
            </w:r>
          </w:p>
        </w:tc>
      </w:tr>
    </w:tbl>
    <w:p>
      <w:r>
        <w:br w:type="page"/>
      </w:r>
    </w:p>
    <w:p>
      <w:pPr>
        <w:keepNext/>
        <w:spacing w:before="280" w:after="80"/>
      </w:pPr>
      <w:r>
        <w:rPr>
          <w:rFonts w:ascii="Arial" w:hAnsi="Arial"/>
          <w:b/>
          <w:color w:val="1B365D"/>
          <w:sz w:val="26"/>
        </w:rPr>
        <w:t>ANNEX B: DGA HISTORICAL GAS RATIO TRENDS (O2/N2, CO2/CO)</w:t>
      </w:r>
    </w:p>
    <w:p>
      <w:pPr>
        <w:jc w:val="center"/>
      </w:pPr>
      <w:r>
        <w:drawing>
          <wp:inline xmlns:a="http://schemas.openxmlformats.org/drawingml/2006/main" xmlns:pic="http://schemas.openxmlformats.org/drawingml/2006/picture">
            <wp:extent cx="5120640" cy="2275840"/>
            <wp:docPr id="5" name="Picture 5"/>
            <wp:cNvGraphicFramePr>
              <a:graphicFrameLocks noChangeAspect="1"/>
            </wp:cNvGraphicFramePr>
            <a:graphic>
              <a:graphicData uri="http://schemas.openxmlformats.org/drawingml/2006/picture">
                <pic:pic>
                  <pic:nvPicPr>
                    <pic:cNvPr id="0" name="fig_o2_n2.png"/>
                    <pic:cNvPicPr/>
                  </pic:nvPicPr>
                  <pic:blipFill>
                    <a:blip r:embed="rId15"/>
                    <a:stretch>
                      <a:fillRect/>
                    </a:stretch>
                  </pic:blipFill>
                  <pic:spPr>
                    <a:xfrm>
                      <a:off x="0" y="0"/>
                      <a:ext cx="5120640" cy="2275840"/>
                    </a:xfrm>
                    <a:prstGeom prst="rect"/>
                  </pic:spPr>
                </pic:pic>
              </a:graphicData>
            </a:graphic>
          </wp:inline>
        </w:drawing>
      </w:r>
    </w:p>
    <w:p>
      <w:pPr>
        <w:jc w:val="center"/>
      </w:pPr>
      <w:r>
        <w:drawing>
          <wp:inline xmlns:a="http://schemas.openxmlformats.org/drawingml/2006/main" xmlns:pic="http://schemas.openxmlformats.org/drawingml/2006/picture">
            <wp:extent cx="5120640" cy="2275840"/>
            <wp:docPr id="6" name="Picture 6"/>
            <wp:cNvGraphicFramePr>
              <a:graphicFrameLocks noChangeAspect="1"/>
            </wp:cNvGraphicFramePr>
            <a:graphic>
              <a:graphicData uri="http://schemas.openxmlformats.org/drawingml/2006/picture">
                <pic:pic>
                  <pic:nvPicPr>
                    <pic:cNvPr id="0" name="fig_co2_co.png"/>
                    <pic:cNvPicPr/>
                  </pic:nvPicPr>
                  <pic:blipFill>
                    <a:blip r:embed="rId16"/>
                    <a:stretch>
                      <a:fillRect/>
                    </a:stretch>
                  </pic:blipFill>
                  <pic:spPr>
                    <a:xfrm>
                      <a:off x="0" y="0"/>
                      <a:ext cx="5120640" cy="2275840"/>
                    </a:xfrm>
                    <a:prstGeom prst="rect"/>
                  </pic:spPr>
                </pic:pic>
              </a:graphicData>
            </a:graphic>
          </wp:inline>
        </w:drawing>
      </w:r>
    </w:p>
    <w:p>
      <w:r>
        <w:br w:type="page"/>
      </w:r>
    </w:p>
    <w:p>
      <w:pPr>
        <w:keepNext/>
        <w:spacing w:before="280" w:after="80"/>
      </w:pPr>
      <w:r>
        <w:rPr>
          <w:rFonts w:ascii="Arial" w:hAnsi="Arial"/>
          <w:b/>
          <w:color w:val="1B365D"/>
          <w:sz w:val="26"/>
        </w:rPr>
        <w:t>ANNEX C: STANDARD CRITERIA &amp; DUVAL TRIANGLE 2 FOR OLTC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54"/>
        <w:gridCol w:w="3154"/>
        <w:gridCol w:w="3154"/>
      </w:tblGrid>
      <w:tr>
        <w:tc>
          <w:tcPr>
            <w:tcW w:type="dxa" w:w="3154"/>
            <w:shd w:fill="1B365D"/>
          </w:tcPr>
          <w:p>
            <w:r>
              <w:rPr>
                <w:b/>
                <w:color w:val="FFFFFF"/>
                <w:sz w:val="16"/>
              </w:rPr>
              <w:t>Category</w:t>
            </w:r>
          </w:p>
        </w:tc>
        <w:tc>
          <w:tcPr>
            <w:tcW w:type="dxa" w:w="3154"/>
            <w:shd w:fill="1B365D"/>
          </w:tcPr>
          <w:p>
            <w:r>
              <w:rPr>
                <w:b/>
                <w:color w:val="FFFFFF"/>
                <w:sz w:val="16"/>
              </w:rPr>
              <w:t>Equipment Class &amp; Application</w:t>
            </w:r>
          </w:p>
        </w:tc>
        <w:tc>
          <w:tcPr>
            <w:tcW w:type="dxa" w:w="3154"/>
            <w:shd w:fill="1B365D"/>
          </w:tcPr>
          <w:p>
            <w:r>
              <w:rPr>
                <w:b/>
                <w:color w:val="FFFFFF"/>
                <w:sz w:val="16"/>
              </w:rPr>
              <w:t>Typical Applicable Limits</w:t>
            </w:r>
          </w:p>
        </w:tc>
      </w:tr>
      <w:tr>
        <w:tc>
          <w:tcPr>
            <w:tcW w:type="dxa" w:w="3154"/>
            <w:tcMar>
              <w:top w:w="25" w:type="dxa"/>
              <w:bottom w:w="25" w:type="dxa"/>
              <w:left w:w="45" w:type="dxa"/>
              <w:right w:w="45" w:type="dxa"/>
            </w:tcMar>
          </w:tcPr>
          <w:p>
            <w:r>
              <w:rPr>
                <w:sz w:val="16"/>
              </w:rPr>
              <w:t>Category A</w:t>
            </w:r>
          </w:p>
        </w:tc>
        <w:tc>
          <w:tcPr>
            <w:tcW w:type="dxa" w:w="3154"/>
            <w:tcMar>
              <w:top w:w="25" w:type="dxa"/>
              <w:bottom w:w="25" w:type="dxa"/>
              <w:left w:w="45" w:type="dxa"/>
              <w:right w:w="45" w:type="dxa"/>
            </w:tcMar>
          </w:tcPr>
          <w:p>
            <w:r>
              <w:rPr>
                <w:sz w:val="16"/>
              </w:rPr>
              <w:t>Power transformers &gt; 170 kV and crucial special applications</w:t>
            </w:r>
          </w:p>
        </w:tc>
        <w:tc>
          <w:tcPr>
            <w:tcW w:type="dxa" w:w="3154"/>
            <w:tcMar>
              <w:top w:w="25" w:type="dxa"/>
              <w:bottom w:w="25" w:type="dxa"/>
              <w:left w:w="45" w:type="dxa"/>
              <w:right w:w="45" w:type="dxa"/>
            </w:tcMar>
          </w:tcPr>
          <w:p>
            <w:r>
              <w:rPr>
                <w:sz w:val="16"/>
              </w:rPr>
              <w:t>BDV ≥ 60 kV, Water ≤ 15 ppm</w:t>
            </w:r>
          </w:p>
        </w:tc>
      </w:tr>
      <w:tr>
        <w:tc>
          <w:tcPr>
            <w:tcW w:type="dxa" w:w="3154"/>
            <w:shd w:fill="F1F5F9"/>
            <w:tcMar>
              <w:top w:w="25" w:type="dxa"/>
              <w:bottom w:w="25" w:type="dxa"/>
              <w:left w:w="45" w:type="dxa"/>
              <w:right w:w="45" w:type="dxa"/>
            </w:tcMar>
          </w:tcPr>
          <w:p>
            <w:r>
              <w:rPr>
                <w:sz w:val="16"/>
              </w:rPr>
              <w:t>Category B</w:t>
            </w:r>
          </w:p>
        </w:tc>
        <w:tc>
          <w:tcPr>
            <w:tcW w:type="dxa" w:w="3154"/>
            <w:tcMar>
              <w:top w:w="25" w:type="dxa"/>
              <w:bottom w:w="25" w:type="dxa"/>
              <w:left w:w="45" w:type="dxa"/>
              <w:right w:w="45" w:type="dxa"/>
            </w:tcMar>
          </w:tcPr>
          <w:p>
            <w:r>
              <w:rPr>
                <w:sz w:val="16"/>
              </w:rPr>
              <w:t>Power transformers 72.5 kV &lt; U ≤ 170 kV (34101-TR-001 Main Tank)</w:t>
            </w:r>
          </w:p>
        </w:tc>
        <w:tc>
          <w:tcPr>
            <w:tcW w:type="dxa" w:w="3154"/>
            <w:tcMar>
              <w:top w:w="25" w:type="dxa"/>
              <w:bottom w:w="25" w:type="dxa"/>
              <w:left w:w="45" w:type="dxa"/>
              <w:right w:w="45" w:type="dxa"/>
            </w:tcMar>
          </w:tcPr>
          <w:p>
            <w:r>
              <w:rPr>
                <w:sz w:val="16"/>
              </w:rPr>
              <w:t>BDV ≥ 50 kV, Water ≤ 20 ppm</w:t>
            </w:r>
          </w:p>
        </w:tc>
      </w:tr>
      <w:tr>
        <w:tc>
          <w:tcPr>
            <w:tcW w:type="dxa" w:w="3154"/>
            <w:tcMar>
              <w:top w:w="25" w:type="dxa"/>
              <w:bottom w:w="25" w:type="dxa"/>
              <w:left w:w="45" w:type="dxa"/>
              <w:right w:w="45" w:type="dxa"/>
            </w:tcMar>
          </w:tcPr>
          <w:p>
            <w:r>
              <w:rPr>
                <w:sz w:val="16"/>
              </w:rPr>
              <w:t>Category C</w:t>
            </w:r>
          </w:p>
        </w:tc>
        <w:tc>
          <w:tcPr>
            <w:tcW w:type="dxa" w:w="3154"/>
            <w:tcMar>
              <w:top w:w="25" w:type="dxa"/>
              <w:bottom w:w="25" w:type="dxa"/>
              <w:left w:w="45" w:type="dxa"/>
              <w:right w:w="45" w:type="dxa"/>
            </w:tcMar>
          </w:tcPr>
          <w:p>
            <w:r>
              <w:rPr>
                <w:sz w:val="16"/>
              </w:rPr>
              <w:t>Distribution transformers ≤ 72.5 kV</w:t>
            </w:r>
          </w:p>
        </w:tc>
        <w:tc>
          <w:tcPr>
            <w:tcW w:type="dxa" w:w="3154"/>
            <w:tcMar>
              <w:top w:w="25" w:type="dxa"/>
              <w:bottom w:w="25" w:type="dxa"/>
              <w:left w:w="45" w:type="dxa"/>
              <w:right w:w="45" w:type="dxa"/>
            </w:tcMar>
          </w:tcPr>
          <w:p>
            <w:r>
              <w:rPr>
                <w:sz w:val="16"/>
              </w:rPr>
              <w:t>BDV ≥ 40 kV, Water ≤ 30 ppm</w:t>
            </w:r>
          </w:p>
        </w:tc>
      </w:tr>
      <w:tr>
        <w:tc>
          <w:tcPr>
            <w:tcW w:type="dxa" w:w="3154"/>
            <w:shd w:fill="F1F5F9"/>
            <w:tcMar>
              <w:top w:w="25" w:type="dxa"/>
              <w:bottom w:w="25" w:type="dxa"/>
              <w:left w:w="45" w:type="dxa"/>
              <w:right w:w="45" w:type="dxa"/>
            </w:tcMar>
          </w:tcPr>
          <w:p>
            <w:r>
              <w:rPr>
                <w:sz w:val="16"/>
              </w:rPr>
              <w:t>Category F</w:t>
            </w:r>
          </w:p>
        </w:tc>
        <w:tc>
          <w:tcPr>
            <w:tcW w:type="dxa" w:w="3154"/>
            <w:tcMar>
              <w:top w:w="25" w:type="dxa"/>
              <w:bottom w:w="25" w:type="dxa"/>
              <w:left w:w="45" w:type="dxa"/>
              <w:right w:w="45" w:type="dxa"/>
            </w:tcMar>
          </w:tcPr>
          <w:p>
            <w:r>
              <w:rPr>
                <w:sz w:val="16"/>
              </w:rPr>
              <w:t>Diverter switch compartments of On-Load Tap Changers (OLTC)</w:t>
            </w:r>
          </w:p>
        </w:tc>
        <w:tc>
          <w:tcPr>
            <w:tcW w:type="dxa" w:w="3154"/>
            <w:tcMar>
              <w:top w:w="25" w:type="dxa"/>
              <w:bottom w:w="25" w:type="dxa"/>
              <w:left w:w="45" w:type="dxa"/>
              <w:right w:w="45" w:type="dxa"/>
            </w:tcMar>
          </w:tcPr>
          <w:p>
            <w:r>
              <w:rPr>
                <w:sz w:val="16"/>
              </w:rPr>
              <w:t>BDV ≥ 30 kV (Star), Water ≤ 40 ppm</w:t>
            </w:r>
          </w:p>
        </w:tc>
      </w:tr>
    </w:tbl>
    <w:p>
      <w:pPr>
        <w:spacing w:before="160"/>
        <w:jc w:val="center"/>
      </w:pPr>
      <w:r>
        <w:drawing>
          <wp:inline xmlns:a="http://schemas.openxmlformats.org/drawingml/2006/main" xmlns:pic="http://schemas.openxmlformats.org/drawingml/2006/picture">
            <wp:extent cx="4114800" cy="3740727"/>
            <wp:docPr id="7" name="Picture 7"/>
            <wp:cNvGraphicFramePr>
              <a:graphicFrameLocks noChangeAspect="1"/>
            </wp:cNvGraphicFramePr>
            <a:graphic>
              <a:graphicData uri="http://schemas.openxmlformats.org/drawingml/2006/picture">
                <pic:pic>
                  <pic:nvPicPr>
                    <pic:cNvPr id="0" name="fig_duval_triangle_2.png"/>
                    <pic:cNvPicPr/>
                  </pic:nvPicPr>
                  <pic:blipFill>
                    <a:blip r:embed="rId17"/>
                    <a:stretch>
                      <a:fillRect/>
                    </a:stretch>
                  </pic:blipFill>
                  <pic:spPr>
                    <a:xfrm>
                      <a:off x="0" y="0"/>
                      <a:ext cx="4114800" cy="3740727"/>
                    </a:xfrm>
                    <a:prstGeom prst="rect"/>
                  </pic:spPr>
                </pic:pic>
              </a:graphicData>
            </a:graphic>
          </wp:inline>
        </w:drawing>
      </w:r>
    </w:p>
    <w:p>
      <w:r>
        <w:br w:type="page"/>
      </w:r>
    </w:p>
    <w:p>
      <w:pPr>
        <w:keepNext/>
        <w:spacing w:before="280" w:after="80"/>
      </w:pPr>
      <w:r>
        <w:rPr>
          <w:rFonts w:ascii="Arial" w:hAnsi="Arial"/>
          <w:b/>
          <w:color w:val="1B365D"/>
          <w:sz w:val="26"/>
        </w:rPr>
        <w:t>ANNEX D: IEC 60076-7 HOT-SPOT TEMPERATURE FORMULATION</w:t>
      </w:r>
    </w:p>
    <w:p>
      <w:pPr>
        <w:spacing w:before="0" w:after="80" w:line="276" w:lineRule="auto"/>
      </w:pPr>
      <w:r>
        <w:rPr>
          <w:rFonts w:ascii="Calibri" w:hAnsi="Calibri"/>
          <w:i w:val="0"/>
          <w:color w:val="1E293B"/>
          <w:sz w:val="20"/>
        </w:rPr>
        <w:t>IEC 60076-7 provides mathematical exponential formulations to describe top-oil and winding hot-spot temperature evolution based on load, ambient temperature, and cooling mode design constants:</w:t>
        <w:br/>
        <w:t xml:space="preserve">    θ_h(t) = θ_a + Δθ_or * [ (1 + R * K^2) / (1 + R) ]^x + H * g_r * K^y</w:t>
        <w:br/>
        <w:t>Parameters applied for 34101-TR-001 (ONAN Class):</w:t>
        <w:br/>
        <w:t xml:space="preserve"> • θ_a: Ambient temperature = 34°C</w:t>
        <w:br/>
        <w:t xml:space="preserve"> • Δθ_or: Top-oil temperature rise at rated load = 52 K</w:t>
        <w:br/>
        <w:t xml:space="preserve"> • R: Ratio of load loss to no-load loss = 6.0</w:t>
        <w:br/>
        <w:t xml:space="preserve"> • K: Operating load factor = 0.50 – 0.65 p.u.</w:t>
        <w:br/>
        <w:t xml:space="preserve"> • x, y: Oil and winding exponents = 0.8 and 1.3</w:t>
        <w:br/>
        <w:t xml:space="preserve"> • H: Hot-spot factor = 1.3 | g_r: Winding-to-oil gradient = 20 K</w:t>
        <w:br/>
        <w:t xml:space="preserve"> • Calculated average operating hot-spot: θ_h = 55.1°C</w:t>
      </w:r>
    </w:p>
    <w:p>
      <w:pPr>
        <w:spacing w:before="160"/>
        <w:jc w:val="center"/>
      </w:pPr>
      <w:r>
        <w:drawing>
          <wp:inline xmlns:a="http://schemas.openxmlformats.org/drawingml/2006/main" xmlns:pic="http://schemas.openxmlformats.org/drawingml/2006/picture">
            <wp:extent cx="4572000" cy="2813538"/>
            <wp:docPr id="8" name="Picture 8"/>
            <wp:cNvGraphicFramePr>
              <a:graphicFrameLocks noChangeAspect="1"/>
            </wp:cNvGraphicFramePr>
            <a:graphic>
              <a:graphicData uri="http://schemas.openxmlformats.org/drawingml/2006/picture">
                <pic:pic>
                  <pic:nvPicPr>
                    <pic:cNvPr id="0" name="fig_annex_d_thermal.png"/>
                    <pic:cNvPicPr/>
                  </pic:nvPicPr>
                  <pic:blipFill>
                    <a:blip r:embed="rId18"/>
                    <a:stretch>
                      <a:fillRect/>
                    </a:stretch>
                  </pic:blipFill>
                  <pic:spPr>
                    <a:xfrm>
                      <a:off x="0" y="0"/>
                      <a:ext cx="4572000" cy="2813538"/>
                    </a:xfrm>
                    <a:prstGeom prst="rect"/>
                  </pic:spPr>
                </pic:pic>
              </a:graphicData>
            </a:graphic>
          </wp:inline>
        </w:drawing>
      </w:r>
    </w:p>
    <w:p>
      <w:r>
        <w:br w:type="page"/>
      </w:r>
    </w:p>
    <w:p>
      <w:pPr>
        <w:keepNext/>
        <w:spacing w:before="280" w:after="80"/>
      </w:pPr>
      <w:r>
        <w:rPr>
          <w:rFonts w:ascii="Arial" w:hAnsi="Arial"/>
          <w:b/>
          <w:color w:val="1B365D"/>
          <w:sz w:val="26"/>
        </w:rPr>
        <w:t>ANNEX E: PAPER &amp; OIL DEGRADATION MECHANISMS</w:t>
      </w:r>
    </w:p>
    <w:p>
      <w:pPr>
        <w:spacing w:before="0" w:after="80" w:line="276" w:lineRule="auto"/>
      </w:pPr>
      <w:r>
        <w:rPr>
          <w:rFonts w:ascii="Calibri" w:hAnsi="Calibri"/>
          <w:i w:val="0"/>
          <w:color w:val="1E293B"/>
          <w:sz w:val="20"/>
        </w:rPr>
        <w:t>Chemical degradation of oil-paper insulation systems in transformers is governed by three primary interdependent pathways:</w:t>
        <w:br/>
        <w:t xml:space="preserve"> 1. Hydrolysis (Acid- &amp; Water-Catalyzed): Cleavage of 1,4-beta-glucosidic bonds in cellulose chains, accelerated by moisture and carboxylic acids, yielding glucose fragments, water, and furanic derivatives (2-FAL).</w:t>
        <w:br/>
        <w:t xml:space="preserve"> 2. Oxidation (Oxygen Radicals): Atmospheric oxygen reacts with hydrocarbons and cellulose, producing peroxides, carboxylic acids, carbon monoxide (CO), and carbon dioxide (CO2).</w:t>
        <w:br/>
        <w:t xml:space="preserve"> 3. Pyrolysis (Pure Thermal Stress): Severe bond breaking occurring above 140°C in the absence of water or oxygen, forming char and heavy combustible gases.</w:t>
      </w:r>
    </w:p>
    <w:tbl>
      <w:tblPr>
        <w:tblW w:type="auto" w:w="0"/>
        <w:jc w:val="center"/>
        <w:tblLook w:firstColumn="1" w:firstRow="1" w:lastColumn="0" w:lastRow="0" w:noHBand="0" w:noVBand="1" w:val="04A0"/>
      </w:tblPr>
      <w:tblGrid>
        <w:gridCol w:w="9461"/>
      </w:tblGrid>
      <w:tr>
        <w:tc>
          <w:tcPr>
            <w:tcW w:type="dxa" w:w="9360"/>
            <w:shd w:fill="EFF6FF"/>
            <w:tcMar>
              <w:top w:w="100" w:type="dxa"/>
              <w:bottom w:w="100" w:type="dxa"/>
              <w:left w:w="160" w:type="dxa"/>
              <w:right w:w="160" w:type="dxa"/>
            </w:tcMar>
            <w:tcBorders>
              <w:left w:val="single" w:sz="24" w:space="0" w:color="2563EB"/>
              <w:top w:val="none"/>
              <w:bottom w:val="none"/>
              <w:right w:val="none"/>
            </w:tcBorders>
          </w:tcPr>
          <w:p>
            <w:pPr>
              <w:spacing w:after="40"/>
            </w:pPr>
            <w:r>
              <w:rPr>
                <w:b/>
                <w:color w:val="1E40AF"/>
                <w:sz w:val="19"/>
              </w:rPr>
              <w:t xml:space="preserve">AGING MECHANISM AUDIT SUMMARY: </w:t>
            </w:r>
            <w:r>
              <w:rPr>
                <w:color w:val="1E293B"/>
                <w:sz w:val="19"/>
              </w:rPr>
              <w:t>Operating State of 34101-TR-001: Because cellulose moisture is very low (0.50% wt via DFR) and operating temperatures remain low under ONAN natural cooling, both hydrolysis and pyrolysis are strongly suppressed. Minor surface oxidation is responsible for the baseline CO generation (1,047 ppm) without active threat to dielectric stability.</w:t>
            </w:r>
          </w:p>
        </w:tc>
      </w:tr>
    </w:tbl>
    <w:p>
      <w:pPr>
        <w:spacing w:after="80"/>
      </w:pPr>
    </w:p>
    <w:sectPr w:rsidR="00FC693F" w:rsidRPr="0006063C" w:rsidSect="00034616">
      <w:headerReference w:type="default" r:id="rId9"/>
      <w:footerReference w:type="default" r:id="rId10"/>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4748B"/>
        <w:sz w:val="16"/>
      </w:rPr>
      <w:t>Dielectric Analytika Laboratory | Maintainability for Integrity and Longevity Task Force</w:t>
      <w:br/>
      <w:t>GPSC Transformer Asset Management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Insulation Condition Assessment Report – Transformer 34101-TR-001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