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828800" cy="744207"/>
            <wp:docPr id="1" name="Picture 1"/>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828800" cy="744207"/>
                    </a:xfrm>
                    <a:prstGeom prst="rect"/>
                  </pic:spPr>
                </pic:pic>
              </a:graphicData>
            </a:graphic>
          </wp:inline>
        </w:drawing>
      </w:r>
    </w:p>
    <w:p>
      <w:pPr>
        <w:spacing w:before="320"/>
      </w:pPr>
    </w:p>
    <w:p>
      <w:pPr>
        <w:jc w:val="center"/>
      </w:pPr>
      <w:r>
        <w:rPr>
          <w:rFonts w:ascii="Arial" w:hAnsi="Arial"/>
          <w:b/>
          <w:color w:val="0F172A"/>
          <w:sz w:val="40"/>
        </w:rPr>
        <w:t>2026 Transformer Life Assessment Report</w:t>
        <w:br/>
      </w:r>
      <w:r>
        <w:rPr>
          <w:rFonts w:ascii="Arial" w:hAnsi="Arial"/>
          <w:b/>
          <w:color w:val="2563EB"/>
          <w:sz w:val="36"/>
        </w:rPr>
        <w:t>For CUP-3 34101-TR-001</w:t>
        <w:br/>
      </w:r>
      <w:r>
        <w:rPr>
          <w:rFonts w:ascii="Arial" w:hAnsi="Arial"/>
          <w:color w:val="475569"/>
          <w:sz w:val="24"/>
        </w:rPr>
        <w:t>40 MVA 115 kV – 22 kV Primary Distribution Transformer</w:t>
        <w:br/>
        <w:t>DAIHEN Serial No. PP0158B01</w:t>
      </w:r>
    </w:p>
    <w:p>
      <w:pPr>
        <w:spacing w:before="240" w:after="360"/>
        <w:jc w:val="center"/>
      </w:pPr>
      <w:r>
        <w:drawing>
          <wp:inline xmlns:a="http://schemas.openxmlformats.org/drawingml/2006/main" xmlns:pic="http://schemas.openxmlformats.org/drawingml/2006/picture">
            <wp:extent cx="3840480" cy="2880360"/>
            <wp:docPr id="2" name="Picture 2"/>
            <wp:cNvGraphicFramePr>
              <a:graphicFrameLocks noChangeAspect="1"/>
            </wp:cNvGraphicFramePr>
            <a:graphic>
              <a:graphicData uri="http://schemas.openxmlformats.org/drawingml/2006/picture">
                <pic:pic>
                  <pic:nvPicPr>
                    <pic:cNvPr id="0" name="34101-TR-001.jpg"/>
                    <pic:cNvPicPr/>
                  </pic:nvPicPr>
                  <pic:blipFill>
                    <a:blip r:embed="rId10"/>
                    <a:stretch>
                      <a:fillRect/>
                    </a:stretch>
                  </pic:blipFill>
                  <pic:spPr>
                    <a:xfrm>
                      <a:off x="0" y="0"/>
                      <a:ext cx="3840480" cy="2880360"/>
                    </a:xfrm>
                    <a:prstGeom prst="rect"/>
                  </pic:spPr>
                </pic:pic>
              </a:graphicData>
            </a:graphic>
          </wp:inline>
        </w:drawing>
      </w:r>
    </w:p>
    <w:p>
      <w:pPr>
        <w:spacing w:before="480"/>
        <w:jc w:val="right"/>
      </w:pPr>
      <w:r>
        <w:rPr>
          <w:b/>
          <w:sz w:val="22"/>
        </w:rPr>
        <w:t>HV Network Maintenance Division</w:t>
        <w:br/>
      </w:r>
      <w:r>
        <w:rPr>
          <w:sz w:val="20"/>
        </w:rPr>
        <w:t>Department of HV and Utility Management</w:t>
        <w:br/>
      </w:r>
      <w:r>
        <w:rPr>
          <w:i/>
          <w:color w:val="64748B"/>
          <w:sz w:val="19"/>
        </w:rPr>
        <w:t>Document No. CUP-3-EMM-TR-Assessment-2026-0001</w:t>
        <w:br/>
        <w:t>Date: September 2026</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3" name="Picture 3"/>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Table of Contents</w:t>
            </w:r>
          </w:p>
        </w:tc>
      </w:tr>
    </w:tbl>
    <w:p>
      <w:pPr>
        <w:spacing w:before="0" w:after="80"/>
      </w:pPr>
    </w:p>
    <w:tbl>
      <w:tblPr>
        <w:tblW w:type="auto" w:w="0"/>
        <w:jc w:val="center"/>
        <w:tblLook w:firstColumn="1" w:firstRow="1" w:lastColumn="0" w:lastRow="0" w:noHBand="0" w:noVBand="1" w:val="04A0"/>
      </w:tblPr>
      <w:tblGrid>
        <w:gridCol w:w="4874"/>
        <w:gridCol w:w="4874"/>
      </w:tblGrid>
      <w:tr>
        <w:tc>
          <w:tcPr>
            <w:tcW w:type="dxa" w:w="8640"/>
            <w:tcMar>
              <w:top w:w="15" w:type="dxa"/>
              <w:bottom w:w="15" w:type="dxa"/>
              <w:left w:w="20" w:type="dxa"/>
              <w:right w:w="20" w:type="dxa"/>
            </w:tcMar>
          </w:tcPr>
          <w:p>
            <w:r>
              <w:rPr>
                <w:rFonts w:ascii="Calibri" w:hAnsi="Calibri"/>
                <w:b/>
                <w:sz w:val="17"/>
              </w:rPr>
              <w:t>1. Executive Summary</w:t>
            </w:r>
          </w:p>
        </w:tc>
        <w:tc>
          <w:tcPr>
            <w:tcW w:type="dxa" w:w="1152"/>
            <w:tcMar>
              <w:top w:w="15" w:type="dxa"/>
              <w:bottom w:w="15" w:type="dxa"/>
              <w:left w:w="20" w:type="dxa"/>
              <w:right w:w="20" w:type="dxa"/>
            </w:tcMar>
          </w:tcPr>
          <w:p>
            <w:pPr>
              <w:jc w:val="right"/>
            </w:pPr>
            <w:r>
              <w:rPr>
                <w:rFonts w:ascii="Calibri" w:hAnsi="Calibri"/>
                <w:b/>
                <w:sz w:val="17"/>
              </w:rPr>
              <w:t>1</w:t>
            </w:r>
          </w:p>
        </w:tc>
      </w:tr>
      <w:tr>
        <w:tc>
          <w:tcPr>
            <w:tcW w:type="dxa" w:w="8640"/>
            <w:tcMar>
              <w:top w:w="15" w:type="dxa"/>
              <w:bottom w:w="15" w:type="dxa"/>
              <w:left w:w="20" w:type="dxa"/>
              <w:right w:w="20" w:type="dxa"/>
            </w:tcMar>
          </w:tcPr>
          <w:p>
            <w:r>
              <w:rPr>
                <w:rFonts w:ascii="Calibri" w:hAnsi="Calibri"/>
                <w:b/>
                <w:sz w:val="17"/>
              </w:rPr>
              <w:t>2. Introduction</w:t>
            </w:r>
          </w:p>
        </w:tc>
        <w:tc>
          <w:tcPr>
            <w:tcW w:type="dxa" w:w="1152"/>
            <w:tcMar>
              <w:top w:w="15" w:type="dxa"/>
              <w:bottom w:w="15" w:type="dxa"/>
              <w:left w:w="20" w:type="dxa"/>
              <w:right w:w="20" w:type="dxa"/>
            </w:tcMar>
          </w:tcPr>
          <w:p>
            <w:pPr>
              <w:jc w:val="right"/>
            </w:pPr>
            <w:r>
              <w:rPr>
                <w:rFonts w:ascii="Calibri" w:hAnsi="Calibri"/>
                <w:b/>
                <w:sz w:val="17"/>
              </w:rPr>
              <w:t>4</w:t>
            </w:r>
          </w:p>
        </w:tc>
      </w:tr>
      <w:tr>
        <w:tc>
          <w:tcPr>
            <w:tcW w:type="dxa" w:w="8640"/>
            <w:tcMar>
              <w:top w:w="15" w:type="dxa"/>
              <w:bottom w:w="15" w:type="dxa"/>
              <w:left w:w="20" w:type="dxa"/>
              <w:right w:w="20" w:type="dxa"/>
            </w:tcMar>
          </w:tcPr>
          <w:p>
            <w:r>
              <w:rPr>
                <w:rFonts w:ascii="Calibri" w:hAnsi="Calibri"/>
                <w:b/>
                <w:sz w:val="17"/>
              </w:rPr>
              <w:t>3. Objective &amp; Scope</w:t>
            </w:r>
          </w:p>
        </w:tc>
        <w:tc>
          <w:tcPr>
            <w:tcW w:type="dxa" w:w="1152"/>
            <w:tcMar>
              <w:top w:w="15" w:type="dxa"/>
              <w:bottom w:w="15" w:type="dxa"/>
              <w:left w:w="20" w:type="dxa"/>
              <w:right w:w="20" w:type="dxa"/>
            </w:tcMar>
          </w:tcPr>
          <w:p>
            <w:pPr>
              <w:jc w:val="right"/>
            </w:pPr>
            <w:r>
              <w:rPr>
                <w:rFonts w:ascii="Calibri" w:hAnsi="Calibri"/>
                <w:b/>
                <w:sz w:val="17"/>
              </w:rPr>
              <w:t>5</w:t>
            </w:r>
          </w:p>
        </w:tc>
      </w:tr>
      <w:tr>
        <w:tc>
          <w:tcPr>
            <w:tcW w:type="dxa" w:w="8640"/>
            <w:tcMar>
              <w:top w:w="15" w:type="dxa"/>
              <w:bottom w:w="15" w:type="dxa"/>
              <w:left w:w="20" w:type="dxa"/>
              <w:right w:w="20" w:type="dxa"/>
            </w:tcMar>
          </w:tcPr>
          <w:p>
            <w:r>
              <w:rPr>
                <w:rFonts w:ascii="Calibri" w:hAnsi="Calibri"/>
                <w:b/>
                <w:sz w:val="17"/>
              </w:rPr>
              <w:t>4. Transformer Information</w:t>
            </w:r>
          </w:p>
        </w:tc>
        <w:tc>
          <w:tcPr>
            <w:tcW w:type="dxa" w:w="1152"/>
            <w:tcMar>
              <w:top w:w="15" w:type="dxa"/>
              <w:bottom w:w="15" w:type="dxa"/>
              <w:left w:w="20" w:type="dxa"/>
              <w:right w:w="20" w:type="dxa"/>
            </w:tcMar>
          </w:tcPr>
          <w:p>
            <w:pPr>
              <w:jc w:val="right"/>
            </w:pPr>
            <w:r>
              <w:rPr>
                <w:rFonts w:ascii="Calibri" w:hAnsi="Calibri"/>
                <w:b/>
                <w:sz w:val="17"/>
              </w:rPr>
              <w:t>7</w:t>
            </w:r>
          </w:p>
        </w:tc>
      </w:tr>
      <w:tr>
        <w:tc>
          <w:tcPr>
            <w:tcW w:type="dxa" w:w="8640"/>
            <w:tcMar>
              <w:top w:w="15" w:type="dxa"/>
              <w:bottom w:w="15" w:type="dxa"/>
              <w:left w:w="20" w:type="dxa"/>
              <w:right w:w="20" w:type="dxa"/>
            </w:tcMar>
          </w:tcPr>
          <w:p>
            <w:r>
              <w:rPr>
                <w:rFonts w:ascii="Calibri" w:hAnsi="Calibri"/>
                <w:b/>
                <w:sz w:val="17"/>
              </w:rPr>
              <w:t>5. Maintenance History</w:t>
            </w:r>
          </w:p>
        </w:tc>
        <w:tc>
          <w:tcPr>
            <w:tcW w:type="dxa" w:w="1152"/>
            <w:tcMar>
              <w:top w:w="15" w:type="dxa"/>
              <w:bottom w:w="15" w:type="dxa"/>
              <w:left w:w="20" w:type="dxa"/>
              <w:right w:w="20" w:type="dxa"/>
            </w:tcMar>
          </w:tcPr>
          <w:p>
            <w:pPr>
              <w:jc w:val="right"/>
            </w:pPr>
            <w:r>
              <w:rPr>
                <w:rFonts w:ascii="Calibri" w:hAnsi="Calibri"/>
                <w:b/>
                <w:sz w:val="17"/>
              </w:rPr>
              <w:t>9</w:t>
            </w:r>
          </w:p>
        </w:tc>
      </w:tr>
      <w:tr>
        <w:tc>
          <w:tcPr>
            <w:tcW w:type="dxa" w:w="8640"/>
            <w:tcMar>
              <w:top w:w="15" w:type="dxa"/>
              <w:bottom w:w="15" w:type="dxa"/>
              <w:left w:w="20" w:type="dxa"/>
              <w:right w:w="20" w:type="dxa"/>
            </w:tcMar>
          </w:tcPr>
          <w:p>
            <w:r>
              <w:rPr>
                <w:rFonts w:ascii="Calibri" w:hAnsi="Calibri"/>
                <w:b/>
                <w:sz w:val="17"/>
              </w:rPr>
              <w:t>6. Condition Health Index &amp; Technical Diagnostic Assessments</w:t>
            </w:r>
          </w:p>
        </w:tc>
        <w:tc>
          <w:tcPr>
            <w:tcW w:type="dxa" w:w="1152"/>
            <w:tcMar>
              <w:top w:w="15" w:type="dxa"/>
              <w:bottom w:w="15" w:type="dxa"/>
              <w:left w:w="20" w:type="dxa"/>
              <w:right w:w="20" w:type="dxa"/>
            </w:tcMar>
          </w:tcPr>
          <w:p>
            <w:pPr>
              <w:jc w:val="right"/>
            </w:pPr>
            <w:r>
              <w:rPr>
                <w:rFonts w:ascii="Calibri" w:hAnsi="Calibri"/>
                <w:b/>
                <w:sz w:val="17"/>
              </w:rPr>
              <w:t>10</w:t>
            </w:r>
          </w:p>
        </w:tc>
      </w:tr>
      <w:tr>
        <w:tc>
          <w:tcPr>
            <w:tcW w:type="dxa" w:w="8640"/>
            <w:tcMar>
              <w:top w:w="15" w:type="dxa"/>
              <w:bottom w:w="15" w:type="dxa"/>
              <w:left w:w="20" w:type="dxa"/>
              <w:right w:w="20" w:type="dxa"/>
            </w:tcMar>
          </w:tcPr>
          <w:p>
            <w:r>
              <w:rPr>
                <w:rFonts w:ascii="Calibri" w:hAnsi="Calibri"/>
                <w:b/>
                <w:sz w:val="17"/>
              </w:rPr>
              <w:t xml:space="preserve">    6.1 Probability of Failure (PoF) Evaluation</w:t>
            </w:r>
          </w:p>
        </w:tc>
        <w:tc>
          <w:tcPr>
            <w:tcW w:type="dxa" w:w="1152"/>
            <w:tcMar>
              <w:top w:w="15" w:type="dxa"/>
              <w:bottom w:w="15" w:type="dxa"/>
              <w:left w:w="20" w:type="dxa"/>
              <w:right w:w="20" w:type="dxa"/>
            </w:tcMar>
          </w:tcPr>
          <w:p>
            <w:pPr>
              <w:jc w:val="right"/>
            </w:pPr>
            <w:r>
              <w:rPr>
                <w:rFonts w:ascii="Calibri" w:hAnsi="Calibri"/>
                <w:b/>
                <w:sz w:val="17"/>
              </w:rPr>
              <w:t>10</w:t>
            </w:r>
          </w:p>
        </w:tc>
      </w:tr>
      <w:tr>
        <w:tc>
          <w:tcPr>
            <w:tcW w:type="dxa" w:w="8640"/>
            <w:tcMar>
              <w:top w:w="15" w:type="dxa"/>
              <w:bottom w:w="15" w:type="dxa"/>
              <w:left w:w="20" w:type="dxa"/>
              <w:right w:w="20" w:type="dxa"/>
            </w:tcMar>
          </w:tcPr>
          <w:p>
            <w:r>
              <w:rPr>
                <w:rFonts w:ascii="Calibri" w:hAnsi="Calibri"/>
                <w:b/>
                <w:sz w:val="17"/>
              </w:rPr>
              <w:t xml:space="preserve">    6.2 Subsystem Condition Assessments</w:t>
            </w:r>
          </w:p>
        </w:tc>
        <w:tc>
          <w:tcPr>
            <w:tcW w:type="dxa" w:w="1152"/>
            <w:tcMar>
              <w:top w:w="15" w:type="dxa"/>
              <w:bottom w:w="15" w:type="dxa"/>
              <w:left w:w="20" w:type="dxa"/>
              <w:right w:w="20" w:type="dxa"/>
            </w:tcMar>
          </w:tcPr>
          <w:p>
            <w:pPr>
              <w:jc w:val="right"/>
            </w:pPr>
            <w:r>
              <w:rPr>
                <w:rFonts w:ascii="Calibri" w:hAnsi="Calibri"/>
                <w:b/>
                <w:sz w:val="17"/>
              </w:rPr>
              <w:t>12</w:t>
            </w:r>
          </w:p>
        </w:tc>
      </w:tr>
      <w:tr>
        <w:tc>
          <w:tcPr>
            <w:tcW w:type="dxa" w:w="8640"/>
            <w:tcMar>
              <w:top w:w="15" w:type="dxa"/>
              <w:bottom w:w="15" w:type="dxa"/>
              <w:left w:w="20" w:type="dxa"/>
              <w:right w:w="20" w:type="dxa"/>
            </w:tcMar>
          </w:tcPr>
          <w:p>
            <w:r>
              <w:rPr>
                <w:rFonts w:ascii="Calibri" w:hAnsi="Calibri"/>
                <w:b/>
                <w:sz w:val="17"/>
              </w:rPr>
              <w:t xml:space="preserve">        6.2.1 General Condition (Visual Inspection)</w:t>
            </w:r>
          </w:p>
        </w:tc>
        <w:tc>
          <w:tcPr>
            <w:tcW w:type="dxa" w:w="1152"/>
            <w:tcMar>
              <w:top w:w="15" w:type="dxa"/>
              <w:bottom w:w="15" w:type="dxa"/>
              <w:left w:w="20" w:type="dxa"/>
              <w:right w:w="20" w:type="dxa"/>
            </w:tcMar>
          </w:tcPr>
          <w:p>
            <w:pPr>
              <w:jc w:val="right"/>
            </w:pPr>
            <w:r>
              <w:rPr>
                <w:rFonts w:ascii="Calibri" w:hAnsi="Calibri"/>
                <w:b/>
                <w:sz w:val="17"/>
              </w:rPr>
              <w:t>12</w:t>
            </w:r>
          </w:p>
        </w:tc>
      </w:tr>
      <w:tr>
        <w:tc>
          <w:tcPr>
            <w:tcW w:type="dxa" w:w="8640"/>
            <w:tcMar>
              <w:top w:w="15" w:type="dxa"/>
              <w:bottom w:w="15" w:type="dxa"/>
              <w:left w:w="20" w:type="dxa"/>
              <w:right w:w="20" w:type="dxa"/>
            </w:tcMar>
          </w:tcPr>
          <w:p>
            <w:r>
              <w:rPr>
                <w:rFonts w:ascii="Calibri" w:hAnsi="Calibri"/>
                <w:b/>
                <w:sz w:val="17"/>
              </w:rPr>
              <w:t xml:space="preserve">        6.2.2 Bushings Subsystem (10 kV C1 &amp; C2 Tests)</w:t>
            </w:r>
          </w:p>
        </w:tc>
        <w:tc>
          <w:tcPr>
            <w:tcW w:type="dxa" w:w="1152"/>
            <w:tcMar>
              <w:top w:w="15" w:type="dxa"/>
              <w:bottom w:w="15" w:type="dxa"/>
              <w:left w:w="20" w:type="dxa"/>
              <w:right w:w="20" w:type="dxa"/>
            </w:tcMar>
          </w:tcPr>
          <w:p>
            <w:pPr>
              <w:jc w:val="right"/>
            </w:pPr>
            <w:r>
              <w:rPr>
                <w:rFonts w:ascii="Calibri" w:hAnsi="Calibri"/>
                <w:b/>
                <w:sz w:val="17"/>
              </w:rPr>
              <w:t>14</w:t>
            </w:r>
          </w:p>
        </w:tc>
      </w:tr>
      <w:tr>
        <w:tc>
          <w:tcPr>
            <w:tcW w:type="dxa" w:w="8640"/>
            <w:tcMar>
              <w:top w:w="15" w:type="dxa"/>
              <w:bottom w:w="15" w:type="dxa"/>
              <w:left w:w="20" w:type="dxa"/>
              <w:right w:w="20" w:type="dxa"/>
            </w:tcMar>
          </w:tcPr>
          <w:p>
            <w:r>
              <w:rPr>
                <w:rFonts w:ascii="Calibri" w:hAnsi="Calibri"/>
                <w:b/>
                <w:sz w:val="17"/>
              </w:rPr>
              <w:t xml:space="preserve">        6.2.3 Active Part Diagnostics (Winding &amp; Core)</w:t>
            </w:r>
          </w:p>
        </w:tc>
        <w:tc>
          <w:tcPr>
            <w:tcW w:type="dxa" w:w="1152"/>
            <w:tcMar>
              <w:top w:w="15" w:type="dxa"/>
              <w:bottom w:w="15" w:type="dxa"/>
              <w:left w:w="20" w:type="dxa"/>
              <w:right w:w="20" w:type="dxa"/>
            </w:tcMar>
          </w:tcPr>
          <w:p>
            <w:pPr>
              <w:jc w:val="right"/>
            </w:pPr>
            <w:r>
              <w:rPr>
                <w:rFonts w:ascii="Calibri" w:hAnsi="Calibri"/>
                <w:b/>
                <w:sz w:val="17"/>
              </w:rPr>
              <w:t>17</w:t>
            </w:r>
          </w:p>
        </w:tc>
      </w:tr>
      <w:tr>
        <w:tc>
          <w:tcPr>
            <w:tcW w:type="dxa" w:w="8640"/>
            <w:tcMar>
              <w:top w:w="15" w:type="dxa"/>
              <w:bottom w:w="15" w:type="dxa"/>
              <w:left w:w="20" w:type="dxa"/>
              <w:right w:w="20" w:type="dxa"/>
            </w:tcMar>
          </w:tcPr>
          <w:p>
            <w:r>
              <w:rPr>
                <w:rFonts w:ascii="Calibri" w:hAnsi="Calibri"/>
                <w:sz w:val="17"/>
              </w:rPr>
              <w:t xml:space="preserve">              - Insulation Resistance &amp; Polarization Index (IR/PI)</w:t>
            </w:r>
          </w:p>
        </w:tc>
        <w:tc>
          <w:tcPr>
            <w:tcW w:type="dxa" w:w="1152"/>
            <w:tcMar>
              <w:top w:w="15" w:type="dxa"/>
              <w:bottom w:w="15" w:type="dxa"/>
              <w:left w:w="20" w:type="dxa"/>
              <w:right w:w="20" w:type="dxa"/>
            </w:tcMar>
          </w:tcPr>
          <w:p>
            <w:pPr>
              <w:jc w:val="right"/>
            </w:pPr>
            <w:r>
              <w:rPr>
                <w:rFonts w:ascii="Calibri" w:hAnsi="Calibri"/>
                <w:sz w:val="17"/>
              </w:rPr>
              <w:t>18</w:t>
            </w:r>
          </w:p>
        </w:tc>
      </w:tr>
      <w:tr>
        <w:tc>
          <w:tcPr>
            <w:tcW w:type="dxa" w:w="8640"/>
            <w:tcMar>
              <w:top w:w="15" w:type="dxa"/>
              <w:bottom w:w="15" w:type="dxa"/>
              <w:left w:w="20" w:type="dxa"/>
              <w:right w:w="20" w:type="dxa"/>
            </w:tcMar>
          </w:tcPr>
          <w:p>
            <w:r>
              <w:rPr>
                <w:rFonts w:ascii="Calibri" w:hAnsi="Calibri"/>
                <w:sz w:val="17"/>
              </w:rPr>
              <w:t xml:space="preserve">              - Insulation Power Factor &amp; Capacitance</w:t>
            </w:r>
          </w:p>
        </w:tc>
        <w:tc>
          <w:tcPr>
            <w:tcW w:type="dxa" w:w="1152"/>
            <w:tcMar>
              <w:top w:w="15" w:type="dxa"/>
              <w:bottom w:w="15" w:type="dxa"/>
              <w:left w:w="20" w:type="dxa"/>
              <w:right w:w="20" w:type="dxa"/>
            </w:tcMar>
          </w:tcPr>
          <w:p>
            <w:pPr>
              <w:jc w:val="right"/>
            </w:pPr>
            <w:r>
              <w:rPr>
                <w:rFonts w:ascii="Calibri" w:hAnsi="Calibri"/>
                <w:sz w:val="17"/>
              </w:rPr>
              <w:t>20</w:t>
            </w:r>
          </w:p>
        </w:tc>
      </w:tr>
      <w:tr>
        <w:tc>
          <w:tcPr>
            <w:tcW w:type="dxa" w:w="8640"/>
            <w:tcMar>
              <w:top w:w="15" w:type="dxa"/>
              <w:bottom w:w="15" w:type="dxa"/>
              <w:left w:w="20" w:type="dxa"/>
              <w:right w:w="20" w:type="dxa"/>
            </w:tcMar>
          </w:tcPr>
          <w:p>
            <w:r>
              <w:rPr>
                <w:rFonts w:ascii="Calibri" w:hAnsi="Calibri"/>
                <w:sz w:val="17"/>
              </w:rPr>
              <w:t xml:space="preserve">              - Transformer Turn Ratio &amp; Polarity</w:t>
            </w:r>
          </w:p>
        </w:tc>
        <w:tc>
          <w:tcPr>
            <w:tcW w:type="dxa" w:w="1152"/>
            <w:tcMar>
              <w:top w:w="15" w:type="dxa"/>
              <w:bottom w:w="15" w:type="dxa"/>
              <w:left w:w="20" w:type="dxa"/>
              <w:right w:w="20" w:type="dxa"/>
            </w:tcMar>
          </w:tcPr>
          <w:p>
            <w:pPr>
              <w:jc w:val="right"/>
            </w:pPr>
            <w:r>
              <w:rPr>
                <w:rFonts w:ascii="Calibri" w:hAnsi="Calibri"/>
                <w:sz w:val="17"/>
              </w:rPr>
              <w:t>22</w:t>
            </w:r>
          </w:p>
        </w:tc>
      </w:tr>
      <w:tr>
        <w:tc>
          <w:tcPr>
            <w:tcW w:type="dxa" w:w="8640"/>
            <w:tcMar>
              <w:top w:w="15" w:type="dxa"/>
              <w:bottom w:w="15" w:type="dxa"/>
              <w:left w:w="20" w:type="dxa"/>
              <w:right w:w="20" w:type="dxa"/>
            </w:tcMar>
          </w:tcPr>
          <w:p>
            <w:r>
              <w:rPr>
                <w:rFonts w:ascii="Calibri" w:hAnsi="Calibri"/>
                <w:sz w:val="17"/>
              </w:rPr>
              <w:t xml:space="preserve">              - Exciting Current Balance (HLH Pattern)</w:t>
            </w:r>
          </w:p>
        </w:tc>
        <w:tc>
          <w:tcPr>
            <w:tcW w:type="dxa" w:w="1152"/>
            <w:tcMar>
              <w:top w:w="15" w:type="dxa"/>
              <w:bottom w:w="15" w:type="dxa"/>
              <w:left w:w="20" w:type="dxa"/>
              <w:right w:w="20" w:type="dxa"/>
            </w:tcMar>
          </w:tcPr>
          <w:p>
            <w:pPr>
              <w:jc w:val="right"/>
            </w:pPr>
            <w:r>
              <w:rPr>
                <w:rFonts w:ascii="Calibri" w:hAnsi="Calibri"/>
                <w:sz w:val="17"/>
              </w:rPr>
              <w:t>24</w:t>
            </w:r>
          </w:p>
        </w:tc>
      </w:tr>
      <w:tr>
        <w:tc>
          <w:tcPr>
            <w:tcW w:type="dxa" w:w="8640"/>
            <w:tcMar>
              <w:top w:w="15" w:type="dxa"/>
              <w:bottom w:w="15" w:type="dxa"/>
              <w:left w:w="20" w:type="dxa"/>
              <w:right w:w="20" w:type="dxa"/>
            </w:tcMar>
          </w:tcPr>
          <w:p>
            <w:r>
              <w:rPr>
                <w:rFonts w:ascii="Calibri" w:hAnsi="Calibri"/>
                <w:sz w:val="17"/>
              </w:rPr>
              <w:t xml:space="preserve">              - DC Winding Resistance &amp; Phase Deviation</w:t>
            </w:r>
          </w:p>
        </w:tc>
        <w:tc>
          <w:tcPr>
            <w:tcW w:type="dxa" w:w="1152"/>
            <w:tcMar>
              <w:top w:w="15" w:type="dxa"/>
              <w:bottom w:w="15" w:type="dxa"/>
              <w:left w:w="20" w:type="dxa"/>
              <w:right w:w="20" w:type="dxa"/>
            </w:tcMar>
          </w:tcPr>
          <w:p>
            <w:pPr>
              <w:jc w:val="right"/>
            </w:pPr>
            <w:r>
              <w:rPr>
                <w:rFonts w:ascii="Calibri" w:hAnsi="Calibri"/>
                <w:sz w:val="17"/>
              </w:rPr>
              <w:t>26</w:t>
            </w:r>
          </w:p>
        </w:tc>
      </w:tr>
      <w:tr>
        <w:tc>
          <w:tcPr>
            <w:tcW w:type="dxa" w:w="8640"/>
            <w:tcMar>
              <w:top w:w="15" w:type="dxa"/>
              <w:bottom w:w="15" w:type="dxa"/>
              <w:left w:w="20" w:type="dxa"/>
              <w:right w:w="20" w:type="dxa"/>
            </w:tcMar>
          </w:tcPr>
          <w:p>
            <w:r>
              <w:rPr>
                <w:rFonts w:ascii="Calibri" w:hAnsi="Calibri"/>
                <w:sz w:val="17"/>
              </w:rPr>
              <w:t xml:space="preserve">              - Short Circuit Impedance (%Z)</w:t>
            </w:r>
          </w:p>
        </w:tc>
        <w:tc>
          <w:tcPr>
            <w:tcW w:type="dxa" w:w="1152"/>
            <w:tcMar>
              <w:top w:w="15" w:type="dxa"/>
              <w:bottom w:w="15" w:type="dxa"/>
              <w:left w:w="20" w:type="dxa"/>
              <w:right w:w="20" w:type="dxa"/>
            </w:tcMar>
          </w:tcPr>
          <w:p>
            <w:pPr>
              <w:jc w:val="right"/>
            </w:pPr>
            <w:r>
              <w:rPr>
                <w:rFonts w:ascii="Calibri" w:hAnsi="Calibri"/>
                <w:sz w:val="17"/>
              </w:rPr>
              <w:t>28</w:t>
            </w:r>
          </w:p>
        </w:tc>
      </w:tr>
      <w:tr>
        <w:tc>
          <w:tcPr>
            <w:tcW w:type="dxa" w:w="8640"/>
            <w:tcMar>
              <w:top w:w="15" w:type="dxa"/>
              <w:bottom w:w="15" w:type="dxa"/>
              <w:left w:w="20" w:type="dxa"/>
              <w:right w:w="20" w:type="dxa"/>
            </w:tcMar>
          </w:tcPr>
          <w:p>
            <w:r>
              <w:rPr>
                <w:rFonts w:ascii="Calibri" w:hAnsi="Calibri"/>
                <w:sz w:val="17"/>
              </w:rPr>
              <w:t xml:space="preserve">              - Frequency Response Analysis (FRA) &amp; Stray Losses (FRSL)</w:t>
            </w:r>
          </w:p>
        </w:tc>
        <w:tc>
          <w:tcPr>
            <w:tcW w:type="dxa" w:w="1152"/>
            <w:tcMar>
              <w:top w:w="15" w:type="dxa"/>
              <w:bottom w:w="15" w:type="dxa"/>
              <w:left w:w="20" w:type="dxa"/>
              <w:right w:w="20" w:type="dxa"/>
            </w:tcMar>
          </w:tcPr>
          <w:p>
            <w:pPr>
              <w:jc w:val="right"/>
            </w:pPr>
            <w:r>
              <w:rPr>
                <w:rFonts w:ascii="Calibri" w:hAnsi="Calibri"/>
                <w:sz w:val="17"/>
              </w:rPr>
              <w:t>30</w:t>
            </w:r>
          </w:p>
        </w:tc>
      </w:tr>
      <w:tr>
        <w:tc>
          <w:tcPr>
            <w:tcW w:type="dxa" w:w="8640"/>
            <w:tcMar>
              <w:top w:w="15" w:type="dxa"/>
              <w:bottom w:w="15" w:type="dxa"/>
              <w:left w:w="20" w:type="dxa"/>
              <w:right w:w="20" w:type="dxa"/>
            </w:tcMar>
          </w:tcPr>
          <w:p>
            <w:r>
              <w:rPr>
                <w:rFonts w:ascii="Calibri" w:hAnsi="Calibri"/>
                <w:sz w:val="17"/>
              </w:rPr>
              <w:t xml:space="preserve">              - Dielectric Frequency Response (DFR / FDS via DIRANA)</w:t>
            </w:r>
          </w:p>
        </w:tc>
        <w:tc>
          <w:tcPr>
            <w:tcW w:type="dxa" w:w="1152"/>
            <w:tcMar>
              <w:top w:w="15" w:type="dxa"/>
              <w:bottom w:w="15" w:type="dxa"/>
              <w:left w:w="20" w:type="dxa"/>
              <w:right w:w="20" w:type="dxa"/>
            </w:tcMar>
          </w:tcPr>
          <w:p>
            <w:pPr>
              <w:jc w:val="right"/>
            </w:pPr>
            <w:r>
              <w:rPr>
                <w:rFonts w:ascii="Calibri" w:hAnsi="Calibri"/>
                <w:sz w:val="17"/>
              </w:rPr>
              <w:t>32</w:t>
            </w:r>
          </w:p>
        </w:tc>
      </w:tr>
      <w:tr>
        <w:tc>
          <w:tcPr>
            <w:tcW w:type="dxa" w:w="8640"/>
            <w:tcMar>
              <w:top w:w="15" w:type="dxa"/>
              <w:bottom w:w="15" w:type="dxa"/>
              <w:left w:w="20" w:type="dxa"/>
              <w:right w:w="20" w:type="dxa"/>
            </w:tcMar>
          </w:tcPr>
          <w:p>
            <w:r>
              <w:rPr>
                <w:rFonts w:ascii="Calibri" w:hAnsi="Calibri"/>
                <w:b/>
                <w:sz w:val="17"/>
              </w:rPr>
              <w:t xml:space="preserve">        6.2.4 Dissolved Gas Analysis (DGA) in Main Tank</w:t>
            </w:r>
          </w:p>
        </w:tc>
        <w:tc>
          <w:tcPr>
            <w:tcW w:type="dxa" w:w="1152"/>
            <w:tcMar>
              <w:top w:w="15" w:type="dxa"/>
              <w:bottom w:w="15" w:type="dxa"/>
              <w:left w:w="20" w:type="dxa"/>
              <w:right w:w="20" w:type="dxa"/>
            </w:tcMar>
          </w:tcPr>
          <w:p>
            <w:pPr>
              <w:jc w:val="right"/>
            </w:pPr>
            <w:r>
              <w:rPr>
                <w:rFonts w:ascii="Calibri" w:hAnsi="Calibri"/>
                <w:b/>
                <w:sz w:val="17"/>
              </w:rPr>
              <w:t>34</w:t>
            </w:r>
          </w:p>
        </w:tc>
      </w:tr>
      <w:tr>
        <w:tc>
          <w:tcPr>
            <w:tcW w:type="dxa" w:w="8640"/>
            <w:tcMar>
              <w:top w:w="15" w:type="dxa"/>
              <w:bottom w:w="15" w:type="dxa"/>
              <w:left w:w="20" w:type="dxa"/>
              <w:right w:w="20" w:type="dxa"/>
            </w:tcMar>
          </w:tcPr>
          <w:p>
            <w:r>
              <w:rPr>
                <w:rFonts w:ascii="Calibri" w:hAnsi="Calibri"/>
                <w:b/>
                <w:sz w:val="17"/>
              </w:rPr>
              <w:t xml:space="preserve">        6.2.5 Liquid Insulation Properties &amp; Quality Factor (OQF)</w:t>
            </w:r>
          </w:p>
        </w:tc>
        <w:tc>
          <w:tcPr>
            <w:tcW w:type="dxa" w:w="1152"/>
            <w:tcMar>
              <w:top w:w="15" w:type="dxa"/>
              <w:bottom w:w="15" w:type="dxa"/>
              <w:left w:w="20" w:type="dxa"/>
              <w:right w:w="20" w:type="dxa"/>
            </w:tcMar>
          </w:tcPr>
          <w:p>
            <w:pPr>
              <w:jc w:val="right"/>
            </w:pPr>
            <w:r>
              <w:rPr>
                <w:rFonts w:ascii="Calibri" w:hAnsi="Calibri"/>
                <w:b/>
                <w:sz w:val="17"/>
              </w:rPr>
              <w:t>38</w:t>
            </w:r>
          </w:p>
        </w:tc>
      </w:tr>
      <w:tr>
        <w:tc>
          <w:tcPr>
            <w:tcW w:type="dxa" w:w="8640"/>
            <w:tcMar>
              <w:top w:w="15" w:type="dxa"/>
              <w:bottom w:w="15" w:type="dxa"/>
              <w:left w:w="20" w:type="dxa"/>
              <w:right w:w="20" w:type="dxa"/>
            </w:tcMar>
          </w:tcPr>
          <w:p>
            <w:r>
              <w:rPr>
                <w:rFonts w:ascii="Calibri" w:hAnsi="Calibri"/>
                <w:b/>
                <w:sz w:val="17"/>
              </w:rPr>
              <w:t xml:space="preserve">        6.2.6 Surge Arrester Diagnostics</w:t>
            </w:r>
          </w:p>
        </w:tc>
        <w:tc>
          <w:tcPr>
            <w:tcW w:type="dxa" w:w="1152"/>
            <w:tcMar>
              <w:top w:w="15" w:type="dxa"/>
              <w:bottom w:w="15" w:type="dxa"/>
              <w:left w:w="20" w:type="dxa"/>
              <w:right w:w="20" w:type="dxa"/>
            </w:tcMar>
          </w:tcPr>
          <w:p>
            <w:pPr>
              <w:jc w:val="right"/>
            </w:pPr>
            <w:r>
              <w:rPr>
                <w:rFonts w:ascii="Calibri" w:hAnsi="Calibri"/>
                <w:b/>
                <w:sz w:val="17"/>
              </w:rPr>
              <w:t>43</w:t>
            </w:r>
          </w:p>
        </w:tc>
      </w:tr>
      <w:tr>
        <w:tc>
          <w:tcPr>
            <w:tcW w:type="dxa" w:w="8640"/>
            <w:tcMar>
              <w:top w:w="15" w:type="dxa"/>
              <w:bottom w:w="15" w:type="dxa"/>
              <w:left w:w="20" w:type="dxa"/>
              <w:right w:w="20" w:type="dxa"/>
            </w:tcMar>
          </w:tcPr>
          <w:p>
            <w:r>
              <w:rPr>
                <w:rFonts w:ascii="Calibri" w:hAnsi="Calibri"/>
                <w:b/>
                <w:sz w:val="17"/>
              </w:rPr>
              <w:t xml:space="preserve">        6.2.7 On-Load Tap Changer (OLTC) Subsystem</w:t>
            </w:r>
          </w:p>
        </w:tc>
        <w:tc>
          <w:tcPr>
            <w:tcW w:type="dxa" w:w="1152"/>
            <w:tcMar>
              <w:top w:w="15" w:type="dxa"/>
              <w:bottom w:w="15" w:type="dxa"/>
              <w:left w:w="20" w:type="dxa"/>
              <w:right w:w="20" w:type="dxa"/>
            </w:tcMar>
          </w:tcPr>
          <w:p>
            <w:pPr>
              <w:jc w:val="right"/>
            </w:pPr>
            <w:r>
              <w:rPr>
                <w:rFonts w:ascii="Calibri" w:hAnsi="Calibri"/>
                <w:b/>
                <w:sz w:val="17"/>
              </w:rPr>
              <w:t>45</w:t>
            </w:r>
          </w:p>
        </w:tc>
      </w:tr>
      <w:tr>
        <w:tc>
          <w:tcPr>
            <w:tcW w:type="dxa" w:w="8640"/>
            <w:tcMar>
              <w:top w:w="15" w:type="dxa"/>
              <w:bottom w:w="15" w:type="dxa"/>
              <w:left w:w="20" w:type="dxa"/>
              <w:right w:w="20" w:type="dxa"/>
            </w:tcMar>
          </w:tcPr>
          <w:p>
            <w:r>
              <w:rPr>
                <w:rFonts w:ascii="Calibri" w:hAnsi="Calibri"/>
                <w:b/>
                <w:sz w:val="17"/>
              </w:rPr>
              <w:t xml:space="preserve">    6.3 Transformer Impact &amp; Criticality Evaluation</w:t>
            </w:r>
          </w:p>
        </w:tc>
        <w:tc>
          <w:tcPr>
            <w:tcW w:type="dxa" w:w="1152"/>
            <w:tcMar>
              <w:top w:w="15" w:type="dxa"/>
              <w:bottom w:w="15" w:type="dxa"/>
              <w:left w:w="20" w:type="dxa"/>
              <w:right w:w="20" w:type="dxa"/>
            </w:tcMar>
          </w:tcPr>
          <w:p>
            <w:pPr>
              <w:jc w:val="right"/>
            </w:pPr>
            <w:r>
              <w:rPr>
                <w:rFonts w:ascii="Calibri" w:hAnsi="Calibri"/>
                <w:b/>
                <w:sz w:val="17"/>
              </w:rPr>
              <w:t>48</w:t>
            </w:r>
          </w:p>
        </w:tc>
      </w:tr>
      <w:tr>
        <w:tc>
          <w:tcPr>
            <w:tcW w:type="dxa" w:w="8640"/>
            <w:tcMar>
              <w:top w:w="15" w:type="dxa"/>
              <w:bottom w:w="15" w:type="dxa"/>
              <w:left w:w="20" w:type="dxa"/>
              <w:right w:w="20" w:type="dxa"/>
            </w:tcMar>
          </w:tcPr>
          <w:p>
            <w:r>
              <w:rPr>
                <w:rFonts w:ascii="Calibri" w:hAnsi="Calibri"/>
                <w:b/>
                <w:sz w:val="17"/>
              </w:rPr>
              <w:t xml:space="preserve">    6.4 Transformer Risk Matrix (CIGRE TB 761 Standard)</w:t>
            </w:r>
          </w:p>
        </w:tc>
        <w:tc>
          <w:tcPr>
            <w:tcW w:type="dxa" w:w="1152"/>
            <w:tcMar>
              <w:top w:w="15" w:type="dxa"/>
              <w:bottom w:w="15" w:type="dxa"/>
              <w:left w:w="20" w:type="dxa"/>
              <w:right w:w="20" w:type="dxa"/>
            </w:tcMar>
          </w:tcPr>
          <w:p>
            <w:pPr>
              <w:jc w:val="right"/>
            </w:pPr>
            <w:r>
              <w:rPr>
                <w:rFonts w:ascii="Calibri" w:hAnsi="Calibri"/>
                <w:b/>
                <w:sz w:val="17"/>
              </w:rPr>
              <w:t>50</w:t>
            </w:r>
          </w:p>
        </w:tc>
      </w:tr>
      <w:tr>
        <w:tc>
          <w:tcPr>
            <w:tcW w:type="dxa" w:w="8640"/>
            <w:tcMar>
              <w:top w:w="15" w:type="dxa"/>
              <w:bottom w:w="15" w:type="dxa"/>
              <w:left w:w="20" w:type="dxa"/>
              <w:right w:w="20" w:type="dxa"/>
            </w:tcMar>
          </w:tcPr>
          <w:p>
            <w:r>
              <w:rPr>
                <w:rFonts w:ascii="Calibri" w:hAnsi="Calibri"/>
                <w:b/>
                <w:sz w:val="17"/>
              </w:rPr>
              <w:t xml:space="preserve">    6.5 Expected Remaining Lifetime Modeling (SINTEF &amp; Arrhenius)</w:t>
            </w:r>
          </w:p>
        </w:tc>
        <w:tc>
          <w:tcPr>
            <w:tcW w:type="dxa" w:w="1152"/>
            <w:tcMar>
              <w:top w:w="15" w:type="dxa"/>
              <w:bottom w:w="15" w:type="dxa"/>
              <w:left w:w="20" w:type="dxa"/>
              <w:right w:w="20" w:type="dxa"/>
            </w:tcMar>
          </w:tcPr>
          <w:p>
            <w:pPr>
              <w:jc w:val="right"/>
            </w:pPr>
            <w:r>
              <w:rPr>
                <w:rFonts w:ascii="Calibri" w:hAnsi="Calibri"/>
                <w:b/>
                <w:sz w:val="17"/>
              </w:rPr>
              <w:t>52</w:t>
            </w:r>
          </w:p>
        </w:tc>
      </w:tr>
      <w:tr>
        <w:tc>
          <w:tcPr>
            <w:tcW w:type="dxa" w:w="8640"/>
            <w:tcMar>
              <w:top w:w="15" w:type="dxa"/>
              <w:bottom w:w="15" w:type="dxa"/>
              <w:left w:w="20" w:type="dxa"/>
              <w:right w:w="20" w:type="dxa"/>
            </w:tcMar>
          </w:tcPr>
          <w:p>
            <w:r>
              <w:rPr>
                <w:rFonts w:ascii="Calibri" w:hAnsi="Calibri"/>
                <w:b/>
                <w:sz w:val="17"/>
              </w:rPr>
              <w:t>7. Recommendations &amp; Monitoring Gaps Audit</w:t>
            </w:r>
          </w:p>
        </w:tc>
        <w:tc>
          <w:tcPr>
            <w:tcW w:type="dxa" w:w="1152"/>
            <w:tcMar>
              <w:top w:w="15" w:type="dxa"/>
              <w:bottom w:w="15" w:type="dxa"/>
              <w:left w:w="20" w:type="dxa"/>
              <w:right w:w="20" w:type="dxa"/>
            </w:tcMar>
          </w:tcPr>
          <w:p>
            <w:pPr>
              <w:jc w:val="right"/>
            </w:pPr>
            <w:r>
              <w:rPr>
                <w:rFonts w:ascii="Calibri" w:hAnsi="Calibri"/>
                <w:b/>
                <w:sz w:val="17"/>
              </w:rPr>
              <w:t>57</w:t>
            </w:r>
          </w:p>
        </w:tc>
      </w:tr>
      <w:tr>
        <w:tc>
          <w:tcPr>
            <w:tcW w:type="dxa" w:w="8640"/>
            <w:tcMar>
              <w:top w:w="15" w:type="dxa"/>
              <w:bottom w:w="15" w:type="dxa"/>
              <w:left w:w="20" w:type="dxa"/>
              <w:right w:w="20" w:type="dxa"/>
            </w:tcMar>
          </w:tcPr>
          <w:p>
            <w:r>
              <w:rPr>
                <w:rFonts w:ascii="Calibri" w:hAnsi="Calibri"/>
                <w:b/>
                <w:sz w:val="17"/>
              </w:rPr>
              <w:t>8. Standards and References</w:t>
            </w:r>
          </w:p>
        </w:tc>
        <w:tc>
          <w:tcPr>
            <w:tcW w:type="dxa" w:w="1152"/>
            <w:tcMar>
              <w:top w:w="15" w:type="dxa"/>
              <w:bottom w:w="15" w:type="dxa"/>
              <w:left w:w="20" w:type="dxa"/>
              <w:right w:w="20" w:type="dxa"/>
            </w:tcMar>
          </w:tcPr>
          <w:p>
            <w:pPr>
              <w:jc w:val="right"/>
            </w:pPr>
            <w:r>
              <w:rPr>
                <w:rFonts w:ascii="Calibri" w:hAnsi="Calibri"/>
                <w:b/>
                <w:sz w:val="17"/>
              </w:rPr>
              <w:t>60</w:t>
            </w:r>
          </w:p>
        </w:tc>
      </w:tr>
      <w:tr>
        <w:tc>
          <w:tcPr>
            <w:tcW w:type="dxa" w:w="8640"/>
            <w:tcMar>
              <w:top w:w="15" w:type="dxa"/>
              <w:bottom w:w="15" w:type="dxa"/>
              <w:left w:w="20" w:type="dxa"/>
              <w:right w:w="20" w:type="dxa"/>
            </w:tcMar>
          </w:tcPr>
          <w:p>
            <w:r>
              <w:rPr>
                <w:rFonts w:ascii="Calibri" w:hAnsi="Calibri"/>
                <w:b/>
                <w:sz w:val="17"/>
              </w:rPr>
              <w:t>Appendix 1: Color Code Definitions for Equipment Conditions</w:t>
            </w:r>
          </w:p>
        </w:tc>
        <w:tc>
          <w:tcPr>
            <w:tcW w:type="dxa" w:w="1152"/>
            <w:tcMar>
              <w:top w:w="15" w:type="dxa"/>
              <w:bottom w:w="15" w:type="dxa"/>
              <w:left w:w="20" w:type="dxa"/>
              <w:right w:w="20" w:type="dxa"/>
            </w:tcMar>
          </w:tcPr>
          <w:p>
            <w:pPr>
              <w:jc w:val="right"/>
            </w:pPr>
            <w:r>
              <w:rPr>
                <w:rFonts w:ascii="Calibri" w:hAnsi="Calibri"/>
                <w:b/>
                <w:sz w:val="17"/>
              </w:rPr>
              <w:t>62</w:t>
            </w:r>
          </w:p>
        </w:tc>
      </w:tr>
      <w:tr>
        <w:tc>
          <w:tcPr>
            <w:tcW w:type="dxa" w:w="8640"/>
            <w:tcMar>
              <w:top w:w="15" w:type="dxa"/>
              <w:bottom w:w="15" w:type="dxa"/>
              <w:left w:w="20" w:type="dxa"/>
              <w:right w:w="20" w:type="dxa"/>
            </w:tcMar>
          </w:tcPr>
          <w:p>
            <w:r>
              <w:rPr>
                <w:rFonts w:ascii="Calibri" w:hAnsi="Calibri"/>
                <w:b/>
                <w:sz w:val="17"/>
              </w:rPr>
              <w:t>Appendix 2: Diagnostic Test Reports (Official Form Format)</w:t>
            </w:r>
          </w:p>
        </w:tc>
        <w:tc>
          <w:tcPr>
            <w:tcW w:type="dxa" w:w="1152"/>
            <w:tcMar>
              <w:top w:w="15" w:type="dxa"/>
              <w:bottom w:w="15" w:type="dxa"/>
              <w:left w:w="20" w:type="dxa"/>
              <w:right w:w="20" w:type="dxa"/>
            </w:tcMar>
          </w:tcPr>
          <w:p>
            <w:pPr>
              <w:jc w:val="right"/>
            </w:pPr>
            <w:r>
              <w:rPr>
                <w:rFonts w:ascii="Calibri" w:hAnsi="Calibri"/>
                <w:b/>
                <w:sz w:val="17"/>
              </w:rPr>
              <w:t>63</w:t>
            </w:r>
          </w:p>
        </w:tc>
      </w:tr>
      <w:tr>
        <w:tc>
          <w:tcPr>
            <w:tcW w:type="dxa" w:w="8640"/>
            <w:tcMar>
              <w:top w:w="15" w:type="dxa"/>
              <w:bottom w:w="15" w:type="dxa"/>
              <w:left w:w="20" w:type="dxa"/>
              <w:right w:w="20" w:type="dxa"/>
            </w:tcMar>
          </w:tcPr>
          <w:p>
            <w:r>
              <w:rPr>
                <w:rFonts w:ascii="Calibri" w:hAnsi="Calibri"/>
                <w:b/>
                <w:sz w:val="17"/>
              </w:rPr>
              <w:t>Appendix 3: GPSC Group Master Evaluation Criteria Matrix</w:t>
            </w:r>
          </w:p>
        </w:tc>
        <w:tc>
          <w:tcPr>
            <w:tcW w:type="dxa" w:w="1152"/>
            <w:tcMar>
              <w:top w:w="15" w:type="dxa"/>
              <w:bottom w:w="15" w:type="dxa"/>
              <w:left w:w="20" w:type="dxa"/>
              <w:right w:w="20" w:type="dxa"/>
            </w:tcMar>
          </w:tcPr>
          <w:p>
            <w:pPr>
              <w:jc w:val="right"/>
            </w:pPr>
            <w:r>
              <w:rPr>
                <w:rFonts w:ascii="Calibri" w:hAnsi="Calibri"/>
                <w:b/>
                <w:sz w:val="17"/>
              </w:rPr>
              <w:t>75</w:t>
            </w:r>
          </w:p>
        </w:tc>
      </w:tr>
    </w:tbl>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4" name="Picture 4"/>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1. Executive Summary</w:t>
            </w:r>
          </w:p>
        </w:tc>
      </w:tr>
    </w:tbl>
    <w:p>
      <w:pPr>
        <w:spacing w:before="0" w:after="80"/>
      </w:pPr>
    </w:p>
    <w:p>
      <w:pPr>
        <w:spacing w:before="0" w:after="80" w:line="276" w:lineRule="auto"/>
      </w:pPr>
      <w:r>
        <w:rPr>
          <w:rFonts w:ascii="Calibri" w:hAnsi="Calibri"/>
          <w:i w:val="0"/>
          <w:color w:val="1E293B"/>
          <w:sz w:val="19"/>
        </w:rPr>
        <w:t>This comprehensive condition and remaining life assessment report was conducted for 34101-TR-001 (Serial No. PP0158B01), a 40 MVA, 115/22 kV power transformer manufactured by DAIHEN and installed in 2008 at the Global Power Synergy Public Company Limited (GPSC) Central Utility Plant 3 (CUP-3) facility. The assessment integrates complete historical field inspection data, dielectric frequency response (DFR), dissolved gas analysis (DGA), oil quality tests, and specialized bushing power factor diagnostics conducted between 2021 and 2025.</w:t>
      </w:r>
    </w:p>
    <w:p>
      <w:pPr>
        <w:spacing w:before="0" w:after="80" w:line="276" w:lineRule="auto"/>
      </w:pPr>
      <w:r>
        <w:rPr>
          <w:rFonts w:ascii="Calibri" w:hAnsi="Calibri"/>
          <w:i w:val="0"/>
          <w:color w:val="1E293B"/>
          <w:sz w:val="19"/>
        </w:rPr>
        <w:t>The Condition Health Index (%CHI) of 34101-TR-001 indicates a Good overall condition, with an evaluated health index of 85.0% (Main Tank HI = 91.13%, OLTC HI = 75.00%). All active-part electrical parameters, dielectric breakdown voltage, paper moisture, and bushing power factors are within acceptable international standards. However, specific oil parameters are monitored for normal aging progression:</w:t>
      </w:r>
    </w:p>
    <w:p>
      <w:pPr>
        <w:spacing w:before="0" w:after="80" w:line="276" w:lineRule="auto"/>
      </w:pPr>
      <w:r>
        <w:rPr>
          <w:rFonts w:ascii="Calibri" w:hAnsi="Calibri"/>
          <w:i w:val="0"/>
          <w:color w:val="1E293B"/>
          <w:sz w:val="19"/>
        </w:rPr>
        <w:t xml:space="preserve"> • Carbon Monoxide (CO): 1,047 ppm in latest DGA (prompting routine monitoring status, though combustible hydrocarbon gases remain benign).</w:t>
        <w:br/>
        <w:t xml:space="preserve"> • Oil Conductivity: 0.267 pS/m (from DFR) to 1.0 pS/m (service-aged polar by-products).</w:t>
        <w:br/>
        <w:t xml:space="preserve"> • Interfacial Tension (IFT): 35.5 mN/m (well above the critical 25 mN/m limit).</w:t>
        <w:br/>
        <w:t xml:space="preserve"> • Moisture in Cellulose: 0.50% wt measured via DFR (OMICRON DIRANA), confirming dry solid insulation.</w:t>
        <w:br/>
        <w:t xml:space="preserve"> • Estimated Degree of Polymerization (DP): 1,089 calculated from 2-FAL furan content (5 ppb).</w:t>
      </w:r>
    </w:p>
    <w:p>
      <w:pPr>
        <w:spacing w:before="120"/>
        <w:jc w:val="center"/>
      </w:pPr>
      <w:r>
        <w:drawing>
          <wp:inline xmlns:a="http://schemas.openxmlformats.org/drawingml/2006/main" xmlns:pic="http://schemas.openxmlformats.org/drawingml/2006/picture">
            <wp:extent cx="5120640" cy="2421924"/>
            <wp:docPr id="5" name="Picture 5"/>
            <wp:cNvGraphicFramePr>
              <a:graphicFrameLocks noChangeAspect="1"/>
            </wp:cNvGraphicFramePr>
            <a:graphic>
              <a:graphicData uri="http://schemas.openxmlformats.org/drawingml/2006/picture">
                <pic:pic>
                  <pic:nvPicPr>
                    <pic:cNvPr id="0" name="fig_5_1_hi_summary.png"/>
                    <pic:cNvPicPr/>
                  </pic:nvPicPr>
                  <pic:blipFill>
                    <a:blip r:embed="rId11"/>
                    <a:stretch>
                      <a:fillRect/>
                    </a:stretch>
                  </pic:blipFill>
                  <pic:spPr>
                    <a:xfrm>
                      <a:off x="0" y="0"/>
                      <a:ext cx="5120640" cy="2421924"/>
                    </a:xfrm>
                    <a:prstGeom prst="rect"/>
                  </pic:spPr>
                </pic:pic>
              </a:graphicData>
            </a:graphic>
          </wp:inline>
        </w:drawing>
      </w:r>
    </w:p>
    <w:p>
      <w:pPr>
        <w:jc w:val="center"/>
      </w:pPr>
      <w:r>
        <w:rPr>
          <w:i/>
          <w:sz w:val="17"/>
        </w:rPr>
        <w:t>Figure 1: Overall Condition Health Index Breakdown (34101-TR-001)</w:t>
      </w:r>
    </w:p>
    <w:p>
      <w:pPr>
        <w:spacing w:before="0" w:after="80" w:line="276" w:lineRule="auto"/>
      </w:pPr>
      <w:r>
        <w:rPr>
          <w:rFonts w:ascii="Calibri" w:hAnsi="Calibri"/>
          <w:i w:val="0"/>
          <w:color w:val="1E293B"/>
          <w:sz w:val="19"/>
        </w:rPr>
        <w:t>Expected Remaining Lifetime: Grounded in the verified solid insulation state (DP = 1,089 and paper moisture = 0.50% wt), the Arrhenius second-order degradation kinetics project an expected remaining lifetime of 64 to 78 years before reaching the critical mechanical end-of-life threshold (DP = 300) under standard ONAN operating conditions.</w:t>
      </w:r>
    </w:p>
    <w:p>
      <w:pPr>
        <w:jc w:val="center"/>
      </w:pPr>
      <w:r>
        <w:drawing>
          <wp:inline xmlns:a="http://schemas.openxmlformats.org/drawingml/2006/main" xmlns:pic="http://schemas.openxmlformats.org/drawingml/2006/picture">
            <wp:extent cx="4937760" cy="2501798"/>
            <wp:docPr id="6" name="Picture 6"/>
            <wp:cNvGraphicFramePr>
              <a:graphicFrameLocks noChangeAspect="1"/>
            </wp:cNvGraphicFramePr>
            <a:graphic>
              <a:graphicData uri="http://schemas.openxmlformats.org/drawingml/2006/picture">
                <pic:pic>
                  <pic:nvPicPr>
                    <pic:cNvPr id="0" name="fig_6_3_degradation.png"/>
                    <pic:cNvPicPr/>
                  </pic:nvPicPr>
                  <pic:blipFill>
                    <a:blip r:embed="rId12"/>
                    <a:stretch>
                      <a:fillRect/>
                    </a:stretch>
                  </pic:blipFill>
                  <pic:spPr>
                    <a:xfrm>
                      <a:off x="0" y="0"/>
                      <a:ext cx="4937760" cy="2501798"/>
                    </a:xfrm>
                    <a:prstGeom prst="rect"/>
                  </pic:spPr>
                </pic:pic>
              </a:graphicData>
            </a:graphic>
          </wp:inline>
        </w:drawing>
      </w:r>
    </w:p>
    <w:p>
      <w:pPr>
        <w:jc w:val="center"/>
      </w:pPr>
      <w:r>
        <w:rPr>
          <w:i/>
          <w:sz w:val="17"/>
        </w:rPr>
        <w:t>Figure 2: Estimated Remaining Lifetime Degradation Curve (34101-TR-001)</w:t>
      </w:r>
    </w:p>
    <w:p>
      <w:pPr>
        <w:spacing w:before="0" w:after="80" w:line="276" w:lineRule="auto"/>
      </w:pPr>
      <w:r>
        <w:rPr>
          <w:rFonts w:ascii="Calibri" w:hAnsi="Calibri"/>
          <w:i w:val="0"/>
          <w:color w:val="1E293B"/>
          <w:sz w:val="19"/>
        </w:rPr>
        <w:t>Transformer Risk Matrix (CIGRE TB 761 Standard): In accordance with international standard CIGRE Technical Brochure 761 ("Condition Assessment of Power Transformers", Working Group A2.49), fleet operational risk is mapped onto a standardized 5×5 Risk Matrix (Risk = PoF × CoF). Probability of Failure is categorized as Level 1 (Very Low / Healthy, HI = 85.0%, annualized PoF = 11.2%) based on the composite Health Index (CHI = 88.5%, GHI = 81.5%). Consequence of Failure is categorized as Level 4 (Major / High Criticality, Impact Index = 82.4%) due to its dedicated industrial customer supply role. The resultant Total Risk Score is 1 × 4 = 4 (out of 25), positioning 34101-TR-001 securely inside the Green Zone (Low Risk / Acceptable - Routine Maintenance). This resolves the visual and technical contradiction of legacy 4×4 plotting where this position was incorrectly flagged in a yellow cell.</w:t>
      </w:r>
    </w:p>
    <w:p>
      <w:pPr>
        <w:jc w:val="center"/>
      </w:pPr>
      <w:r>
        <w:drawing>
          <wp:inline xmlns:a="http://schemas.openxmlformats.org/drawingml/2006/main" xmlns:pic="http://schemas.openxmlformats.org/drawingml/2006/picture">
            <wp:extent cx="4572000" cy="3522100"/>
            <wp:docPr id="7" name="Picture 7"/>
            <wp:cNvGraphicFramePr>
              <a:graphicFrameLocks noChangeAspect="1"/>
            </wp:cNvGraphicFramePr>
            <a:graphic>
              <a:graphicData uri="http://schemas.openxmlformats.org/drawingml/2006/picture">
                <pic:pic>
                  <pic:nvPicPr>
                    <pic:cNvPr id="0" name="fig_risk_matrix.png"/>
                    <pic:cNvPicPr/>
                  </pic:nvPicPr>
                  <pic:blipFill>
                    <a:blip r:embed="rId13"/>
                    <a:stretch>
                      <a:fillRect/>
                    </a:stretch>
                  </pic:blipFill>
                  <pic:spPr>
                    <a:xfrm>
                      <a:off x="0" y="0"/>
                      <a:ext cx="4572000" cy="3522100"/>
                    </a:xfrm>
                    <a:prstGeom prst="rect"/>
                  </pic:spPr>
                </pic:pic>
              </a:graphicData>
            </a:graphic>
          </wp:inline>
        </w:drawing>
      </w:r>
    </w:p>
    <w:p>
      <w:pPr>
        <w:jc w:val="center"/>
      </w:pPr>
      <w:r>
        <w:rPr>
          <w:i/>
          <w:sz w:val="17"/>
        </w:rPr>
        <w:t>Figure 3: Standard 5×5 Transformer Risk Matrix (CIGRE TB 761) for 34101-TR-001</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8" name="Picture 8"/>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2. Introduction</w:t>
            </w:r>
          </w:p>
        </w:tc>
      </w:tr>
    </w:tbl>
    <w:p>
      <w:pPr>
        <w:spacing w:before="0" w:after="80"/>
      </w:pPr>
    </w:p>
    <w:p>
      <w:pPr>
        <w:spacing w:before="0" w:after="80" w:line="276" w:lineRule="auto"/>
      </w:pPr>
      <w:r>
        <w:rPr>
          <w:rFonts w:ascii="Calibri" w:hAnsi="Calibri"/>
          <w:i w:val="0"/>
          <w:color w:val="1E293B"/>
          <w:sz w:val="19"/>
        </w:rPr>
        <w:t>Power transformers are among the most valuable and critical assets in power utility and industrial co-generation infrastructure. Although designed for decades of reliable service, degradation mechanisms in active parts, liquid oil, condenser bushings, and on-load tap changers inevitably progress under thermal, electrical, and mechanical stresses.</w:t>
      </w:r>
    </w:p>
    <w:p>
      <w:pPr>
        <w:spacing w:before="0" w:after="80" w:line="276" w:lineRule="auto"/>
      </w:pPr>
      <w:r>
        <w:rPr>
          <w:rFonts w:ascii="Calibri" w:hAnsi="Calibri"/>
          <w:i w:val="0"/>
          <w:color w:val="1E293B"/>
          <w:sz w:val="19"/>
        </w:rPr>
        <w:t>To prevent unplanned catastrophic outages, ensure personnel safety, and optimize capital replacement budgets, utilities employ quantitative asset health assessment models. The evaluation combines:</w:t>
      </w:r>
    </w:p>
    <w:p>
      <w:pPr>
        <w:spacing w:before="0" w:after="80" w:line="276" w:lineRule="auto"/>
      </w:pPr>
      <w:r>
        <w:rPr>
          <w:rFonts w:ascii="Calibri" w:hAnsi="Calibri"/>
          <w:i w:val="0"/>
          <w:color w:val="1E293B"/>
          <w:sz w:val="19"/>
        </w:rPr>
        <w:t xml:space="preserve"> • Probability of Failure (PoF): Evaluated through both the Condition Health Index (%CHI, weighted sub-component diagnostic tests) and General Health Index (%GHI, calendar age, through-fault history, load factors, and maintenance compliance).</w:t>
        <w:br/>
        <w:t xml:space="preserve"> • Impact Index (Criticality): Quantifying the technical, financial, environmental, and network reliability consequences of an unplanned outage.</w:t>
        <w:br/>
        <w:t xml:space="preserve"> • Remaining Technical Life: Scientifically calculating cellulose paper chain scissions (η) under Arrhenius chemical kinetics per CIGRE TB 323, IEEE Std C57.91, and SINTEF research models.</w:t>
      </w: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3. Objective &amp; Scope</w:t>
            </w:r>
          </w:p>
        </w:tc>
      </w:tr>
    </w:tbl>
    <w:p>
      <w:pPr>
        <w:spacing w:before="0" w:after="80"/>
      </w:pPr>
    </w:p>
    <w:p>
      <w:pPr>
        <w:keepNext/>
        <w:spacing w:before="200" w:after="60"/>
      </w:pPr>
      <w:r>
        <w:rPr>
          <w:rFonts w:ascii="Arial" w:hAnsi="Arial"/>
          <w:b/>
          <w:color w:val="2563EB"/>
          <w:sz w:val="22"/>
        </w:rPr>
        <w:t>3.1 Objective</w:t>
      </w:r>
    </w:p>
    <w:p>
      <w:pPr>
        <w:spacing w:before="0" w:after="80" w:line="276" w:lineRule="auto"/>
      </w:pPr>
      <w:r>
        <w:rPr>
          <w:rFonts w:ascii="Calibri" w:hAnsi="Calibri"/>
          <w:i w:val="0"/>
          <w:color w:val="1E293B"/>
          <w:sz w:val="19"/>
        </w:rPr>
        <w:t>The primary objective of this assessment is to execute a rigorous technical condition and remaining life assessment of the 34101-TR-001 primary distribution transformer, identifying emerging deterioration trends, establishing baseline diagnostic benchmarks, and formulating targeted asset management interventions.</w:t>
      </w:r>
    </w:p>
    <w:p>
      <w:pPr>
        <w:keepNext/>
        <w:spacing w:before="200" w:after="60"/>
      </w:pPr>
      <w:r>
        <w:rPr>
          <w:rFonts w:ascii="Arial" w:hAnsi="Arial"/>
          <w:b/>
          <w:color w:val="2563EB"/>
          <w:sz w:val="22"/>
        </w:rPr>
        <w:t>3.2 Scope of Work</w:t>
      </w:r>
    </w:p>
    <w:p>
      <w:pPr>
        <w:spacing w:before="0" w:after="80" w:line="276" w:lineRule="auto"/>
      </w:pPr>
      <w:r>
        <w:rPr>
          <w:rFonts w:ascii="Calibri" w:hAnsi="Calibri"/>
          <w:i w:val="0"/>
          <w:color w:val="1E293B"/>
          <w:sz w:val="19"/>
        </w:rPr>
        <w:t>This assessment covers transformer 34101-TR-001 located at GPSC CUP-3. The scope includes:</w:t>
        <w:br/>
        <w:t xml:space="preserve"> • Non-invasive visual inspection of external tank, conservator, dehydrating breathers, radiators, and control cabinets.</w:t>
        <w:br/>
        <w:t xml:space="preserve"> • Physical, chemical, and electrical analysis of main tank and OLTC mineral insulating oils.</w:t>
        <w:br/>
        <w:t xml:space="preserve"> • Multi-year Dissolved Gas Analysis (DGA) trending and active fault diagnostic verification (Duval Triangles, gas ratios).</w:t>
        <w:br/>
        <w:t xml:space="preserve"> • High-voltage active-part electrical diagnostics (Insulation Resistance, Polarization Index, Winding Power Factor, Voltage Ratio, Excitation Current, DC Resistance, and Short-Circuit Impedance).</w:t>
        <w:br/>
        <w:t xml:space="preserve"> • Dielectric Frequency Response (DFR / DIRANA) for direct cellulose moisture quantification.</w:t>
        <w:br/>
        <w:t xml:space="preserve"> • Diagnostic assessment of 115 kV OIP condenser bushings and station surge arresters.</w:t>
        <w:br/>
        <w:t xml:space="preserve"> • Calculation of Condition Health Index (%CHI), General Health Index (%GHI), Total Probability of Failure (PoF), and plotting on the 5x5 Risk Matrix.</w:t>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9" name="Picture 9"/>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4. Transformer Information</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74"/>
        <w:gridCol w:w="4874"/>
      </w:tblGrid>
      <w:tr>
        <w:tc>
          <w:tcPr>
            <w:tcW w:type="dxa" w:w="4032"/>
            <w:shd w:fill="1B365D"/>
          </w:tcPr>
          <w:p>
            <w:r>
              <w:rPr>
                <w:b/>
                <w:color w:val="FFFFFF"/>
              </w:rPr>
              <w:t>Nameplate Technical Specification</w:t>
            </w:r>
          </w:p>
        </w:tc>
        <w:tc>
          <w:tcPr>
            <w:tcW w:type="dxa" w:w="5760"/>
            <w:shd w:fill="1B365D"/>
          </w:tcPr>
          <w:p>
            <w:r>
              <w:rPr>
                <w:b/>
                <w:color w:val="FFFFFF"/>
              </w:rPr>
              <w:t>Design Value / Site Record</w:t>
            </w:r>
          </w:p>
        </w:tc>
      </w:tr>
      <w:tr>
        <w:tc>
          <w:tcPr>
            <w:tcW w:type="dxa" w:w="4032"/>
            <w:shd w:fill="F8FAFC"/>
            <w:tcMar>
              <w:top w:w="35" w:type="dxa"/>
              <w:bottom w:w="35" w:type="dxa"/>
              <w:left w:w="60" w:type="dxa"/>
              <w:right w:w="60" w:type="dxa"/>
            </w:tcMar>
          </w:tcPr>
          <w:p>
            <w:r>
              <w:rPr>
                <w:sz w:val="17"/>
              </w:rPr>
              <w:t>Equipment Identification / Tag</w:t>
            </w:r>
          </w:p>
        </w:tc>
        <w:tc>
          <w:tcPr>
            <w:tcW w:type="dxa" w:w="5760"/>
            <w:shd w:fill="F8FAFC"/>
            <w:tcMar>
              <w:top w:w="35" w:type="dxa"/>
              <w:bottom w:w="35" w:type="dxa"/>
              <w:left w:w="60" w:type="dxa"/>
              <w:right w:w="60" w:type="dxa"/>
            </w:tcMar>
          </w:tcPr>
          <w:p>
            <w:r>
              <w:rPr>
                <w:sz w:val="17"/>
              </w:rPr>
              <w:t>34101-TR-001 (CUP-3)</w:t>
            </w:r>
          </w:p>
        </w:tc>
      </w:tr>
      <w:tr>
        <w:tc>
          <w:tcPr>
            <w:tcW w:type="dxa" w:w="4032"/>
            <w:tcMar>
              <w:top w:w="35" w:type="dxa"/>
              <w:bottom w:w="35" w:type="dxa"/>
              <w:left w:w="60" w:type="dxa"/>
              <w:right w:w="60" w:type="dxa"/>
            </w:tcMar>
          </w:tcPr>
          <w:p>
            <w:r>
              <w:rPr>
                <w:sz w:val="17"/>
              </w:rPr>
              <w:t>Serial Number</w:t>
            </w:r>
          </w:p>
        </w:tc>
        <w:tc>
          <w:tcPr>
            <w:tcW w:type="dxa" w:w="5760"/>
            <w:tcMar>
              <w:top w:w="35" w:type="dxa"/>
              <w:bottom w:w="35" w:type="dxa"/>
              <w:left w:w="60" w:type="dxa"/>
              <w:right w:w="60" w:type="dxa"/>
            </w:tcMar>
          </w:tcPr>
          <w:p>
            <w:r>
              <w:rPr>
                <w:sz w:val="17"/>
              </w:rPr>
              <w:t>PP0158B01</w:t>
            </w:r>
          </w:p>
        </w:tc>
      </w:tr>
      <w:tr>
        <w:tc>
          <w:tcPr>
            <w:tcW w:type="dxa" w:w="4032"/>
            <w:shd w:fill="F8FAFC"/>
            <w:tcMar>
              <w:top w:w="35" w:type="dxa"/>
              <w:bottom w:w="35" w:type="dxa"/>
              <w:left w:w="60" w:type="dxa"/>
              <w:right w:w="60" w:type="dxa"/>
            </w:tcMar>
          </w:tcPr>
          <w:p>
            <w:r>
              <w:rPr>
                <w:sz w:val="17"/>
              </w:rPr>
              <w:t>Manufacturer (OEM)</w:t>
            </w:r>
          </w:p>
        </w:tc>
        <w:tc>
          <w:tcPr>
            <w:tcW w:type="dxa" w:w="5760"/>
            <w:shd w:fill="F8FAFC"/>
            <w:tcMar>
              <w:top w:w="35" w:type="dxa"/>
              <w:bottom w:w="35" w:type="dxa"/>
              <w:left w:w="60" w:type="dxa"/>
              <w:right w:w="60" w:type="dxa"/>
            </w:tcMar>
          </w:tcPr>
          <w:p>
            <w:r>
              <w:rPr>
                <w:sz w:val="17"/>
              </w:rPr>
              <w:t>DAIHEN (Thailand) Co., Ltd.</w:t>
            </w:r>
          </w:p>
        </w:tc>
      </w:tr>
      <w:tr>
        <w:tc>
          <w:tcPr>
            <w:tcW w:type="dxa" w:w="4032"/>
            <w:tcMar>
              <w:top w:w="35" w:type="dxa"/>
              <w:bottom w:w="35" w:type="dxa"/>
              <w:left w:w="60" w:type="dxa"/>
              <w:right w:w="60" w:type="dxa"/>
            </w:tcMar>
          </w:tcPr>
          <w:p>
            <w:r>
              <w:rPr>
                <w:sz w:val="17"/>
              </w:rPr>
              <w:t>Manufacturing Date / Commissioning</w:t>
            </w:r>
          </w:p>
        </w:tc>
        <w:tc>
          <w:tcPr>
            <w:tcW w:type="dxa" w:w="5760"/>
            <w:tcMar>
              <w:top w:w="35" w:type="dxa"/>
              <w:bottom w:w="35" w:type="dxa"/>
              <w:left w:w="60" w:type="dxa"/>
              <w:right w:w="60" w:type="dxa"/>
            </w:tcMar>
          </w:tcPr>
          <w:p>
            <w:r>
              <w:rPr>
                <w:sz w:val="17"/>
              </w:rPr>
              <w:t>2008-01-01 (Calendar Age: 18.0 Years)</w:t>
            </w:r>
          </w:p>
        </w:tc>
      </w:tr>
      <w:tr>
        <w:tc>
          <w:tcPr>
            <w:tcW w:type="dxa" w:w="4032"/>
            <w:shd w:fill="F8FAFC"/>
            <w:tcMar>
              <w:top w:w="35" w:type="dxa"/>
              <w:bottom w:w="35" w:type="dxa"/>
              <w:left w:w="60" w:type="dxa"/>
              <w:right w:w="60" w:type="dxa"/>
            </w:tcMar>
          </w:tcPr>
          <w:p>
            <w:r>
              <w:rPr>
                <w:sz w:val="17"/>
              </w:rPr>
              <w:t>Rated Apparent Power</w:t>
            </w:r>
          </w:p>
        </w:tc>
        <w:tc>
          <w:tcPr>
            <w:tcW w:type="dxa" w:w="5760"/>
            <w:shd w:fill="F8FAFC"/>
            <w:tcMar>
              <w:top w:w="35" w:type="dxa"/>
              <w:bottom w:w="35" w:type="dxa"/>
              <w:left w:w="60" w:type="dxa"/>
              <w:right w:w="60" w:type="dxa"/>
            </w:tcMar>
          </w:tcPr>
          <w:p>
            <w:r>
              <w:rPr>
                <w:sz w:val="17"/>
              </w:rPr>
              <w:t>40,000 kVA (40 MVA)</w:t>
            </w:r>
          </w:p>
        </w:tc>
      </w:tr>
      <w:tr>
        <w:tc>
          <w:tcPr>
            <w:tcW w:type="dxa" w:w="4032"/>
            <w:tcMar>
              <w:top w:w="35" w:type="dxa"/>
              <w:bottom w:w="35" w:type="dxa"/>
              <w:left w:w="60" w:type="dxa"/>
              <w:right w:w="60" w:type="dxa"/>
            </w:tcMar>
          </w:tcPr>
          <w:p>
            <w:r>
              <w:rPr>
                <w:sz w:val="17"/>
              </w:rPr>
              <w:t>Rated Voltages (HV / LV)</w:t>
            </w:r>
          </w:p>
        </w:tc>
        <w:tc>
          <w:tcPr>
            <w:tcW w:type="dxa" w:w="5760"/>
            <w:tcMar>
              <w:top w:w="35" w:type="dxa"/>
              <w:bottom w:w="35" w:type="dxa"/>
              <w:left w:w="60" w:type="dxa"/>
              <w:right w:w="60" w:type="dxa"/>
            </w:tcMar>
          </w:tcPr>
          <w:p>
            <w:r>
              <w:rPr>
                <w:sz w:val="17"/>
              </w:rPr>
              <w:t>115,000 V / 22,000 V (Vector Group: Dyn1)</w:t>
            </w:r>
          </w:p>
        </w:tc>
      </w:tr>
      <w:tr>
        <w:tc>
          <w:tcPr>
            <w:tcW w:type="dxa" w:w="4032"/>
            <w:shd w:fill="F8FAFC"/>
            <w:tcMar>
              <w:top w:w="35" w:type="dxa"/>
              <w:bottom w:w="35" w:type="dxa"/>
              <w:left w:w="60" w:type="dxa"/>
              <w:right w:w="60" w:type="dxa"/>
            </w:tcMar>
          </w:tcPr>
          <w:p>
            <w:r>
              <w:rPr>
                <w:sz w:val="17"/>
              </w:rPr>
              <w:t>Rated Phase Currents</w:t>
            </w:r>
          </w:p>
        </w:tc>
        <w:tc>
          <w:tcPr>
            <w:tcW w:type="dxa" w:w="5760"/>
            <w:shd w:fill="F8FAFC"/>
            <w:tcMar>
              <w:top w:w="35" w:type="dxa"/>
              <w:bottom w:w="35" w:type="dxa"/>
              <w:left w:w="60" w:type="dxa"/>
              <w:right w:w="60" w:type="dxa"/>
            </w:tcMar>
          </w:tcPr>
          <w:p>
            <w:r>
              <w:rPr>
                <w:sz w:val="17"/>
              </w:rPr>
              <w:t>HV: 201 A | LV: 1,050 A</w:t>
            </w:r>
          </w:p>
        </w:tc>
      </w:tr>
      <w:tr>
        <w:tc>
          <w:tcPr>
            <w:tcW w:type="dxa" w:w="4032"/>
            <w:tcMar>
              <w:top w:w="35" w:type="dxa"/>
              <w:bottom w:w="35" w:type="dxa"/>
              <w:left w:w="60" w:type="dxa"/>
              <w:right w:w="60" w:type="dxa"/>
            </w:tcMar>
          </w:tcPr>
          <w:p>
            <w:r>
              <w:rPr>
                <w:sz w:val="17"/>
              </w:rPr>
              <w:t>Cooling Class / Frequency</w:t>
            </w:r>
          </w:p>
        </w:tc>
        <w:tc>
          <w:tcPr>
            <w:tcW w:type="dxa" w:w="5760"/>
            <w:tcMar>
              <w:top w:w="35" w:type="dxa"/>
              <w:bottom w:w="35" w:type="dxa"/>
              <w:left w:w="60" w:type="dxa"/>
              <w:right w:w="60" w:type="dxa"/>
            </w:tcMar>
          </w:tcPr>
          <w:p>
            <w:r>
              <w:rPr>
                <w:sz w:val="17"/>
              </w:rPr>
              <w:t>ONAN (Oil Natural Air Natural) | 3-Phase, 50 Hz</w:t>
            </w:r>
          </w:p>
        </w:tc>
      </w:tr>
      <w:tr>
        <w:tc>
          <w:tcPr>
            <w:tcW w:type="dxa" w:w="4032"/>
            <w:shd w:fill="F8FAFC"/>
            <w:tcMar>
              <w:top w:w="35" w:type="dxa"/>
              <w:bottom w:w="35" w:type="dxa"/>
              <w:left w:w="60" w:type="dxa"/>
              <w:right w:w="60" w:type="dxa"/>
            </w:tcMar>
          </w:tcPr>
          <w:p>
            <w:r>
              <w:rPr>
                <w:sz w:val="17"/>
              </w:rPr>
              <w:t>Short-Circuit Impedance (%Z)</w:t>
            </w:r>
          </w:p>
        </w:tc>
        <w:tc>
          <w:tcPr>
            <w:tcW w:type="dxa" w:w="5760"/>
            <w:shd w:fill="F8FAFC"/>
            <w:tcMar>
              <w:top w:w="35" w:type="dxa"/>
              <w:bottom w:w="35" w:type="dxa"/>
              <w:left w:w="60" w:type="dxa"/>
              <w:right w:w="60" w:type="dxa"/>
            </w:tcMar>
          </w:tcPr>
          <w:p>
            <w:r>
              <w:rPr>
                <w:sz w:val="17"/>
              </w:rPr>
              <w:t>12.15% (Nominal Tap 6) | 12.38% (Tap 1) | 11.90% (Tap 11)</w:t>
            </w:r>
          </w:p>
        </w:tc>
      </w:tr>
      <w:tr>
        <w:tc>
          <w:tcPr>
            <w:tcW w:type="dxa" w:w="4032"/>
            <w:tcMar>
              <w:top w:w="35" w:type="dxa"/>
              <w:bottom w:w="35" w:type="dxa"/>
              <w:left w:w="60" w:type="dxa"/>
              <w:right w:w="60" w:type="dxa"/>
            </w:tcMar>
          </w:tcPr>
          <w:p>
            <w:r>
              <w:rPr>
                <w:sz w:val="17"/>
              </w:rPr>
              <w:t>Insulation Class &amp; Type</w:t>
            </w:r>
          </w:p>
        </w:tc>
        <w:tc>
          <w:tcPr>
            <w:tcW w:type="dxa" w:w="5760"/>
            <w:tcMar>
              <w:top w:w="35" w:type="dxa"/>
              <w:bottom w:w="35" w:type="dxa"/>
              <w:left w:w="60" w:type="dxa"/>
              <w:right w:w="60" w:type="dxa"/>
            </w:tcMar>
          </w:tcPr>
          <w:p>
            <w:r>
              <w:rPr>
                <w:sz w:val="17"/>
              </w:rPr>
              <w:t>Class A (105°C Kraft Paper) / Mineral Insulating Oil</w:t>
            </w:r>
          </w:p>
        </w:tc>
      </w:tr>
      <w:tr>
        <w:tc>
          <w:tcPr>
            <w:tcW w:type="dxa" w:w="4032"/>
            <w:shd w:fill="F8FAFC"/>
            <w:tcMar>
              <w:top w:w="35" w:type="dxa"/>
              <w:bottom w:w="35" w:type="dxa"/>
              <w:left w:w="60" w:type="dxa"/>
              <w:right w:w="60" w:type="dxa"/>
            </w:tcMar>
          </w:tcPr>
          <w:p>
            <w:r>
              <w:rPr>
                <w:sz w:val="17"/>
              </w:rPr>
              <w:t>Total Weight / Oil Quantity</w:t>
            </w:r>
          </w:p>
        </w:tc>
        <w:tc>
          <w:tcPr>
            <w:tcW w:type="dxa" w:w="5760"/>
            <w:shd w:fill="F8FAFC"/>
            <w:tcMar>
              <w:top w:w="35" w:type="dxa"/>
              <w:bottom w:w="35" w:type="dxa"/>
              <w:left w:w="60" w:type="dxa"/>
              <w:right w:w="60" w:type="dxa"/>
            </w:tcMar>
          </w:tcPr>
          <w:p>
            <w:r>
              <w:rPr>
                <w:sz w:val="17"/>
              </w:rPr>
              <w:t>Total: 70,500 kg | Core &amp; Coil: 35,500 kg | Oil: 16,470 kg (18,300 L)</w:t>
            </w:r>
          </w:p>
        </w:tc>
      </w:tr>
      <w:tr>
        <w:tc>
          <w:tcPr>
            <w:tcW w:type="dxa" w:w="4032"/>
            <w:tcMar>
              <w:top w:w="35" w:type="dxa"/>
              <w:bottom w:w="35" w:type="dxa"/>
              <w:left w:w="60" w:type="dxa"/>
              <w:right w:w="60" w:type="dxa"/>
            </w:tcMar>
          </w:tcPr>
          <w:p>
            <w:r>
              <w:rPr>
                <w:sz w:val="17"/>
              </w:rPr>
              <w:t>Tap Changer Type &amp; Model</w:t>
            </w:r>
          </w:p>
        </w:tc>
        <w:tc>
          <w:tcPr>
            <w:tcW w:type="dxa" w:w="5760"/>
            <w:tcMar>
              <w:top w:w="35" w:type="dxa"/>
              <w:bottom w:w="35" w:type="dxa"/>
              <w:left w:w="60" w:type="dxa"/>
              <w:right w:w="60" w:type="dxa"/>
            </w:tcMar>
          </w:tcPr>
          <w:p>
            <w:r>
              <w:rPr>
                <w:sz w:val="17"/>
              </w:rPr>
              <w:t>Maschinenfabrik Reinhausen (MR) Model VIII 200D (11 Taps)</w:t>
            </w:r>
          </w:p>
        </w:tc>
      </w:tr>
      <w:tr>
        <w:tc>
          <w:tcPr>
            <w:tcW w:type="dxa" w:w="4032"/>
            <w:shd w:fill="F8FAFC"/>
            <w:tcMar>
              <w:top w:w="35" w:type="dxa"/>
              <w:bottom w:w="35" w:type="dxa"/>
              <w:left w:w="60" w:type="dxa"/>
              <w:right w:w="60" w:type="dxa"/>
            </w:tcMar>
          </w:tcPr>
          <w:p>
            <w:r>
              <w:rPr>
                <w:sz w:val="17"/>
              </w:rPr>
              <w:t>Tap Changer Motor Drive</w:t>
            </w:r>
          </w:p>
        </w:tc>
        <w:tc>
          <w:tcPr>
            <w:tcW w:type="dxa" w:w="5760"/>
            <w:shd w:fill="F8FAFC"/>
            <w:tcMar>
              <w:top w:w="35" w:type="dxa"/>
              <w:bottom w:w="35" w:type="dxa"/>
              <w:left w:w="60" w:type="dxa"/>
              <w:right w:w="60" w:type="dxa"/>
            </w:tcMar>
          </w:tcPr>
          <w:p>
            <w:r>
              <w:rPr>
                <w:sz w:val="17"/>
              </w:rPr>
              <w:t>ED 100S (Serial No: 1051093, Mfg: 2007)</w:t>
            </w:r>
          </w:p>
        </w:tc>
      </w:tr>
      <w:tr>
        <w:tc>
          <w:tcPr>
            <w:tcW w:type="dxa" w:w="4032"/>
            <w:tcMar>
              <w:top w:w="35" w:type="dxa"/>
              <w:bottom w:w="35" w:type="dxa"/>
              <w:left w:w="60" w:type="dxa"/>
              <w:right w:w="60" w:type="dxa"/>
            </w:tcMar>
          </w:tcPr>
          <w:p>
            <w:r>
              <w:rPr>
                <w:sz w:val="17"/>
              </w:rPr>
              <w:t>HV Bushing Specifications</w:t>
            </w:r>
          </w:p>
        </w:tc>
        <w:tc>
          <w:tcPr>
            <w:tcW w:type="dxa" w:w="5760"/>
            <w:tcMar>
              <w:top w:w="35" w:type="dxa"/>
              <w:bottom w:w="35" w:type="dxa"/>
              <w:left w:w="60" w:type="dxa"/>
              <w:right w:w="60" w:type="dxa"/>
            </w:tcMar>
          </w:tcPr>
          <w:p>
            <w:r>
              <w:rPr>
                <w:sz w:val="17"/>
              </w:rPr>
              <w:t>Phase H1, H2: TRENCH COT 550-800 | Phase H3: ABB GOB 550</w:t>
            </w:r>
          </w:p>
        </w:tc>
      </w:tr>
      <w:tr>
        <w:tc>
          <w:tcPr>
            <w:tcW w:type="dxa" w:w="4032"/>
            <w:shd w:fill="F8FAFC"/>
            <w:tcMar>
              <w:top w:w="35" w:type="dxa"/>
              <w:bottom w:w="35" w:type="dxa"/>
              <w:left w:w="60" w:type="dxa"/>
              <w:right w:w="60" w:type="dxa"/>
            </w:tcMar>
          </w:tcPr>
          <w:p>
            <w:r>
              <w:rPr>
                <w:sz w:val="17"/>
              </w:rPr>
              <w:t>Surge Arrester Specifications</w:t>
            </w:r>
          </w:p>
        </w:tc>
        <w:tc>
          <w:tcPr>
            <w:tcW w:type="dxa" w:w="5760"/>
            <w:shd w:fill="F8FAFC"/>
            <w:tcMar>
              <w:top w:w="35" w:type="dxa"/>
              <w:bottom w:w="35" w:type="dxa"/>
              <w:left w:w="60" w:type="dxa"/>
              <w:right w:w="60" w:type="dxa"/>
            </w:tcMar>
          </w:tcPr>
          <w:p>
            <w:r>
              <w:rPr>
                <w:sz w:val="17"/>
              </w:rPr>
              <w:t>TRIDELTA SB 108/10.3-0 (Ur = 108 kV, 10 kA)</w:t>
            </w:r>
          </w:p>
        </w:tc>
      </w:tr>
    </w:tbl>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5. Maintenance History</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4874"/>
        <w:gridCol w:w="4874"/>
      </w:tblGrid>
      <w:tr>
        <w:tc>
          <w:tcPr>
            <w:tcW w:type="dxa" w:w="4874"/>
            <w:shd w:fill="1B365D"/>
          </w:tcPr>
          <w:p>
            <w:r>
              <w:rPr>
                <w:b/>
                <w:color w:val="FFFFFF"/>
                <w:sz w:val="17"/>
              </w:rPr>
              <w:t>Maintenance Year</w:t>
            </w:r>
          </w:p>
        </w:tc>
        <w:tc>
          <w:tcPr>
            <w:tcW w:type="dxa" w:w="4874"/>
            <w:shd w:fill="1B365D"/>
          </w:tcPr>
          <w:p>
            <w:r>
              <w:rPr>
                <w:b/>
                <w:color w:val="FFFFFF"/>
                <w:sz w:val="17"/>
              </w:rPr>
              <w:t>Engineering Maintenance Scope / Detail</w:t>
            </w:r>
          </w:p>
        </w:tc>
      </w:tr>
      <w:tr>
        <w:tc>
          <w:tcPr>
            <w:tcW w:type="dxa" w:w="2160"/>
            <w:tcMar>
              <w:top w:w="35" w:type="dxa"/>
              <w:bottom w:w="35" w:type="dxa"/>
              <w:left w:w="60" w:type="dxa"/>
              <w:right w:w="60" w:type="dxa"/>
            </w:tcMar>
          </w:tcPr>
          <w:p>
            <w:r>
              <w:rPr>
                <w:sz w:val="17"/>
              </w:rPr>
              <w:t>2026 (Current)</w:t>
            </w:r>
          </w:p>
        </w:tc>
        <w:tc>
          <w:tcPr>
            <w:tcW w:type="dxa" w:w="7632"/>
            <w:tcMar>
              <w:top w:w="35" w:type="dxa"/>
              <w:bottom w:w="35" w:type="dxa"/>
              <w:left w:w="60" w:type="dxa"/>
              <w:right w:w="60" w:type="dxa"/>
            </w:tcMar>
          </w:tcPr>
          <w:p>
            <w:r>
              <w:rPr>
                <w:sz w:val="17"/>
              </w:rPr>
              <w:t>Routine 3-Year Preventive Maintenance (PM), complete electrical diagnostic testing, oil quality, DFR moisture, and life assessment program.</w:t>
            </w:r>
          </w:p>
        </w:tc>
      </w:tr>
      <w:tr>
        <w:tc>
          <w:tcPr>
            <w:tcW w:type="dxa" w:w="2160"/>
            <w:tcMar>
              <w:top w:w="35" w:type="dxa"/>
              <w:bottom w:w="35" w:type="dxa"/>
              <w:left w:w="60" w:type="dxa"/>
              <w:right w:w="60" w:type="dxa"/>
            </w:tcMar>
          </w:tcPr>
          <w:p>
            <w:r>
              <w:rPr>
                <w:sz w:val="17"/>
              </w:rPr>
              <w:t>2023</w:t>
            </w:r>
          </w:p>
        </w:tc>
        <w:tc>
          <w:tcPr>
            <w:tcW w:type="dxa" w:w="7632"/>
            <w:tcMar>
              <w:top w:w="35" w:type="dxa"/>
              <w:bottom w:w="35" w:type="dxa"/>
              <w:left w:w="60" w:type="dxa"/>
              <w:right w:w="60" w:type="dxa"/>
            </w:tcMar>
          </w:tcPr>
          <w:p>
            <w:r>
              <w:rPr>
                <w:sz w:val="17"/>
              </w:rPr>
              <w:t>3-Year Routine Preventive Maintenance, diagnostic electrical testing, replacement of HV Bushing Phase C (H3 replaced with ABB GOB 550 due to gasket seepage), pressure relief inspection.</w:t>
            </w:r>
          </w:p>
        </w:tc>
      </w:tr>
      <w:tr>
        <w:tc>
          <w:tcPr>
            <w:tcW w:type="dxa" w:w="2160"/>
            <w:tcMar>
              <w:top w:w="35" w:type="dxa"/>
              <w:bottom w:w="35" w:type="dxa"/>
              <w:left w:w="60" w:type="dxa"/>
              <w:right w:w="60" w:type="dxa"/>
            </w:tcMar>
          </w:tcPr>
          <w:p>
            <w:r>
              <w:rPr>
                <w:sz w:val="17"/>
              </w:rPr>
              <w:t>2020</w:t>
            </w:r>
          </w:p>
        </w:tc>
        <w:tc>
          <w:tcPr>
            <w:tcW w:type="dxa" w:w="7632"/>
            <w:tcMar>
              <w:top w:w="35" w:type="dxa"/>
              <w:bottom w:w="35" w:type="dxa"/>
              <w:left w:w="60" w:type="dxa"/>
              <w:right w:w="60" w:type="dxa"/>
            </w:tcMar>
          </w:tcPr>
          <w:p>
            <w:r>
              <w:rPr>
                <w:sz w:val="17"/>
              </w:rPr>
              <w:t>3-Year Routine Preventive Maintenance and oil sampling.</w:t>
            </w:r>
          </w:p>
        </w:tc>
      </w:tr>
      <w:tr>
        <w:tc>
          <w:tcPr>
            <w:tcW w:type="dxa" w:w="2160"/>
            <w:tcMar>
              <w:top w:w="35" w:type="dxa"/>
              <w:bottom w:w="35" w:type="dxa"/>
              <w:left w:w="60" w:type="dxa"/>
              <w:right w:w="60" w:type="dxa"/>
            </w:tcMar>
          </w:tcPr>
          <w:p>
            <w:r>
              <w:rPr>
                <w:sz w:val="17"/>
              </w:rPr>
              <w:t>2017</w:t>
            </w:r>
          </w:p>
        </w:tc>
        <w:tc>
          <w:tcPr>
            <w:tcW w:type="dxa" w:w="7632"/>
            <w:tcMar>
              <w:top w:w="35" w:type="dxa"/>
              <w:bottom w:w="35" w:type="dxa"/>
              <w:left w:w="60" w:type="dxa"/>
              <w:right w:w="60" w:type="dxa"/>
            </w:tcMar>
          </w:tcPr>
          <w:p>
            <w:r>
              <w:rPr>
                <w:sz w:val="17"/>
              </w:rPr>
              <w:t>3-Year Routine Preventive Maintenance and general servicing.</w:t>
            </w:r>
          </w:p>
        </w:tc>
      </w:tr>
      <w:tr>
        <w:tc>
          <w:tcPr>
            <w:tcW w:type="dxa" w:w="2160"/>
            <w:tcMar>
              <w:top w:w="35" w:type="dxa"/>
              <w:bottom w:w="35" w:type="dxa"/>
              <w:left w:w="60" w:type="dxa"/>
              <w:right w:w="60" w:type="dxa"/>
            </w:tcMar>
          </w:tcPr>
          <w:p>
            <w:r>
              <w:rPr>
                <w:sz w:val="17"/>
              </w:rPr>
              <w:t>2008</w:t>
            </w:r>
          </w:p>
        </w:tc>
        <w:tc>
          <w:tcPr>
            <w:tcW w:type="dxa" w:w="7632"/>
            <w:tcMar>
              <w:top w:w="35" w:type="dxa"/>
              <w:bottom w:w="35" w:type="dxa"/>
              <w:left w:w="60" w:type="dxa"/>
              <w:right w:w="60" w:type="dxa"/>
            </w:tcMar>
          </w:tcPr>
          <w:p>
            <w:r>
              <w:rPr>
                <w:sz w:val="17"/>
              </w:rPr>
              <w:t>Factory Acceptance Testing (FAT) and initial site energization at CUP-3.</w:t>
            </w:r>
          </w:p>
        </w:tc>
      </w:tr>
    </w:tbl>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0" name="Picture 10"/>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6. Condition Health Index &amp; Technical Assessment</w:t>
            </w:r>
          </w:p>
        </w:tc>
      </w:tr>
    </w:tbl>
    <w:p>
      <w:pPr>
        <w:spacing w:before="0" w:after="80"/>
      </w:pPr>
    </w:p>
    <w:p>
      <w:pPr>
        <w:keepNext/>
        <w:spacing w:before="200" w:after="60"/>
      </w:pPr>
      <w:r>
        <w:rPr>
          <w:rFonts w:ascii="Arial" w:hAnsi="Arial"/>
          <w:b/>
          <w:color w:val="2563EB"/>
          <w:sz w:val="22"/>
        </w:rPr>
        <w:t>6.1 Probability of Failure (PoF) Evaluation</w:t>
      </w:r>
    </w:p>
    <w:p>
      <w:pPr>
        <w:spacing w:before="0" w:after="80" w:line="276" w:lineRule="auto"/>
      </w:pPr>
      <w:r>
        <w:rPr>
          <w:rFonts w:ascii="Calibri" w:hAnsi="Calibri"/>
          <w:i w:val="0"/>
          <w:color w:val="1E293B"/>
          <w:sz w:val="19"/>
        </w:rPr>
        <w:t>The total Probability of Failure (PoF) combines the Condition Health Index (%CHI, weighted physical test score) and the General Health Index (%GHI, service age, through-fault history, maintenance compliance, and operating load):</w:t>
        <w:br/>
        <w:t xml:space="preserve">    %Condition Health Index (%CHI) = [ Sum(Si x Wi) / Sum(Smax,i x Wi) ] x 100</w:t>
        <w:br/>
        <w:t xml:space="preserve">    %General Health Index (%GHI) = [ Sum(Sj x Wj) / Sum(Smax,j x Wj) ] x 100</w:t>
        <w:br/>
        <w:t xml:space="preserve">    Total Probability of Failure = 1 - ( 0.8 x %CHI + 0.2 x %GHI )</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37"/>
        <w:gridCol w:w="2437"/>
        <w:gridCol w:w="2437"/>
        <w:gridCol w:w="2437"/>
      </w:tblGrid>
      <w:tr>
        <w:tc>
          <w:tcPr>
            <w:tcW w:type="dxa" w:w="2437"/>
            <w:shd w:fill="1B365D"/>
          </w:tcPr>
          <w:p>
            <w:r>
              <w:rPr>
                <w:b/>
                <w:color w:val="FFFFFF"/>
                <w:sz w:val="16"/>
              </w:rPr>
              <w:t>Subsystem / Factor</w:t>
            </w:r>
          </w:p>
        </w:tc>
        <w:tc>
          <w:tcPr>
            <w:tcW w:type="dxa" w:w="2437"/>
            <w:shd w:fill="1B365D"/>
          </w:tcPr>
          <w:p>
            <w:r>
              <w:rPr>
                <w:b/>
                <w:color w:val="FFFFFF"/>
                <w:sz w:val="16"/>
              </w:rPr>
              <w:t>Weight (Wi)</w:t>
            </w:r>
          </w:p>
        </w:tc>
        <w:tc>
          <w:tcPr>
            <w:tcW w:type="dxa" w:w="2437"/>
            <w:shd w:fill="1B365D"/>
          </w:tcPr>
          <w:p>
            <w:r>
              <w:rPr>
                <w:b/>
                <w:color w:val="FFFFFF"/>
                <w:sz w:val="16"/>
              </w:rPr>
              <w:t>Measured Score (1-5)</w:t>
            </w:r>
          </w:p>
        </w:tc>
        <w:tc>
          <w:tcPr>
            <w:tcW w:type="dxa" w:w="2437"/>
            <w:shd w:fill="1B365D"/>
          </w:tcPr>
          <w:p>
            <w:r>
              <w:rPr>
                <w:b/>
                <w:color w:val="FFFFFF"/>
                <w:sz w:val="16"/>
              </w:rPr>
              <w:t>Condition Rating</w:t>
            </w:r>
          </w:p>
        </w:tc>
      </w:tr>
      <w:tr>
        <w:tc>
          <w:tcPr>
            <w:tcW w:type="dxa" w:w="2437"/>
            <w:shd w:fill="E2E8F0"/>
            <w:tcMar>
              <w:top w:w="20" w:type="dxa"/>
              <w:bottom w:w="20" w:type="dxa"/>
              <w:left w:w="40" w:type="dxa"/>
              <w:right w:w="40" w:type="dxa"/>
            </w:tcMar>
          </w:tcPr>
          <w:p>
            <w:r>
              <w:rPr>
                <w:sz w:val="16"/>
              </w:rPr>
              <w:t>Condition Health Index (%CHI)</w:t>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r>
      <w:tr>
        <w:tc>
          <w:tcPr>
            <w:tcW w:type="dxa" w:w="2437"/>
            <w:tcMar>
              <w:top w:w="20" w:type="dxa"/>
              <w:bottom w:w="20" w:type="dxa"/>
              <w:left w:w="40" w:type="dxa"/>
              <w:right w:w="40" w:type="dxa"/>
            </w:tcMar>
          </w:tcPr>
          <w:p>
            <w:r>
              <w:rPr>
                <w:sz w:val="16"/>
              </w:rPr>
              <w:t xml:space="preserve">  • Active Parts (Winding &amp; Core)</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(All Level A)</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Bushings Subsystem</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(C1 &amp; PF Level A)</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On-Load Tap Changer (OLTC)</w:t>
            </w:r>
          </w:p>
        </w:tc>
        <w:tc>
          <w:tcPr>
            <w:tcW w:type="dxa" w:w="2437"/>
            <w:tcMar>
              <w:top w:w="20" w:type="dxa"/>
              <w:bottom w:w="20" w:type="dxa"/>
              <w:left w:w="40" w:type="dxa"/>
              <w:right w:w="40" w:type="dxa"/>
            </w:tcMar>
          </w:tcPr>
          <w:p>
            <w:r>
              <w:rPr>
                <w:sz w:val="16"/>
              </w:rPr>
              <w:t>20%</w:t>
            </w:r>
          </w:p>
        </w:tc>
        <w:tc>
          <w:tcPr>
            <w:tcW w:type="dxa" w:w="2437"/>
            <w:tcMar>
              <w:top w:w="20" w:type="dxa"/>
              <w:bottom w:w="20" w:type="dxa"/>
              <w:left w:w="40" w:type="dxa"/>
              <w:right w:w="40" w:type="dxa"/>
            </w:tcMar>
          </w:tcPr>
          <w:p>
            <w:r>
              <w:rPr>
                <w:sz w:val="16"/>
              </w:rPr>
              <w:t>4.0 (Oil &amp; Ops Good)</w:t>
            </w:r>
          </w:p>
        </w:tc>
        <w:tc>
          <w:tcPr>
            <w:tcW w:type="dxa" w:w="2437"/>
            <w:tcMar>
              <w:top w:w="20" w:type="dxa"/>
              <w:bottom w:w="20" w:type="dxa"/>
              <w:left w:w="40" w:type="dxa"/>
              <w:right w:w="40" w:type="dxa"/>
            </w:tcMar>
          </w:tcPr>
          <w:p>
            <w:r>
              <w:rPr>
                <w:sz w:val="16"/>
              </w:rPr>
              <w:t>Normal</w:t>
            </w:r>
          </w:p>
        </w:tc>
      </w:tr>
      <w:tr>
        <w:tc>
          <w:tcPr>
            <w:tcW w:type="dxa" w:w="2437"/>
            <w:tcMar>
              <w:top w:w="20" w:type="dxa"/>
              <w:bottom w:w="20" w:type="dxa"/>
              <w:left w:w="40" w:type="dxa"/>
              <w:right w:w="40" w:type="dxa"/>
            </w:tcMar>
          </w:tcPr>
          <w:p>
            <w:r>
              <w:rPr>
                <w:sz w:val="16"/>
              </w:rPr>
              <w:t xml:space="preserve">  • Main Tank Oil Properties</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5.0 (OQF = 3.86)</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Main Tank DGA</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4.0 (Status 1, CO Elev.)</w:t>
            </w:r>
          </w:p>
        </w:tc>
        <w:tc>
          <w:tcPr>
            <w:tcW w:type="dxa" w:w="2437"/>
            <w:tcMar>
              <w:top w:w="20" w:type="dxa"/>
              <w:bottom w:w="20" w:type="dxa"/>
              <w:left w:w="40" w:type="dxa"/>
              <w:right w:w="40" w:type="dxa"/>
            </w:tcMar>
          </w:tcPr>
          <w:p>
            <w:r>
              <w:rPr>
                <w:sz w:val="16"/>
              </w:rPr>
              <w:t>Monitor</w:t>
            </w:r>
          </w:p>
        </w:tc>
      </w:tr>
      <w:tr>
        <w:tc>
          <w:tcPr>
            <w:tcW w:type="dxa" w:w="2437"/>
            <w:tcMar>
              <w:top w:w="20" w:type="dxa"/>
              <w:bottom w:w="20" w:type="dxa"/>
              <w:left w:w="40" w:type="dxa"/>
              <w:right w:w="40" w:type="dxa"/>
            </w:tcMar>
          </w:tcPr>
          <w:p>
            <w:r>
              <w:rPr>
                <w:sz w:val="16"/>
              </w:rPr>
              <w:t xml:space="preserve">  • Magnetic Core Insulation</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5.0 (Rcore &gt; 1000 MΩ)</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General Tank &amp; Auxiliaries</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5.0 (Visual Normal)</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Surge Arresters</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5.0 (Leakage Normal)</w:t>
            </w:r>
          </w:p>
        </w:tc>
        <w:tc>
          <w:tcPr>
            <w:tcW w:type="dxa" w:w="2437"/>
            <w:tcMar>
              <w:top w:w="20" w:type="dxa"/>
              <w:bottom w:w="20" w:type="dxa"/>
              <w:left w:w="40" w:type="dxa"/>
              <w:right w:w="40" w:type="dxa"/>
            </w:tcMar>
          </w:tcPr>
          <w:p>
            <w:r>
              <w:rPr>
                <w:sz w:val="16"/>
              </w:rPr>
              <w:t>Optimal</w:t>
            </w:r>
          </w:p>
        </w:tc>
      </w:tr>
      <w:tr>
        <w:tc>
          <w:tcPr>
            <w:tcW w:type="dxa" w:w="2437"/>
            <w:shd w:fill="E2E8F0"/>
            <w:tcMar>
              <w:top w:w="20" w:type="dxa"/>
              <w:bottom w:w="20" w:type="dxa"/>
              <w:left w:w="40" w:type="dxa"/>
              <w:right w:w="40" w:type="dxa"/>
            </w:tcMar>
          </w:tcPr>
          <w:p>
            <w:r>
              <w:rPr>
                <w:sz w:val="16"/>
              </w:rPr>
              <w:t>General Health Index (%GHI)</w:t>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c>
          <w:tcPr>
            <w:tcW w:type="dxa" w:w="2437"/>
            <w:shd w:fill="E2E8F0"/>
            <w:tcMar>
              <w:top w:w="20" w:type="dxa"/>
              <w:bottom w:w="20" w:type="dxa"/>
              <w:left w:w="40" w:type="dxa"/>
              <w:right w:w="40" w:type="dxa"/>
            </w:tcMar>
          </w:tcPr>
          <w:p>
            <w:r>
              <w:rPr>
                <w:sz w:val="16"/>
              </w:rPr>
            </w:r>
          </w:p>
        </w:tc>
      </w:tr>
      <w:tr>
        <w:tc>
          <w:tcPr>
            <w:tcW w:type="dxa" w:w="2437"/>
            <w:tcMar>
              <w:top w:w="20" w:type="dxa"/>
              <w:bottom w:w="20" w:type="dxa"/>
              <w:left w:w="40" w:type="dxa"/>
              <w:right w:w="40" w:type="dxa"/>
            </w:tcMar>
          </w:tcPr>
          <w:p>
            <w:r>
              <w:rPr>
                <w:sz w:val="16"/>
              </w:rPr>
              <w:t xml:space="preserve">  • Service Age (18 Years / 40Y life)</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4.0 (18Y / &lt;20Y)</w:t>
            </w:r>
          </w:p>
        </w:tc>
        <w:tc>
          <w:tcPr>
            <w:tcW w:type="dxa" w:w="2437"/>
            <w:tcMar>
              <w:top w:w="20" w:type="dxa"/>
              <w:bottom w:w="20" w:type="dxa"/>
              <w:left w:w="40" w:type="dxa"/>
              <w:right w:w="40" w:type="dxa"/>
            </w:tcMar>
          </w:tcPr>
          <w:p>
            <w:r>
              <w:rPr>
                <w:sz w:val="16"/>
              </w:rPr>
              <w:t>Good</w:t>
            </w:r>
          </w:p>
        </w:tc>
      </w:tr>
      <w:tr>
        <w:tc>
          <w:tcPr>
            <w:tcW w:type="dxa" w:w="2437"/>
            <w:tcMar>
              <w:top w:w="20" w:type="dxa"/>
              <w:bottom w:w="20" w:type="dxa"/>
              <w:left w:w="40" w:type="dxa"/>
              <w:right w:w="40" w:type="dxa"/>
            </w:tcMar>
          </w:tcPr>
          <w:p>
            <w:r>
              <w:rPr>
                <w:sz w:val="16"/>
              </w:rPr>
              <w:t xml:space="preserve">  • Through-Fault History</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(Zero Trips)</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Maintenance History</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5.0 (On Schedule 3Y)</w:t>
            </w:r>
          </w:p>
        </w:tc>
        <w:tc>
          <w:tcPr>
            <w:tcW w:type="dxa" w:w="2437"/>
            <w:tcMar>
              <w:top w:w="20" w:type="dxa"/>
              <w:bottom w:w="20" w:type="dxa"/>
              <w:left w:w="40" w:type="dxa"/>
              <w:right w:w="40" w:type="dxa"/>
            </w:tcMar>
          </w:tcPr>
          <w:p>
            <w:r>
              <w:rPr>
                <w:sz w:val="16"/>
              </w:rPr>
              <w:t>Optimal</w:t>
            </w:r>
          </w:p>
        </w:tc>
      </w:tr>
      <w:tr>
        <w:tc>
          <w:tcPr>
            <w:tcW w:type="dxa" w:w="2437"/>
            <w:tcMar>
              <w:top w:w="20" w:type="dxa"/>
              <w:bottom w:w="20" w:type="dxa"/>
              <w:left w:w="40" w:type="dxa"/>
              <w:right w:w="40" w:type="dxa"/>
            </w:tcMar>
          </w:tcPr>
          <w:p>
            <w:r>
              <w:rPr>
                <w:sz w:val="16"/>
              </w:rPr>
              <w:t xml:space="preserve">  • Load History (Normal ONAN)</w:t>
            </w:r>
          </w:p>
        </w:tc>
        <w:tc>
          <w:tcPr>
            <w:tcW w:type="dxa" w:w="2437"/>
            <w:tcMar>
              <w:top w:w="20" w:type="dxa"/>
              <w:bottom w:w="20" w:type="dxa"/>
              <w:left w:w="40" w:type="dxa"/>
              <w:right w:w="40" w:type="dxa"/>
            </w:tcMar>
          </w:tcPr>
          <w:p>
            <w:r>
              <w:rPr>
                <w:sz w:val="16"/>
              </w:rPr>
              <w:t>25%</w:t>
            </w:r>
          </w:p>
        </w:tc>
        <w:tc>
          <w:tcPr>
            <w:tcW w:type="dxa" w:w="2437"/>
            <w:tcMar>
              <w:top w:w="20" w:type="dxa"/>
              <w:bottom w:w="20" w:type="dxa"/>
              <w:left w:w="40" w:type="dxa"/>
              <w:right w:w="40" w:type="dxa"/>
            </w:tcMar>
          </w:tcPr>
          <w:p>
            <w:r>
              <w:rPr>
                <w:sz w:val="16"/>
              </w:rPr>
              <w:t>4.0 (&lt;60% Peak Load)</w:t>
            </w:r>
          </w:p>
        </w:tc>
        <w:tc>
          <w:tcPr>
            <w:tcW w:type="dxa" w:w="2437"/>
            <w:tcMar>
              <w:top w:w="20" w:type="dxa"/>
              <w:bottom w:w="20" w:type="dxa"/>
              <w:left w:w="40" w:type="dxa"/>
              <w:right w:w="40" w:type="dxa"/>
            </w:tcMar>
          </w:tcPr>
          <w:p>
            <w:r>
              <w:rPr>
                <w:sz w:val="16"/>
              </w:rPr>
              <w:t>Good</w:t>
            </w:r>
          </w:p>
        </w:tc>
      </w:tr>
    </w:tbl>
    <w:p>
      <w:pPr>
        <w:spacing w:before="0" w:after="80" w:line="276" w:lineRule="auto"/>
      </w:pPr>
      <w:r>
        <w:rPr>
          <w:rFonts w:ascii="Calibri" w:hAnsi="Calibri"/>
          <w:i w:val="0"/>
          <w:color w:val="1E293B"/>
          <w:sz w:val="19"/>
        </w:rPr>
        <w:t>Calculation Summary: %CHI = 96.0%, %GHI = 90.0%.</w:t>
        <w:br/>
        <w:t>Total Probability of Failure = 1 - (0.8 x 0.96 + 0.2 x 0.90) = 1 - 0.948 = 5.2% to 11.2% (Condition: Low / Green Band).</w:t>
      </w:r>
    </w:p>
    <w:p>
      <w:pPr>
        <w:keepNext/>
        <w:spacing w:before="200" w:after="60"/>
      </w:pPr>
      <w:r>
        <w:rPr>
          <w:rFonts w:ascii="Arial" w:hAnsi="Arial"/>
          <w:b/>
          <w:color w:val="2563EB"/>
          <w:sz w:val="22"/>
        </w:rPr>
        <w:t>6.2 Subsystem Condition Assessments</w:t>
      </w:r>
    </w:p>
    <w:p>
      <w:pPr>
        <w:keepNext/>
        <w:spacing w:before="120" w:after="40"/>
      </w:pPr>
      <w:r>
        <w:rPr>
          <w:rFonts w:ascii="Arial" w:hAnsi="Arial"/>
          <w:b/>
          <w:color w:val="0F172A"/>
          <w:sz w:val="20"/>
        </w:rPr>
        <w:t>6.2.1 General Condition &amp; Visual Inspection</w:t>
      </w:r>
    </w:p>
    <w:p>
      <w:pPr>
        <w:spacing w:before="0" w:after="80" w:line="276" w:lineRule="auto"/>
      </w:pPr>
      <w:r>
        <w:rPr>
          <w:rFonts w:ascii="Calibri" w:hAnsi="Calibri"/>
          <w:i w:val="0"/>
          <w:color w:val="1E293B"/>
          <w:sz w:val="19"/>
        </w:rPr>
        <w:t>Visual inspections conducted across 14 historical records confirm that the main tank structure, radiators, conservator, silica gel dehydrating breather, cable boxes, grounding connections, and terminal boxes are in Normal operating condition with no active oil leaks.</w:t>
      </w:r>
    </w:p>
    <w:p>
      <w:pPr>
        <w:keepNext/>
        <w:spacing w:before="120" w:after="40"/>
      </w:pPr>
      <w:r>
        <w:rPr>
          <w:rFonts w:ascii="Arial" w:hAnsi="Arial"/>
          <w:b/>
          <w:color w:val="0F172A"/>
          <w:sz w:val="20"/>
        </w:rPr>
        <w:t>6.2.2 115 kV Bushings Subsystem</w:t>
      </w:r>
    </w:p>
    <w:p>
      <w:pPr>
        <w:spacing w:before="0" w:after="80" w:line="276" w:lineRule="auto"/>
      </w:pPr>
      <w:r>
        <w:rPr>
          <w:rFonts w:ascii="Calibri" w:hAnsi="Calibri"/>
          <w:i w:val="0"/>
          <w:color w:val="1E293B"/>
          <w:sz w:val="19"/>
        </w:rPr>
        <w:t>All three 115 kV oil-impregnated paper (OIP) condenser bushings were tested via 10 kV Ungrounded Specimen Test (UST). Measured C1 capacitances deviate by -1.02% (H1), -0.93% (H2), and -1.52% (H3) from factory nameplates, well below the allowable limit (±4.8%). Corrected dissipation factors at 20°C are 0.276% (H1), 0.287% (H2), and 0.448% (H3), complying with IEEE Std C57.152 (&lt;0.50%).</w:t>
      </w:r>
    </w:p>
    <w:p>
      <w:pPr>
        <w:keepNext/>
        <w:spacing w:before="120" w:after="40"/>
      </w:pPr>
      <w:r>
        <w:rPr>
          <w:rFonts w:ascii="Arial" w:hAnsi="Arial"/>
          <w:b/>
          <w:color w:val="0F172A"/>
          <w:sz w:val="20"/>
        </w:rPr>
        <w:t>6.2.3 Active Part Diagnostics (Winding &amp; Core)</w:t>
      </w:r>
    </w:p>
    <w:p>
      <w:pPr>
        <w:spacing w:before="0" w:after="80" w:line="276" w:lineRule="auto"/>
      </w:pPr>
      <w:r>
        <w:rPr>
          <w:rFonts w:ascii="Calibri" w:hAnsi="Calibri"/>
          <w:i w:val="0"/>
          <w:color w:val="1E293B"/>
          <w:sz w:val="19"/>
        </w:rPr>
        <w:t>Active-part tests verify pristine dielectric and mechanical integrity:</w:t>
        <w:br/>
        <w:t xml:space="preserve"> • Insulation Resistance: HV to ground = 24,700 MΩ (PI = 1.49 at 5 kV DC), LV to ground = 20,800 MΩ (PI = 2.05 at 2.5 kV DC), Core-to-ground = 1,000 MΩ.</w:t>
        <w:br/>
        <w:t xml:space="preserve"> • Winding Power Factor: CHL = 0.141% (5,529.6 pF), CH = 0.170%, CL = 0.208% (well below 0.50% limit).</w:t>
        <w:br/>
        <w:t xml:space="preserve"> • Voltage Ratio: Tested on routine taps 1, 6, 11; error is 0.24% at Tap 1 and 0.01%–0.02% at Taps 6 and 11 (standard limit &lt; 0.50%).</w:t>
        <w:br/>
        <w:t xml:space="preserve"> • Excitation Current: Symmetrical High-Low-High pattern (17.13 mA – 5.33 mA – 17.34 mA) with outer phase balance within 1.21%.</w:t>
        <w:br/>
        <w:t xml:space="preserve"> • Short-Circuit Impedance (%Z): Measured at 12.1407% at center tap compared to nameplate 12.15% (Deviation: -0.076%, IEEE limit ±3.0%), confirming zero mechanical winding displacement.</w:t>
        <w:br/>
        <w:t xml:space="preserve"> • Cellulose Moisture (DFR DIRANA): 0.50% wt (Dry Category).</w:t>
      </w:r>
    </w:p>
    <w:p>
      <w:pPr>
        <w:jc w:val="center"/>
      </w:pPr>
      <w:r>
        <w:drawing>
          <wp:inline xmlns:a="http://schemas.openxmlformats.org/drawingml/2006/main" xmlns:pic="http://schemas.openxmlformats.org/drawingml/2006/picture">
            <wp:extent cx="4114800" cy="2400300"/>
            <wp:docPr id="11" name="Picture 11"/>
            <wp:cNvGraphicFramePr>
              <a:graphicFrameLocks noChangeAspect="1"/>
            </wp:cNvGraphicFramePr>
            <a:graphic>
              <a:graphicData uri="http://schemas.openxmlformats.org/drawingml/2006/picture">
                <pic:pic>
                  <pic:nvPicPr>
                    <pic:cNvPr id="0" name="fig_exciting_bars.png"/>
                    <pic:cNvPicPr/>
                  </pic:nvPicPr>
                  <pic:blipFill>
                    <a:blip r:embed="rId14"/>
                    <a:stretch>
                      <a:fillRect/>
                    </a:stretch>
                  </pic:blipFill>
                  <pic:spPr>
                    <a:xfrm>
                      <a:off x="0" y="0"/>
                      <a:ext cx="4114800" cy="2400300"/>
                    </a:xfrm>
                    <a:prstGeom prst="rect"/>
                  </pic:spPr>
                </pic:pic>
              </a:graphicData>
            </a:graphic>
          </wp:inline>
        </w:drawing>
      </w:r>
    </w:p>
    <w:p>
      <w:pPr>
        <w:jc w:val="center"/>
      </w:pPr>
      <w:r>
        <w:rPr>
          <w:i/>
          <w:sz w:val="17"/>
        </w:rPr>
        <w:t>Figure 4: Exciting Current Pattern Across Taps 1, 6, and 11</w:t>
      </w:r>
    </w:p>
    <w:p>
      <w:pPr>
        <w:keepNext/>
        <w:spacing w:before="120" w:after="40"/>
      </w:pPr>
      <w:r>
        <w:rPr>
          <w:rFonts w:ascii="Arial" w:hAnsi="Arial"/>
          <w:b/>
          <w:color w:val="0F172A"/>
          <w:sz w:val="20"/>
        </w:rPr>
        <w:t>6.2.4 Dissolved Gas Analysis (DGA)</w:t>
      </w:r>
    </w:p>
    <w:p>
      <w:pPr>
        <w:spacing w:before="0" w:after="80" w:line="276" w:lineRule="auto"/>
      </w:pPr>
      <w:r>
        <w:rPr>
          <w:rFonts w:ascii="Calibri" w:hAnsi="Calibri"/>
          <w:i w:val="0"/>
          <w:color w:val="1E293B"/>
          <w:sz w:val="19"/>
        </w:rPr>
        <w:t>Across 11 sampling cycles from 2021 to 2025, combustible hydrocarbon fault gases remain at trace baseline levels (CH4 = 12 ppm, C2H6 = 2 ppm, C2H4 = 3 ppm, C2H2 = 0.0 ppm). Carbon monoxide (CO = 1,047 ppm) is elevated into IEEE Status 2, reflecting minor surface oxidation, but stable multi-year trending confirms no active thermal runaway.</w:t>
      </w:r>
    </w:p>
    <w:p>
      <w:pPr>
        <w:jc w:val="center"/>
      </w:pPr>
      <w:r>
        <w:drawing>
          <wp:inline xmlns:a="http://schemas.openxmlformats.org/drawingml/2006/main" xmlns:pic="http://schemas.openxmlformats.org/drawingml/2006/picture">
            <wp:extent cx="4937760" cy="2194560"/>
            <wp:docPr id="12" name="Picture 12"/>
            <wp:cNvGraphicFramePr>
              <a:graphicFrameLocks noChangeAspect="1"/>
            </wp:cNvGraphicFramePr>
            <a:graphic>
              <a:graphicData uri="http://schemas.openxmlformats.org/drawingml/2006/picture">
                <pic:pic>
                  <pic:nvPicPr>
                    <pic:cNvPr id="0" name="fig_co2_co.png"/>
                    <pic:cNvPicPr/>
                  </pic:nvPicPr>
                  <pic:blipFill>
                    <a:blip r:embed="rId15"/>
                    <a:stretch>
                      <a:fillRect/>
                    </a:stretch>
                  </pic:blipFill>
                  <pic:spPr>
                    <a:xfrm>
                      <a:off x="0" y="0"/>
                      <a:ext cx="4937760" cy="2194560"/>
                    </a:xfrm>
                    <a:prstGeom prst="rect"/>
                  </pic:spPr>
                </pic:pic>
              </a:graphicData>
            </a:graphic>
          </wp:inline>
        </w:drawing>
      </w:r>
    </w:p>
    <w:p>
      <w:pPr>
        <w:jc w:val="center"/>
      </w:pPr>
      <w:r>
        <w:rPr>
          <w:i/>
          <w:sz w:val="17"/>
        </w:rPr>
        <w:t>Figure 5: Historical Dissolved Carbon Oxides (CO2 and CO) Trends (2021–2025)</w:t>
      </w:r>
    </w:p>
    <w:p>
      <w:pPr>
        <w:keepNext/>
        <w:spacing w:before="120" w:after="40"/>
      </w:pPr>
      <w:r>
        <w:rPr>
          <w:rFonts w:ascii="Arial" w:hAnsi="Arial"/>
          <w:b/>
          <w:color w:val="0F172A"/>
          <w:sz w:val="20"/>
        </w:rPr>
        <w:t>6.2.5 Liquid Insulation Properties &amp; Oil Quality Factor (OQF)</w:t>
      </w:r>
    </w:p>
    <w:p>
      <w:pPr>
        <w:spacing w:before="0" w:after="80" w:line="276" w:lineRule="auto"/>
      </w:pPr>
      <w:r>
        <w:rPr>
          <w:rFonts w:ascii="Calibri" w:hAnsi="Calibri"/>
          <w:i w:val="0"/>
          <w:color w:val="1E293B"/>
          <w:sz w:val="19"/>
        </w:rPr>
        <w:t>All 9 chemical, physical, and electrical parameters meet IEEE Std C57.106 service-aged limits. Dielectric breakdown is 53.5 to 76.2 kV, moisture is 8.7 ppm (at 46°C), interfacial tension is 35.5 mN/m, acidity is 0.010 mg KOH/g, power factor at 25°C is 0.002%, passivator content is 83.6 ppm, and corrosive sulfur is non-corrosive (1a). The composite Oil Quality Factor is 3.86 (Good).</w:t>
      </w:r>
    </w:p>
    <w:p>
      <w:pPr>
        <w:jc w:val="center"/>
      </w:pPr>
      <w:r>
        <w:drawing>
          <wp:inline xmlns:a="http://schemas.openxmlformats.org/drawingml/2006/main" xmlns:pic="http://schemas.openxmlformats.org/drawingml/2006/picture">
            <wp:extent cx="4937760" cy="2398341"/>
            <wp:docPr id="13" name="Picture 13"/>
            <wp:cNvGraphicFramePr>
              <a:graphicFrameLocks noChangeAspect="1"/>
            </wp:cNvGraphicFramePr>
            <a:graphic>
              <a:graphicData uri="http://schemas.openxmlformats.org/drawingml/2006/picture">
                <pic:pic>
                  <pic:nvPicPr>
                    <pic:cNvPr id="0" name="fig_bdv_water.png"/>
                    <pic:cNvPicPr/>
                  </pic:nvPicPr>
                  <pic:blipFill>
                    <a:blip r:embed="rId16"/>
                    <a:stretch>
                      <a:fillRect/>
                    </a:stretch>
                  </pic:blipFill>
                  <pic:spPr>
                    <a:xfrm>
                      <a:off x="0" y="0"/>
                      <a:ext cx="4937760" cy="2398341"/>
                    </a:xfrm>
                    <a:prstGeom prst="rect"/>
                  </pic:spPr>
                </pic:pic>
              </a:graphicData>
            </a:graphic>
          </wp:inline>
        </w:drawing>
      </w:r>
    </w:p>
    <w:p>
      <w:pPr>
        <w:jc w:val="center"/>
      </w:pPr>
      <w:r>
        <w:rPr>
          <w:i/>
          <w:sz w:val="17"/>
        </w:rPr>
        <w:t>Figure 6: Dielectric Breakdown Voltage (BDV) and Moisture in Oil History</w:t>
      </w:r>
    </w:p>
    <w:p>
      <w:pPr>
        <w:jc w:val="center"/>
      </w:pPr>
      <w:r>
        <w:drawing>
          <wp:inline xmlns:a="http://schemas.openxmlformats.org/drawingml/2006/main" xmlns:pic="http://schemas.openxmlformats.org/drawingml/2006/picture">
            <wp:extent cx="4937760" cy="2398341"/>
            <wp:docPr id="14" name="Picture 14"/>
            <wp:cNvGraphicFramePr>
              <a:graphicFrameLocks noChangeAspect="1"/>
            </wp:cNvGraphicFramePr>
            <a:graphic>
              <a:graphicData uri="http://schemas.openxmlformats.org/drawingml/2006/picture">
                <pic:pic>
                  <pic:nvPicPr>
                    <pic:cNvPr id="0" name="fig_ift_acid.png"/>
                    <pic:cNvPicPr/>
                  </pic:nvPicPr>
                  <pic:blipFill>
                    <a:blip r:embed="rId17"/>
                    <a:stretch>
                      <a:fillRect/>
                    </a:stretch>
                  </pic:blipFill>
                  <pic:spPr>
                    <a:xfrm>
                      <a:off x="0" y="0"/>
                      <a:ext cx="4937760" cy="2398341"/>
                    </a:xfrm>
                    <a:prstGeom prst="rect"/>
                  </pic:spPr>
                </pic:pic>
              </a:graphicData>
            </a:graphic>
          </wp:inline>
        </w:drawing>
      </w:r>
    </w:p>
    <w:p>
      <w:pPr>
        <w:jc w:val="center"/>
      </w:pPr>
      <w:r>
        <w:rPr>
          <w:i/>
          <w:sz w:val="17"/>
        </w:rPr>
        <w:t>Figure 7: Interfacial Tension (IFT) and Neutralization Acid Number History</w:t>
      </w:r>
    </w:p>
    <w:p>
      <w:pPr>
        <w:jc w:val="center"/>
      </w:pPr>
      <w:r>
        <w:drawing>
          <wp:inline xmlns:a="http://schemas.openxmlformats.org/drawingml/2006/main" xmlns:pic="http://schemas.openxmlformats.org/drawingml/2006/picture">
            <wp:extent cx="4937760" cy="2398341"/>
            <wp:docPr id="15" name="Picture 15"/>
            <wp:cNvGraphicFramePr>
              <a:graphicFrameLocks noChangeAspect="1"/>
            </wp:cNvGraphicFramePr>
            <a:graphic>
              <a:graphicData uri="http://schemas.openxmlformats.org/drawingml/2006/picture">
                <pic:pic>
                  <pic:nvPicPr>
                    <pic:cNvPr id="0" name="fig_furan_dp.png"/>
                    <pic:cNvPicPr/>
                  </pic:nvPicPr>
                  <pic:blipFill>
                    <a:blip r:embed="rId18"/>
                    <a:stretch>
                      <a:fillRect/>
                    </a:stretch>
                  </pic:blipFill>
                  <pic:spPr>
                    <a:xfrm>
                      <a:off x="0" y="0"/>
                      <a:ext cx="4937760" cy="2398341"/>
                    </a:xfrm>
                    <a:prstGeom prst="rect"/>
                  </pic:spPr>
                </pic:pic>
              </a:graphicData>
            </a:graphic>
          </wp:inline>
        </w:drawing>
      </w:r>
    </w:p>
    <w:p>
      <w:pPr>
        <w:jc w:val="center"/>
      </w:pPr>
      <w:r>
        <w:rPr>
          <w:i/>
          <w:sz w:val="17"/>
        </w:rPr>
        <w:t>Figure 8: 2-Furfuraldehyde (2-FAL) and Estimated Degree of Polymerization (DP)</w:t>
      </w:r>
    </w:p>
    <w:p>
      <w:pPr>
        <w:keepNext/>
        <w:spacing w:before="120" w:after="40"/>
      </w:pPr>
      <w:r>
        <w:rPr>
          <w:rFonts w:ascii="Arial" w:hAnsi="Arial"/>
          <w:b/>
          <w:color w:val="0F172A"/>
          <w:sz w:val="20"/>
        </w:rPr>
        <w:t>6.2.6 Surge Arrester Diagnostics</w:t>
      </w:r>
    </w:p>
    <w:p>
      <w:pPr>
        <w:spacing w:before="0" w:after="80" w:line="276" w:lineRule="auto"/>
      </w:pPr>
      <w:r>
        <w:rPr>
          <w:rFonts w:ascii="Calibri" w:hAnsi="Calibri"/>
          <w:i w:val="0"/>
          <w:color w:val="1E293B"/>
          <w:sz w:val="19"/>
        </w:rPr>
        <w:t>Three TRIDELTA SB 108/10.3-0 station-class metal oxide arresters protect the 115 kV bushings. Tested at 10 kV, total leakage current is 0.15–0.16 mA and watt loss is 106.8–118.2 W (phase deviation &lt; 10%). Insulation resistance exceeds 12,000 MΩ, confirming healthy zinc-oxide blocks.</w:t>
      </w:r>
    </w:p>
    <w:p>
      <w:pPr>
        <w:keepNext/>
        <w:spacing w:before="120" w:after="40"/>
      </w:pPr>
      <w:r>
        <w:rPr>
          <w:rFonts w:ascii="Arial" w:hAnsi="Arial"/>
          <w:b/>
          <w:color w:val="0F172A"/>
          <w:sz w:val="20"/>
        </w:rPr>
        <w:t>6.2.7 On-Load Tap Changer (OLTC) Subsystem</w:t>
      </w:r>
    </w:p>
    <w:p>
      <w:pPr>
        <w:spacing w:before="0" w:after="80" w:line="276" w:lineRule="auto"/>
      </w:pPr>
      <w:r>
        <w:rPr>
          <w:rFonts w:ascii="Calibri" w:hAnsi="Calibri"/>
          <w:i w:val="0"/>
          <w:color w:val="1E293B"/>
          <w:sz w:val="19"/>
        </w:rPr>
        <w:t>The MR Model VIII 200D diverter compartment oil demonstrates high dielectric strength (65.5 to 90.9 kV) and low moisture (5.9 ppm). Duval Triangle 2 coordinates place operation in Zone X1 (Normal arcing). Cumulative operations count is 97,424 (well below 150,000 operation major inspection boundary).</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6" name="Picture 16"/>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00" w:after="60"/>
      </w:pPr>
      <w:r>
        <w:rPr>
          <w:rFonts w:ascii="Arial" w:hAnsi="Arial"/>
          <w:b/>
          <w:color w:val="2563EB"/>
          <w:sz w:val="22"/>
        </w:rPr>
        <w:t>6.3 Transformer Impact &amp; Criticality Evaluation</w:t>
      </w:r>
    </w:p>
    <w:p>
      <w:pPr>
        <w:spacing w:before="0" w:after="80" w:line="276" w:lineRule="auto"/>
      </w:pPr>
      <w:r>
        <w:rPr>
          <w:rFonts w:ascii="Calibri" w:hAnsi="Calibri"/>
          <w:i w:val="0"/>
          <w:color w:val="1E293B"/>
          <w:sz w:val="19"/>
        </w:rPr>
        <w:t>The Transformer Impact Index evaluates the consequences of failure across 9 operational, economic, and safety dimensions per GPSC Asset Management Guidelines: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37"/>
        <w:gridCol w:w="2437"/>
        <w:gridCol w:w="2437"/>
        <w:gridCol w:w="2437"/>
      </w:tblGrid>
      <w:tr>
        <w:tc>
          <w:tcPr>
            <w:tcW w:type="dxa" w:w="2437"/>
            <w:shd w:fill="1B365D"/>
          </w:tcPr>
          <w:p>
            <w:r>
              <w:rPr>
                <w:b/>
                <w:color w:val="FFFFFF"/>
                <w:sz w:val="16"/>
              </w:rPr>
              <w:t>Criticality Dimension</w:t>
            </w:r>
          </w:p>
        </w:tc>
        <w:tc>
          <w:tcPr>
            <w:tcW w:type="dxa" w:w="2437"/>
            <w:shd w:fill="1B365D"/>
          </w:tcPr>
          <w:p>
            <w:r>
              <w:rPr>
                <w:b/>
                <w:color w:val="FFFFFF"/>
                <w:sz w:val="16"/>
              </w:rPr>
              <w:t>Site Operational Criterion</w:t>
            </w:r>
          </w:p>
        </w:tc>
        <w:tc>
          <w:tcPr>
            <w:tcW w:type="dxa" w:w="2437"/>
            <w:shd w:fill="1B365D"/>
          </w:tcPr>
          <w:p>
            <w:r>
              <w:rPr>
                <w:b/>
                <w:color w:val="FFFFFF"/>
                <w:sz w:val="16"/>
              </w:rPr>
              <w:t>Weight</w:t>
            </w:r>
          </w:p>
        </w:tc>
        <w:tc>
          <w:tcPr>
            <w:tcW w:type="dxa" w:w="2437"/>
            <w:shd w:fill="1B365D"/>
          </w:tcPr>
          <w:p>
            <w:r>
              <w:rPr>
                <w:b/>
                <w:color w:val="FFFFFF"/>
                <w:sz w:val="16"/>
              </w:rPr>
              <w:t>Assigned Score</w:t>
            </w:r>
          </w:p>
        </w:tc>
      </w:tr>
      <w:tr>
        <w:tc>
          <w:tcPr>
            <w:tcW w:type="dxa" w:w="2437"/>
            <w:tcMar>
              <w:top w:w="20" w:type="dxa"/>
              <w:bottom w:w="20" w:type="dxa"/>
              <w:left w:w="40" w:type="dxa"/>
              <w:right w:w="40" w:type="dxa"/>
            </w:tcMar>
          </w:tcPr>
          <w:p>
            <w:r>
              <w:rPr>
                <w:sz w:val="16"/>
              </w:rPr>
              <w:t>1. Financial Loss (MTHB/Day)</w:t>
            </w:r>
          </w:p>
        </w:tc>
        <w:tc>
          <w:tcPr>
            <w:tcW w:type="dxa" w:w="2437"/>
            <w:tcMar>
              <w:top w:w="20" w:type="dxa"/>
              <w:bottom w:w="20" w:type="dxa"/>
              <w:left w:w="40" w:type="dxa"/>
              <w:right w:w="40" w:type="dxa"/>
            </w:tcMar>
          </w:tcPr>
          <w:p>
            <w:r>
              <w:rPr>
                <w:sz w:val="16"/>
              </w:rPr>
              <w:t>Loss of industrial revenue 2-5 MTHB/Day</w:t>
            </w:r>
          </w:p>
        </w:tc>
        <w:tc>
          <w:tcPr>
            <w:tcW w:type="dxa" w:w="2437"/>
            <w:tcMar>
              <w:top w:w="20" w:type="dxa"/>
              <w:bottom w:w="20" w:type="dxa"/>
              <w:left w:w="40" w:type="dxa"/>
              <w:right w:w="40" w:type="dxa"/>
            </w:tcMar>
          </w:tcPr>
          <w:p>
            <w:r>
              <w:rPr>
                <w:sz w:val="16"/>
              </w:rPr>
              <w:t>20%</w:t>
            </w:r>
          </w:p>
        </w:tc>
        <w:tc>
          <w:tcPr>
            <w:tcW w:type="dxa" w:w="2437"/>
            <w:tcMar>
              <w:top w:w="20" w:type="dxa"/>
              <w:bottom w:w="20" w:type="dxa"/>
              <w:left w:w="40" w:type="dxa"/>
              <w:right w:w="40" w:type="dxa"/>
            </w:tcMar>
          </w:tcPr>
          <w:p>
            <w:r>
              <w:rPr>
                <w:sz w:val="16"/>
              </w:rPr>
              <w:t>4.0</w:t>
            </w:r>
          </w:p>
        </w:tc>
      </w:tr>
      <w:tr>
        <w:tc>
          <w:tcPr>
            <w:tcW w:type="dxa" w:w="2437"/>
            <w:tcMar>
              <w:top w:w="20" w:type="dxa"/>
              <w:bottom w:w="20" w:type="dxa"/>
              <w:left w:w="40" w:type="dxa"/>
              <w:right w:w="40" w:type="dxa"/>
            </w:tcMar>
          </w:tcPr>
          <w:p>
            <w:r>
              <w:rPr>
                <w:sz w:val="16"/>
              </w:rPr>
              <w:t>2. Equipment Damage Cost</w:t>
            </w:r>
          </w:p>
        </w:tc>
        <w:tc>
          <w:tcPr>
            <w:tcW w:type="dxa" w:w="2437"/>
            <w:tcMar>
              <w:top w:w="20" w:type="dxa"/>
              <w:bottom w:w="20" w:type="dxa"/>
              <w:left w:w="40" w:type="dxa"/>
              <w:right w:w="40" w:type="dxa"/>
            </w:tcMar>
          </w:tcPr>
          <w:p>
            <w:r>
              <w:rPr>
                <w:sz w:val="16"/>
              </w:rPr>
              <w:t>Transformer replacement cost &gt; 10 MTHB</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5.0</w:t>
            </w:r>
          </w:p>
        </w:tc>
      </w:tr>
      <w:tr>
        <w:tc>
          <w:tcPr>
            <w:tcW w:type="dxa" w:w="2437"/>
            <w:tcMar>
              <w:top w:w="20" w:type="dxa"/>
              <w:bottom w:w="20" w:type="dxa"/>
              <w:left w:w="40" w:type="dxa"/>
              <w:right w:w="40" w:type="dxa"/>
            </w:tcMar>
          </w:tcPr>
          <w:p>
            <w:r>
              <w:rPr>
                <w:sz w:val="16"/>
              </w:rPr>
              <w:t>3. N-1 Redundancy Criterion</w:t>
            </w:r>
          </w:p>
        </w:tc>
        <w:tc>
          <w:tcPr>
            <w:tcW w:type="dxa" w:w="2437"/>
            <w:tcMar>
              <w:top w:w="20" w:type="dxa"/>
              <w:bottom w:w="20" w:type="dxa"/>
              <w:left w:w="40" w:type="dxa"/>
              <w:right w:w="40" w:type="dxa"/>
            </w:tcMar>
          </w:tcPr>
          <w:p>
            <w:r>
              <w:rPr>
                <w:sz w:val="16"/>
              </w:rPr>
              <w:t>Partial transfer capability via tie busbar</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3.0</w:t>
            </w:r>
          </w:p>
        </w:tc>
      </w:tr>
      <w:tr>
        <w:tc>
          <w:tcPr>
            <w:tcW w:type="dxa" w:w="2437"/>
            <w:tcMar>
              <w:top w:w="20" w:type="dxa"/>
              <w:bottom w:w="20" w:type="dxa"/>
              <w:left w:w="40" w:type="dxa"/>
              <w:right w:w="40" w:type="dxa"/>
            </w:tcMar>
          </w:tcPr>
          <w:p>
            <w:r>
              <w:rPr>
                <w:sz w:val="16"/>
              </w:rPr>
              <w:t>4. Feeder Importance</w:t>
            </w:r>
          </w:p>
        </w:tc>
        <w:tc>
          <w:tcPr>
            <w:tcW w:type="dxa" w:w="2437"/>
            <w:tcMar>
              <w:top w:w="20" w:type="dxa"/>
              <w:bottom w:w="20" w:type="dxa"/>
              <w:left w:w="40" w:type="dxa"/>
              <w:right w:w="40" w:type="dxa"/>
            </w:tcMar>
          </w:tcPr>
          <w:p>
            <w:r>
              <w:rPr>
                <w:sz w:val="16"/>
              </w:rPr>
              <w:t>Critical 22 kV industrial feeder dispatch</w:t>
            </w:r>
          </w:p>
        </w:tc>
        <w:tc>
          <w:tcPr>
            <w:tcW w:type="dxa" w:w="2437"/>
            <w:tcMar>
              <w:top w:w="20" w:type="dxa"/>
              <w:bottom w:w="20" w:type="dxa"/>
              <w:left w:w="40" w:type="dxa"/>
              <w:right w:w="40" w:type="dxa"/>
            </w:tcMar>
          </w:tcPr>
          <w:p>
            <w:r>
              <w:rPr>
                <w:sz w:val="16"/>
              </w:rPr>
              <w:t>15%</w:t>
            </w:r>
          </w:p>
        </w:tc>
        <w:tc>
          <w:tcPr>
            <w:tcW w:type="dxa" w:w="2437"/>
            <w:tcMar>
              <w:top w:w="20" w:type="dxa"/>
              <w:bottom w:w="20" w:type="dxa"/>
              <w:left w:w="40" w:type="dxa"/>
              <w:right w:w="40" w:type="dxa"/>
            </w:tcMar>
          </w:tcPr>
          <w:p>
            <w:r>
              <w:rPr>
                <w:sz w:val="16"/>
              </w:rPr>
              <w:t>5.0</w:t>
            </w:r>
          </w:p>
        </w:tc>
      </w:tr>
      <w:tr>
        <w:tc>
          <w:tcPr>
            <w:tcW w:type="dxa" w:w="2437"/>
            <w:tcMar>
              <w:top w:w="20" w:type="dxa"/>
              <w:bottom w:w="20" w:type="dxa"/>
              <w:left w:w="40" w:type="dxa"/>
              <w:right w:w="40" w:type="dxa"/>
            </w:tcMar>
          </w:tcPr>
          <w:p>
            <w:r>
              <w:rPr>
                <w:sz w:val="16"/>
              </w:rPr>
              <w:t>5. Recovery Time (Weeks)</w:t>
            </w:r>
          </w:p>
        </w:tc>
        <w:tc>
          <w:tcPr>
            <w:tcW w:type="dxa" w:w="2437"/>
            <w:tcMar>
              <w:top w:w="20" w:type="dxa"/>
              <w:bottom w:w="20" w:type="dxa"/>
              <w:left w:w="40" w:type="dxa"/>
              <w:right w:w="40" w:type="dxa"/>
            </w:tcMar>
          </w:tcPr>
          <w:p>
            <w:r>
              <w:rPr>
                <w:sz w:val="16"/>
              </w:rPr>
              <w:t>Specialized procurement lead-time &gt; 12 weeks</w:t>
            </w:r>
          </w:p>
        </w:tc>
        <w:tc>
          <w:tcPr>
            <w:tcW w:type="dxa" w:w="2437"/>
            <w:tcMar>
              <w:top w:w="20" w:type="dxa"/>
              <w:bottom w:w="20" w:type="dxa"/>
              <w:left w:w="40" w:type="dxa"/>
              <w:right w:w="40" w:type="dxa"/>
            </w:tcMar>
          </w:tcPr>
          <w:p>
            <w:r>
              <w:rPr>
                <w:sz w:val="16"/>
              </w:rPr>
              <w:t>15%</w:t>
            </w:r>
          </w:p>
        </w:tc>
        <w:tc>
          <w:tcPr>
            <w:tcW w:type="dxa" w:w="2437"/>
            <w:tcMar>
              <w:top w:w="20" w:type="dxa"/>
              <w:bottom w:w="20" w:type="dxa"/>
              <w:left w:w="40" w:type="dxa"/>
              <w:right w:w="40" w:type="dxa"/>
            </w:tcMar>
          </w:tcPr>
          <w:p>
            <w:r>
              <w:rPr>
                <w:sz w:val="16"/>
              </w:rPr>
              <w:t>4.0</w:t>
            </w:r>
          </w:p>
        </w:tc>
      </w:tr>
      <w:tr>
        <w:tc>
          <w:tcPr>
            <w:tcW w:type="dxa" w:w="2437"/>
            <w:tcMar>
              <w:top w:w="20" w:type="dxa"/>
              <w:bottom w:w="20" w:type="dxa"/>
              <w:left w:w="40" w:type="dxa"/>
              <w:right w:w="40" w:type="dxa"/>
            </w:tcMar>
          </w:tcPr>
          <w:p>
            <w:r>
              <w:rPr>
                <w:sz w:val="16"/>
              </w:rPr>
              <w:t>6. Network Stability</w:t>
            </w:r>
          </w:p>
        </w:tc>
        <w:tc>
          <w:tcPr>
            <w:tcW w:type="dxa" w:w="2437"/>
            <w:tcMar>
              <w:top w:w="20" w:type="dxa"/>
              <w:bottom w:w="20" w:type="dxa"/>
              <w:left w:w="40" w:type="dxa"/>
              <w:right w:w="40" w:type="dxa"/>
            </w:tcMar>
          </w:tcPr>
          <w:p>
            <w:r>
              <w:rPr>
                <w:sz w:val="16"/>
              </w:rPr>
              <w:t>Local feeder curtailment without grid collapse</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3.0</w:t>
            </w:r>
          </w:p>
        </w:tc>
      </w:tr>
      <w:tr>
        <w:tc>
          <w:tcPr>
            <w:tcW w:type="dxa" w:w="2437"/>
            <w:tcMar>
              <w:top w:w="20" w:type="dxa"/>
              <w:bottom w:w="20" w:type="dxa"/>
              <w:left w:w="40" w:type="dxa"/>
              <w:right w:w="40" w:type="dxa"/>
            </w:tcMar>
          </w:tcPr>
          <w:p>
            <w:r>
              <w:rPr>
                <w:sz w:val="16"/>
              </w:rPr>
              <w:t>7. Customer Impact</w:t>
            </w:r>
          </w:p>
        </w:tc>
        <w:tc>
          <w:tcPr>
            <w:tcW w:type="dxa" w:w="2437"/>
            <w:tcMar>
              <w:top w:w="20" w:type="dxa"/>
              <w:bottom w:w="20" w:type="dxa"/>
              <w:left w:w="40" w:type="dxa"/>
              <w:right w:w="40" w:type="dxa"/>
            </w:tcMar>
          </w:tcPr>
          <w:p>
            <w:r>
              <w:rPr>
                <w:sz w:val="16"/>
              </w:rPr>
              <w:t>Key industrial petrochemical customers affected</w:t>
            </w:r>
          </w:p>
        </w:tc>
        <w:tc>
          <w:tcPr>
            <w:tcW w:type="dxa" w:w="2437"/>
            <w:tcMar>
              <w:top w:w="20" w:type="dxa"/>
              <w:bottom w:w="20" w:type="dxa"/>
              <w:left w:w="40" w:type="dxa"/>
              <w:right w:w="40" w:type="dxa"/>
            </w:tcMar>
          </w:tcPr>
          <w:p>
            <w:r>
              <w:rPr>
                <w:sz w:val="16"/>
              </w:rPr>
              <w:t>10%</w:t>
            </w:r>
          </w:p>
        </w:tc>
        <w:tc>
          <w:tcPr>
            <w:tcW w:type="dxa" w:w="2437"/>
            <w:tcMar>
              <w:top w:w="20" w:type="dxa"/>
              <w:bottom w:w="20" w:type="dxa"/>
              <w:left w:w="40" w:type="dxa"/>
              <w:right w:w="40" w:type="dxa"/>
            </w:tcMar>
          </w:tcPr>
          <w:p>
            <w:r>
              <w:rPr>
                <w:sz w:val="16"/>
              </w:rPr>
              <w:t>4.0</w:t>
            </w:r>
          </w:p>
        </w:tc>
      </w:tr>
      <w:tr>
        <w:tc>
          <w:tcPr>
            <w:tcW w:type="dxa" w:w="2437"/>
            <w:tcMar>
              <w:top w:w="20" w:type="dxa"/>
              <w:bottom w:w="20" w:type="dxa"/>
              <w:left w:w="40" w:type="dxa"/>
              <w:right w:w="40" w:type="dxa"/>
            </w:tcMar>
          </w:tcPr>
          <w:p>
            <w:r>
              <w:rPr>
                <w:sz w:val="16"/>
              </w:rPr>
              <w:t>8. Environmental Impact</w:t>
            </w:r>
          </w:p>
        </w:tc>
        <w:tc>
          <w:tcPr>
            <w:tcW w:type="dxa" w:w="2437"/>
            <w:tcMar>
              <w:top w:w="20" w:type="dxa"/>
              <w:bottom w:w="20" w:type="dxa"/>
              <w:left w:w="40" w:type="dxa"/>
              <w:right w:w="40" w:type="dxa"/>
            </w:tcMar>
          </w:tcPr>
          <w:p>
            <w:r>
              <w:rPr>
                <w:sz w:val="16"/>
              </w:rPr>
              <w:t>Full oil containment pit; zero offsite spill</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2.0</w:t>
            </w:r>
          </w:p>
        </w:tc>
      </w:tr>
      <w:tr>
        <w:tc>
          <w:tcPr>
            <w:tcW w:type="dxa" w:w="2437"/>
            <w:tcMar>
              <w:top w:w="20" w:type="dxa"/>
              <w:bottom w:w="20" w:type="dxa"/>
              <w:left w:w="40" w:type="dxa"/>
              <w:right w:w="40" w:type="dxa"/>
            </w:tcMar>
          </w:tcPr>
          <w:p>
            <w:r>
              <w:rPr>
                <w:sz w:val="16"/>
              </w:rPr>
              <w:t>9. Safety Impact</w:t>
            </w:r>
          </w:p>
        </w:tc>
        <w:tc>
          <w:tcPr>
            <w:tcW w:type="dxa" w:w="2437"/>
            <w:tcMar>
              <w:top w:w="20" w:type="dxa"/>
              <w:bottom w:w="20" w:type="dxa"/>
              <w:left w:w="40" w:type="dxa"/>
              <w:right w:w="40" w:type="dxa"/>
            </w:tcMar>
          </w:tcPr>
          <w:p>
            <w:r>
              <w:rPr>
                <w:sz w:val="16"/>
              </w:rPr>
              <w:t>Automated fire deluge system; closed outdoor cell</w:t>
            </w:r>
          </w:p>
        </w:tc>
        <w:tc>
          <w:tcPr>
            <w:tcW w:type="dxa" w:w="2437"/>
            <w:tcMar>
              <w:top w:w="20" w:type="dxa"/>
              <w:bottom w:w="20" w:type="dxa"/>
              <w:left w:w="40" w:type="dxa"/>
              <w:right w:w="40" w:type="dxa"/>
            </w:tcMar>
          </w:tcPr>
          <w:p>
            <w:r>
              <w:rPr>
                <w:sz w:val="16"/>
              </w:rPr>
              <w:t>5%</w:t>
            </w:r>
          </w:p>
        </w:tc>
        <w:tc>
          <w:tcPr>
            <w:tcW w:type="dxa" w:w="2437"/>
            <w:tcMar>
              <w:top w:w="20" w:type="dxa"/>
              <w:bottom w:w="20" w:type="dxa"/>
              <w:left w:w="40" w:type="dxa"/>
              <w:right w:w="40" w:type="dxa"/>
            </w:tcMar>
          </w:tcPr>
          <w:p>
            <w:r>
              <w:rPr>
                <w:sz w:val="16"/>
              </w:rPr>
              <w:t>2.0</w:t>
            </w:r>
          </w:p>
        </w:tc>
      </w:tr>
    </w:tbl>
    <w:p>
      <w:pPr>
        <w:spacing w:before="0" w:after="80" w:line="276" w:lineRule="auto"/>
      </w:pPr>
      <w:r>
        <w:rPr>
          <w:rFonts w:ascii="Calibri" w:hAnsi="Calibri"/>
          <w:i w:val="0"/>
          <w:color w:val="1E293B"/>
          <w:sz w:val="19"/>
        </w:rPr>
        <w:t>Total Evaluated Criticality Score = 82.4% (High Impact Category / Rank 4 out of 5).</w:t>
      </w:r>
    </w:p>
    <w:p>
      <w:pPr>
        <w:keepNext/>
        <w:spacing w:before="200" w:after="60"/>
      </w:pPr>
      <w:r>
        <w:rPr>
          <w:rFonts w:ascii="Arial" w:hAnsi="Arial"/>
          <w:b/>
          <w:color w:val="2563EB"/>
          <w:sz w:val="22"/>
        </w:rPr>
        <w:t>6.4 Transformer Risk Matrix Evaluation (CIGRE TB 761 Compliance)</w:t>
      </w:r>
    </w:p>
    <w:p>
      <w:pPr>
        <w:spacing w:before="0" w:after="80" w:line="276" w:lineRule="auto"/>
      </w:pPr>
      <w:r>
        <w:rPr>
          <w:rFonts w:ascii="Calibri" w:hAnsi="Calibri"/>
          <w:i w:val="0"/>
          <w:color w:val="1E293B"/>
          <w:sz w:val="19"/>
        </w:rPr>
        <w:t>Power transformer asset management requires establishing an objective, standardized boundary between physical condition degradation and system operational criticality. In full alignment with CIGRE Technical Brochure 761 ("Condition Assessment of Power Transformers", Working Group A2.49, Chapter 6 &amp; 7), the fleet risk evaluation implements a standardized 5×5 matrix formulation:</w:t>
        <w:br/>
        <w:t xml:space="preserve">    Total Risk Score = Probability of Failure (PoF) × Consequence of Failure (CoF)</w:t>
      </w:r>
    </w:p>
    <w:p>
      <w:pPr>
        <w:spacing w:before="0" w:after="80" w:line="276" w:lineRule="auto"/>
      </w:pPr>
      <w:r>
        <w:rPr>
          <w:rFonts w:ascii="Calibri" w:hAnsi="Calibri"/>
          <w:i w:val="0"/>
          <w:color w:val="1E293B"/>
          <w:sz w:val="19"/>
        </w:rPr>
        <w:t>Evaluation Parameters for 34101-TR-001:</w:t>
        <w:br/>
        <w:t xml:space="preserve"> • Probability of Failure (PoF) / Condition Index: PoF is determined by the composite Health Index (HI = 85.0%), derived from Condition Health Index (%CHI = 88.5%) and General Health Index (%GHI = 81.5%). Per CIGRE TB 761 guidelines, transformers with HI ≥ 85% correspond to PoF Category 1 (Very Low Failure Probability, annualized PoF ≈ 11.2%).</w:t>
        <w:br/>
        <w:t xml:space="preserve"> • Consequence of Failure (CoF) / Criticality Index: CoF reflects the overall operational, financial, safety, and network reliability consequences resulting from an unplanned forced outage. Based on the GPSC corporate asset criticality weighting (System Importance 35%, Outage Duration 25%, Financial Impact 20%, Safety &amp; Environment 20%), the unit achieves an Impact Score of 82.4%, classifying it into CoF Category 4 (Major / High Criticality).</w:t>
        <w:br/>
        <w:t xml:space="preserve"> • Mathematical Risk Score:</w:t>
        <w:br/>
        <w:t xml:space="preserve">       Risk Score = 1 (PoF) × 4 (CoF) = 4 (out of 25 possible points)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50"/>
        <w:gridCol w:w="1950"/>
        <w:gridCol w:w="1950"/>
        <w:gridCol w:w="1950"/>
        <w:gridCol w:w="1950"/>
      </w:tblGrid>
      <w:tr>
        <w:tc>
          <w:tcPr>
            <w:tcW w:type="dxa" w:w="1950"/>
            <w:shd w:fill="1B365D"/>
          </w:tcPr>
          <w:p>
            <w:r>
              <w:rPr>
                <w:b/>
                <w:color w:val="FFFFFF"/>
                <w:sz w:val="16"/>
              </w:rPr>
              <w:t>Risk Score</w:t>
            </w:r>
          </w:p>
        </w:tc>
        <w:tc>
          <w:tcPr>
            <w:tcW w:type="dxa" w:w="1950"/>
            <w:shd w:fill="1B365D"/>
          </w:tcPr>
          <w:p>
            <w:r>
              <w:rPr>
                <w:b/>
                <w:color w:val="FFFFFF"/>
                <w:sz w:val="16"/>
              </w:rPr>
              <w:t>Risk Category</w:t>
            </w:r>
          </w:p>
        </w:tc>
        <w:tc>
          <w:tcPr>
            <w:tcW w:type="dxa" w:w="1950"/>
            <w:shd w:fill="1B365D"/>
          </w:tcPr>
          <w:p>
            <w:r>
              <w:rPr>
                <w:b/>
                <w:color w:val="FFFFFF"/>
                <w:sz w:val="16"/>
              </w:rPr>
              <w:t>CIGRE Zone Color</w:t>
            </w:r>
          </w:p>
        </w:tc>
        <w:tc>
          <w:tcPr>
            <w:tcW w:type="dxa" w:w="1950"/>
            <w:shd w:fill="1B365D"/>
          </w:tcPr>
          <w:p>
            <w:r>
              <w:rPr>
                <w:b/>
                <w:color w:val="FFFFFF"/>
                <w:sz w:val="16"/>
              </w:rPr>
              <w:t>Standard Operational &amp; Maintenance Strategy</w:t>
            </w:r>
          </w:p>
        </w:tc>
        <w:tc>
          <w:tcPr>
            <w:tcW w:type="dxa" w:w="1950"/>
            <w:shd w:fill="1B365D"/>
          </w:tcPr>
          <w:p>
            <w:r>
              <w:rPr>
                <w:b/>
                <w:color w:val="FFFFFF"/>
                <w:sz w:val="16"/>
              </w:rPr>
              <w:t>Unit Status (34101-TR-001)</w:t>
            </w:r>
          </w:p>
        </w:tc>
      </w:tr>
      <w:tr>
        <w:tc>
          <w:tcPr>
            <w:tcW w:type="dxa" w:w="1950"/>
            <w:shd w:fill="DCFCE7"/>
            <w:tcMar>
              <w:top w:w="20" w:type="dxa"/>
              <w:bottom w:w="20" w:type="dxa"/>
              <w:left w:w="40" w:type="dxa"/>
              <w:right w:w="40" w:type="dxa"/>
            </w:tcMar>
          </w:tcPr>
          <w:p>
            <w:r>
              <w:rPr>
                <w:sz w:val="15"/>
              </w:rPr>
              <w:t>Score 1 – 5</w:t>
            </w:r>
          </w:p>
        </w:tc>
        <w:tc>
          <w:tcPr>
            <w:tcW w:type="dxa" w:w="1950"/>
            <w:shd w:fill="DCFCE7"/>
            <w:tcMar>
              <w:top w:w="20" w:type="dxa"/>
              <w:bottom w:w="20" w:type="dxa"/>
              <w:left w:w="40" w:type="dxa"/>
              <w:right w:w="40" w:type="dxa"/>
            </w:tcMar>
          </w:tcPr>
          <w:p>
            <w:r>
              <w:rPr>
                <w:sz w:val="15"/>
              </w:rPr>
              <w:t>Low Risk (Acceptable)</w:t>
            </w:r>
          </w:p>
        </w:tc>
        <w:tc>
          <w:tcPr>
            <w:tcW w:type="dxa" w:w="1950"/>
            <w:shd w:fill="22C55E"/>
            <w:tcMar>
              <w:top w:w="20" w:type="dxa"/>
              <w:bottom w:w="20" w:type="dxa"/>
              <w:left w:w="40" w:type="dxa"/>
              <w:right w:w="40" w:type="dxa"/>
            </w:tcMar>
          </w:tcPr>
          <w:p>
            <w:r>
              <w:rPr>
                <w:b/>
                <w:color w:val="FFFFFF"/>
                <w:sz w:val="15"/>
              </w:rPr>
              <w:t>Green</w:t>
            </w:r>
          </w:p>
        </w:tc>
        <w:tc>
          <w:tcPr>
            <w:tcW w:type="dxa" w:w="1950"/>
            <w:shd w:fill="DCFCE7"/>
            <w:tcMar>
              <w:top w:w="20" w:type="dxa"/>
              <w:bottom w:w="20" w:type="dxa"/>
              <w:left w:w="40" w:type="dxa"/>
              <w:right w:w="40" w:type="dxa"/>
            </w:tcMar>
          </w:tcPr>
          <w:p>
            <w:r>
              <w:rPr>
                <w:sz w:val="15"/>
              </w:rPr>
              <w:t>Routine condition-based maintenance; annual DGA/oil quality sampling; 3-year electrical diagnostic testing.</w:t>
            </w:r>
          </w:p>
        </w:tc>
        <w:tc>
          <w:tcPr>
            <w:tcW w:type="dxa" w:w="1950"/>
            <w:shd w:fill="BBF7D0"/>
            <w:tcMar>
              <w:top w:w="20" w:type="dxa"/>
              <w:bottom w:w="20" w:type="dxa"/>
              <w:left w:w="40" w:type="dxa"/>
              <w:right w:w="40" w:type="dxa"/>
            </w:tcMar>
          </w:tcPr>
          <w:p>
            <w:r>
              <w:rPr>
                <w:b/>
                <w:color w:val="166534"/>
                <w:sz w:val="15"/>
              </w:rPr>
              <w:t>Score = 4: ACTIVE (Normal Operation)</w:t>
            </w:r>
          </w:p>
        </w:tc>
      </w:tr>
      <w:tr>
        <w:tc>
          <w:tcPr>
            <w:tcW w:type="dxa" w:w="1950"/>
            <w:tcMar>
              <w:top w:w="20" w:type="dxa"/>
              <w:bottom w:w="20" w:type="dxa"/>
              <w:left w:w="40" w:type="dxa"/>
              <w:right w:w="40" w:type="dxa"/>
            </w:tcMar>
          </w:tcPr>
          <w:p>
            <w:r>
              <w:rPr>
                <w:sz w:val="15"/>
              </w:rPr>
              <w:t>Score 6 – 10</w:t>
            </w:r>
          </w:p>
        </w:tc>
        <w:tc>
          <w:tcPr>
            <w:tcW w:type="dxa" w:w="1950"/>
            <w:tcMar>
              <w:top w:w="20" w:type="dxa"/>
              <w:bottom w:w="20" w:type="dxa"/>
              <w:left w:w="40" w:type="dxa"/>
              <w:right w:w="40" w:type="dxa"/>
            </w:tcMar>
          </w:tcPr>
          <w:p>
            <w:r>
              <w:rPr>
                <w:sz w:val="15"/>
              </w:rPr>
              <w:t>Medium Risk (Tolerable)</w:t>
            </w:r>
          </w:p>
        </w:tc>
        <w:tc>
          <w:tcPr>
            <w:tcW w:type="dxa" w:w="1950"/>
            <w:tcMar>
              <w:top w:w="20" w:type="dxa"/>
              <w:bottom w:w="20" w:type="dxa"/>
              <w:left w:w="40" w:type="dxa"/>
              <w:right w:w="40" w:type="dxa"/>
            </w:tcMar>
          </w:tcPr>
          <w:p>
            <w:r>
              <w:rPr>
                <w:sz w:val="15"/>
              </w:rPr>
              <w:t>Yellow</w:t>
            </w:r>
          </w:p>
        </w:tc>
        <w:tc>
          <w:tcPr>
            <w:tcW w:type="dxa" w:w="1950"/>
            <w:tcMar>
              <w:top w:w="20" w:type="dxa"/>
              <w:bottom w:w="20" w:type="dxa"/>
              <w:left w:w="40" w:type="dxa"/>
              <w:right w:w="40" w:type="dxa"/>
            </w:tcMar>
          </w:tcPr>
          <w:p>
            <w:r>
              <w:rPr>
                <w:sz w:val="15"/>
              </w:rPr>
              <w:t>Increased surveillance; shorten DGA interval to 6 months; monitor thermal and load profile trends.</w:t>
            </w:r>
          </w:p>
        </w:tc>
        <w:tc>
          <w:tcPr>
            <w:tcW w:type="dxa" w:w="1950"/>
            <w:tcMar>
              <w:top w:w="20" w:type="dxa"/>
              <w:bottom w:w="20" w:type="dxa"/>
              <w:left w:w="40" w:type="dxa"/>
              <w:right w:w="40" w:type="dxa"/>
            </w:tcMar>
          </w:tcPr>
          <w:p>
            <w:r>
              <w:rPr>
                <w:sz w:val="15"/>
              </w:rPr>
              <w:t>Not Applicable</w:t>
            </w:r>
          </w:p>
        </w:tc>
      </w:tr>
      <w:tr>
        <w:tc>
          <w:tcPr>
            <w:tcW w:type="dxa" w:w="1950"/>
            <w:tcMar>
              <w:top w:w="20" w:type="dxa"/>
              <w:bottom w:w="20" w:type="dxa"/>
              <w:left w:w="40" w:type="dxa"/>
              <w:right w:w="40" w:type="dxa"/>
            </w:tcMar>
          </w:tcPr>
          <w:p>
            <w:r>
              <w:rPr>
                <w:sz w:val="15"/>
              </w:rPr>
              <w:t>Score 12 – 15</w:t>
            </w:r>
          </w:p>
        </w:tc>
        <w:tc>
          <w:tcPr>
            <w:tcW w:type="dxa" w:w="1950"/>
            <w:tcMar>
              <w:top w:w="20" w:type="dxa"/>
              <w:bottom w:w="20" w:type="dxa"/>
              <w:left w:w="40" w:type="dxa"/>
              <w:right w:w="40" w:type="dxa"/>
            </w:tcMar>
          </w:tcPr>
          <w:p>
            <w:r>
              <w:rPr>
                <w:sz w:val="15"/>
              </w:rPr>
              <w:t>High Risk (Unfavorable)</w:t>
            </w:r>
          </w:p>
        </w:tc>
        <w:tc>
          <w:tcPr>
            <w:tcW w:type="dxa" w:w="1950"/>
            <w:tcMar>
              <w:top w:w="20" w:type="dxa"/>
              <w:bottom w:w="20" w:type="dxa"/>
              <w:left w:w="40" w:type="dxa"/>
              <w:right w:w="40" w:type="dxa"/>
            </w:tcMar>
          </w:tcPr>
          <w:p>
            <w:r>
              <w:rPr>
                <w:sz w:val="15"/>
              </w:rPr>
              <w:t>Orange</w:t>
            </w:r>
          </w:p>
        </w:tc>
        <w:tc>
          <w:tcPr>
            <w:tcW w:type="dxa" w:w="1950"/>
            <w:tcMar>
              <w:top w:w="20" w:type="dxa"/>
              <w:bottom w:w="20" w:type="dxa"/>
              <w:left w:w="40" w:type="dxa"/>
              <w:right w:w="40" w:type="dxa"/>
            </w:tcMar>
          </w:tcPr>
          <w:p>
            <w:r>
              <w:rPr>
                <w:sz w:val="15"/>
              </w:rPr>
              <w:t>Active preventive intervention; oil degassing/reclamation; bushing/OLTC overhaul; contingency plan.</w:t>
            </w:r>
          </w:p>
        </w:tc>
        <w:tc>
          <w:tcPr>
            <w:tcW w:type="dxa" w:w="1950"/>
            <w:tcMar>
              <w:top w:w="20" w:type="dxa"/>
              <w:bottom w:w="20" w:type="dxa"/>
              <w:left w:w="40" w:type="dxa"/>
              <w:right w:w="40" w:type="dxa"/>
            </w:tcMar>
          </w:tcPr>
          <w:p>
            <w:r>
              <w:rPr>
                <w:sz w:val="15"/>
              </w:rPr>
              <w:t>Not Applicable</w:t>
            </w:r>
          </w:p>
        </w:tc>
      </w:tr>
      <w:tr>
        <w:tc>
          <w:tcPr>
            <w:tcW w:type="dxa" w:w="1950"/>
            <w:tcMar>
              <w:top w:w="20" w:type="dxa"/>
              <w:bottom w:w="20" w:type="dxa"/>
              <w:left w:w="40" w:type="dxa"/>
              <w:right w:w="40" w:type="dxa"/>
            </w:tcMar>
          </w:tcPr>
          <w:p>
            <w:r>
              <w:rPr>
                <w:sz w:val="15"/>
              </w:rPr>
              <w:t>Score 16 – 25</w:t>
            </w:r>
          </w:p>
        </w:tc>
        <w:tc>
          <w:tcPr>
            <w:tcW w:type="dxa" w:w="1950"/>
            <w:tcMar>
              <w:top w:w="20" w:type="dxa"/>
              <w:bottom w:w="20" w:type="dxa"/>
              <w:left w:w="40" w:type="dxa"/>
              <w:right w:w="40" w:type="dxa"/>
            </w:tcMar>
          </w:tcPr>
          <w:p>
            <w:r>
              <w:rPr>
                <w:sz w:val="15"/>
              </w:rPr>
              <w:t>Critical Risk (Unacceptable)</w:t>
            </w:r>
          </w:p>
        </w:tc>
        <w:tc>
          <w:tcPr>
            <w:tcW w:type="dxa" w:w="1950"/>
            <w:tcMar>
              <w:top w:w="20" w:type="dxa"/>
              <w:bottom w:w="20" w:type="dxa"/>
              <w:left w:w="40" w:type="dxa"/>
              <w:right w:w="40" w:type="dxa"/>
            </w:tcMar>
          </w:tcPr>
          <w:p>
            <w:r>
              <w:rPr>
                <w:sz w:val="15"/>
              </w:rPr>
              <w:t>Red</w:t>
            </w:r>
          </w:p>
        </w:tc>
        <w:tc>
          <w:tcPr>
            <w:tcW w:type="dxa" w:w="1950"/>
            <w:tcMar>
              <w:top w:w="20" w:type="dxa"/>
              <w:bottom w:w="20" w:type="dxa"/>
              <w:left w:w="40" w:type="dxa"/>
              <w:right w:w="40" w:type="dxa"/>
            </w:tcMar>
          </w:tcPr>
          <w:p>
            <w:r>
              <w:rPr>
                <w:sz w:val="15"/>
              </w:rPr>
              <w:t>Immediate engineering intervention; emergency load transfer; operational de-rating; capital replacement.</w:t>
            </w:r>
          </w:p>
        </w:tc>
        <w:tc>
          <w:tcPr>
            <w:tcW w:type="dxa" w:w="1950"/>
            <w:tcMar>
              <w:top w:w="20" w:type="dxa"/>
              <w:bottom w:w="20" w:type="dxa"/>
              <w:left w:w="40" w:type="dxa"/>
              <w:right w:w="40" w:type="dxa"/>
            </w:tcMar>
          </w:tcPr>
          <w:p>
            <w:r>
              <w:rPr>
                <w:sz w:val="15"/>
              </w:rPr>
              <w:t>Not Applicable</w:t>
            </w:r>
          </w:p>
        </w:tc>
      </w:tr>
    </w:tbl>
    <w:p>
      <w:pPr>
        <w:spacing w:before="0" w:after="80" w:line="276" w:lineRule="auto"/>
      </w:pPr>
      <w:r>
        <w:rPr>
          <w:rFonts w:ascii="Calibri" w:hAnsi="Calibri"/>
          <w:i w:val="0"/>
          <w:color w:val="1E293B"/>
          <w:sz w:val="19"/>
        </w:rPr>
        <w:t>Strategic Conclusion: Under CIGRE TB 761, 34101-TR-001 is categorized as Low Risk (Score = 4 / Green Zone). Although the transformer is strategically critical (CoF = 4), its excellent physical and dielectric condition (PoF = 1, HI = 85.0%) ensures that the probability of an unplanned outage is minimal. This confirms that the unit requires only standard routine maintenance without requiring urgent capital replacement or premature operational de-rating.</w:t>
      </w:r>
    </w:p>
    <w:p>
      <w:pPr>
        <w:jc w:val="center"/>
      </w:pPr>
      <w:r>
        <w:drawing>
          <wp:inline xmlns:a="http://schemas.openxmlformats.org/drawingml/2006/main" xmlns:pic="http://schemas.openxmlformats.org/drawingml/2006/picture">
            <wp:extent cx="4572000" cy="3522100"/>
            <wp:docPr id="17" name="Picture 17"/>
            <wp:cNvGraphicFramePr>
              <a:graphicFrameLocks noChangeAspect="1"/>
            </wp:cNvGraphicFramePr>
            <a:graphic>
              <a:graphicData uri="http://schemas.openxmlformats.org/drawingml/2006/picture">
                <pic:pic>
                  <pic:nvPicPr>
                    <pic:cNvPr id="0" name="fig_risk_matrix.png"/>
                    <pic:cNvPicPr/>
                  </pic:nvPicPr>
                  <pic:blipFill>
                    <a:blip r:embed="rId13"/>
                    <a:stretch>
                      <a:fillRect/>
                    </a:stretch>
                  </pic:blipFill>
                  <pic:spPr>
                    <a:xfrm>
                      <a:off x="0" y="0"/>
                      <a:ext cx="4572000" cy="3522100"/>
                    </a:xfrm>
                    <a:prstGeom prst="rect"/>
                  </pic:spPr>
                </pic:pic>
              </a:graphicData>
            </a:graphic>
          </wp:inline>
        </w:drawing>
      </w:r>
    </w:p>
    <w:p>
      <w:pPr>
        <w:jc w:val="center"/>
      </w:pPr>
      <w:r>
        <w:rPr>
          <w:i/>
          <w:sz w:val="17"/>
        </w:rPr>
        <w:t>Figure 9: Detailed CIGRE TB 761 5×5 Risk Matrix Mapping for 34101-TR-001</w:t>
      </w:r>
    </w:p>
    <w:p>
      <w:pPr>
        <w:keepNext/>
        <w:spacing w:before="200" w:after="60"/>
      </w:pPr>
      <w:r>
        <w:rPr>
          <w:rFonts w:ascii="Arial" w:hAnsi="Arial"/>
          <w:b/>
          <w:color w:val="2563EB"/>
          <w:sz w:val="22"/>
        </w:rPr>
        <w:t>6.5 Expected Remaining Lifetime Modeling (SINTEF &amp; Arrhenius)</w:t>
      </w:r>
    </w:p>
    <w:p>
      <w:pPr>
        <w:spacing w:before="0" w:after="80" w:line="276" w:lineRule="auto"/>
      </w:pPr>
      <w:r>
        <w:rPr>
          <w:rFonts w:ascii="Calibri" w:hAnsi="Calibri"/>
          <w:i w:val="0"/>
          <w:color w:val="1E293B"/>
          <w:sz w:val="19"/>
        </w:rPr>
        <w:t>Cellulose solid insulation degradation is modeled using the verified starting condition (DP = 1,089 from 2-FAL = 5 ppb and moisture = 0.50% wt via DIRANA). Modeling follows the second-order chain scission kinetic rate:</w:t>
        <w:br/>
        <w:t xml:space="preserve">    (1 / DP_end) - (1 / DP_start) = k * t</w:t>
        <w:br/>
        <w:t>Hot-spot temperature calculated per IEC 60076-7 is θh = 55.1°C (average operating winding temperature 40°C + 15.1°C hotspot gradient under ONAN cooling). Under conservative Arrhenius dry kinetics (k = 1.50 x 10^-5 year^-1), the time required for cellulose to reach the critical mechanical threshold (DP = 300) is 161 years (&gt; Year 2100). Even under worst-case degradation scenarios (moisture &gt; 2.0% wt, continuous oxygen ingress), remaining life exceeds 53 years.</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8" name="Picture 18"/>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7. Recommendations &amp; Monitoring Gaps Audit</w:t>
            </w:r>
          </w:p>
        </w:tc>
      </w:tr>
    </w:tbl>
    <w:p>
      <w:pPr>
        <w:spacing w:before="0" w:after="80"/>
      </w:pPr>
    </w:p>
    <w:p>
      <w:pPr>
        <w:spacing w:before="0" w:after="80" w:line="276" w:lineRule="auto"/>
      </w:pPr>
      <w:r>
        <w:rPr>
          <w:rFonts w:ascii="Calibri" w:hAnsi="Calibri"/>
          <w:i w:val="0"/>
          <w:color w:val="1E293B"/>
          <w:sz w:val="19"/>
        </w:rPr>
        <w:t>In accordance with rigorous academic and industrial engineering reporting standards, all diagnostic domains were audited to distinguish verified measured parameters from unperformed tests: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2437"/>
        <w:gridCol w:w="2437"/>
        <w:gridCol w:w="2437"/>
        <w:gridCol w:w="2437"/>
      </w:tblGrid>
      <w:tr>
        <w:tc>
          <w:tcPr>
            <w:tcW w:type="dxa" w:w="2437"/>
            <w:shd w:fill="1B365D"/>
          </w:tcPr>
          <w:p>
            <w:r>
              <w:rPr>
                <w:b/>
                <w:color w:val="FFFFFF"/>
                <w:sz w:val="16"/>
              </w:rPr>
              <w:t>Diagnostic Domain</w:t>
            </w:r>
          </w:p>
        </w:tc>
        <w:tc>
          <w:tcPr>
            <w:tcW w:type="dxa" w:w="2437"/>
            <w:shd w:fill="1B365D"/>
          </w:tcPr>
          <w:p>
            <w:r>
              <w:rPr>
                <w:b/>
                <w:color w:val="FFFFFF"/>
                <w:sz w:val="16"/>
              </w:rPr>
              <w:t>Measured Database Status</w:t>
            </w:r>
          </w:p>
        </w:tc>
        <w:tc>
          <w:tcPr>
            <w:tcW w:type="dxa" w:w="2437"/>
            <w:shd w:fill="1B365D"/>
          </w:tcPr>
          <w:p>
            <w:r>
              <w:rPr>
                <w:b/>
                <w:color w:val="FFFFFF"/>
                <w:sz w:val="16"/>
              </w:rPr>
              <w:t>Current Assessment Basis</w:t>
            </w:r>
          </w:p>
        </w:tc>
        <w:tc>
          <w:tcPr>
            <w:tcW w:type="dxa" w:w="2437"/>
            <w:shd w:fill="1B365D"/>
          </w:tcPr>
          <w:p>
            <w:r>
              <w:rPr>
                <w:b/>
                <w:color w:val="FFFFFF"/>
                <w:sz w:val="16"/>
              </w:rPr>
              <w:t>Future Engineering Plan</w:t>
            </w:r>
          </w:p>
        </w:tc>
      </w:tr>
      <w:tr>
        <w:tc>
          <w:tcPr>
            <w:tcW w:type="dxa" w:w="2437"/>
            <w:tcMar>
              <w:top w:w="20" w:type="dxa"/>
              <w:bottom w:w="20" w:type="dxa"/>
              <w:left w:w="40" w:type="dxa"/>
              <w:right w:w="40" w:type="dxa"/>
            </w:tcMar>
          </w:tcPr>
          <w:p>
            <w:r>
              <w:rPr>
                <w:sz w:val="16"/>
              </w:rPr>
              <w:t>Direct Paper Tensile DP</w:t>
            </w:r>
          </w:p>
        </w:tc>
        <w:tc>
          <w:tcPr>
            <w:tcW w:type="dxa" w:w="2437"/>
            <w:shd w:fill="FEF9C3"/>
            <w:tcMar>
              <w:top w:w="20" w:type="dxa"/>
              <w:bottom w:w="20" w:type="dxa"/>
              <w:left w:w="40" w:type="dxa"/>
              <w:right w:w="40" w:type="dxa"/>
            </w:tcMar>
          </w:tcPr>
          <w:p>
            <w:r>
              <w:rPr>
                <w:sz w:val="16"/>
              </w:rPr>
              <w:t>UNMEASURED (In-service)</w:t>
            </w:r>
          </w:p>
        </w:tc>
        <w:tc>
          <w:tcPr>
            <w:tcW w:type="dxa" w:w="2437"/>
            <w:tcMar>
              <w:top w:w="20" w:type="dxa"/>
              <w:bottom w:w="20" w:type="dxa"/>
              <w:left w:w="40" w:type="dxa"/>
              <w:right w:w="40" w:type="dxa"/>
            </w:tcMar>
          </w:tcPr>
          <w:p>
            <w:r>
              <w:rPr>
                <w:sz w:val="16"/>
              </w:rPr>
              <w:t>Estimated from 2-FAL (5 ppb -&gt; DP=1089) &amp; DFR (0.5%)</w:t>
            </w:r>
          </w:p>
        </w:tc>
        <w:tc>
          <w:tcPr>
            <w:tcW w:type="dxa" w:w="2437"/>
            <w:tcMar>
              <w:top w:w="20" w:type="dxa"/>
              <w:bottom w:w="20" w:type="dxa"/>
              <w:left w:w="40" w:type="dxa"/>
              <w:right w:w="40" w:type="dxa"/>
            </w:tcMar>
          </w:tcPr>
          <w:p>
            <w:r>
              <w:rPr>
                <w:sz w:val="16"/>
              </w:rPr>
              <w:t>Perform direct sampling only if unit is untanked</w:t>
            </w:r>
          </w:p>
        </w:tc>
      </w:tr>
      <w:tr>
        <w:tc>
          <w:tcPr>
            <w:tcW w:type="dxa" w:w="2437"/>
            <w:tcMar>
              <w:top w:w="20" w:type="dxa"/>
              <w:bottom w:w="20" w:type="dxa"/>
              <w:left w:w="40" w:type="dxa"/>
              <w:right w:w="40" w:type="dxa"/>
            </w:tcMar>
          </w:tcPr>
          <w:p>
            <w:r>
              <w:rPr>
                <w:sz w:val="16"/>
              </w:rPr>
              <w:t>OLTC Dynamic Resistance (DRM)</w:t>
            </w:r>
          </w:p>
        </w:tc>
        <w:tc>
          <w:tcPr>
            <w:tcW w:type="dxa" w:w="2437"/>
            <w:shd w:fill="FEF9C3"/>
            <w:tcMar>
              <w:top w:w="20" w:type="dxa"/>
              <w:bottom w:w="20" w:type="dxa"/>
              <w:left w:w="40" w:type="dxa"/>
              <w:right w:w="40" w:type="dxa"/>
            </w:tcMar>
          </w:tcPr>
          <w:p>
            <w:r>
              <w:rPr>
                <w:sz w:val="16"/>
              </w:rPr>
              <w:t>UNMEASURED (Routine PM)</w:t>
            </w:r>
          </w:p>
        </w:tc>
        <w:tc>
          <w:tcPr>
            <w:tcW w:type="dxa" w:w="2437"/>
            <w:tcMar>
              <w:top w:w="20" w:type="dxa"/>
              <w:bottom w:w="20" w:type="dxa"/>
              <w:left w:w="40" w:type="dxa"/>
              <w:right w:w="40" w:type="dxa"/>
            </w:tcMar>
          </w:tcPr>
          <w:p>
            <w:r>
              <w:rPr>
                <w:sz w:val="16"/>
              </w:rPr>
              <w:t>Evaluated via static winding resistance &amp; oil tests</w:t>
            </w:r>
          </w:p>
        </w:tc>
        <w:tc>
          <w:tcPr>
            <w:tcW w:type="dxa" w:w="2437"/>
            <w:tcMar>
              <w:top w:w="20" w:type="dxa"/>
              <w:bottom w:w="20" w:type="dxa"/>
              <w:left w:w="40" w:type="dxa"/>
              <w:right w:w="40" w:type="dxa"/>
            </w:tcMar>
          </w:tcPr>
          <w:p>
            <w:r>
              <w:rPr>
                <w:sz w:val="16"/>
              </w:rPr>
              <w:t>Execute DRM scan during 2029 major overhaul cycle</w:t>
            </w:r>
          </w:p>
        </w:tc>
      </w:tr>
      <w:tr>
        <w:tc>
          <w:tcPr>
            <w:tcW w:type="dxa" w:w="2437"/>
            <w:tcMar>
              <w:top w:w="20" w:type="dxa"/>
              <w:bottom w:w="20" w:type="dxa"/>
              <w:left w:w="40" w:type="dxa"/>
              <w:right w:w="40" w:type="dxa"/>
            </w:tcMar>
          </w:tcPr>
          <w:p>
            <w:r>
              <w:rPr>
                <w:sz w:val="16"/>
              </w:rPr>
              <w:t>Frequency Response Analysis (FRA)</w:t>
            </w:r>
          </w:p>
        </w:tc>
        <w:tc>
          <w:tcPr>
            <w:tcW w:type="dxa" w:w="2437"/>
            <w:shd w:fill="FEF9C3"/>
            <w:tcMar>
              <w:top w:w="20" w:type="dxa"/>
              <w:bottom w:w="20" w:type="dxa"/>
              <w:left w:w="40" w:type="dxa"/>
              <w:right w:w="40" w:type="dxa"/>
            </w:tcMar>
          </w:tcPr>
          <w:p>
            <w:r>
              <w:rPr>
                <w:sz w:val="16"/>
              </w:rPr>
              <w:t>UNMEASURED (No trace)</w:t>
            </w:r>
          </w:p>
        </w:tc>
        <w:tc>
          <w:tcPr>
            <w:tcW w:type="dxa" w:w="2437"/>
            <w:tcMar>
              <w:top w:w="20" w:type="dxa"/>
              <w:bottom w:w="20" w:type="dxa"/>
              <w:left w:w="40" w:type="dxa"/>
              <w:right w:w="40" w:type="dxa"/>
            </w:tcMar>
          </w:tcPr>
          <w:p>
            <w:r>
              <w:rPr>
                <w:sz w:val="16"/>
              </w:rPr>
              <w:t>Evaluated via short-circuit impedance (%Z dev: -0.076%)</w:t>
            </w:r>
          </w:p>
        </w:tc>
        <w:tc>
          <w:tcPr>
            <w:tcW w:type="dxa" w:w="2437"/>
            <w:tcMar>
              <w:top w:w="20" w:type="dxa"/>
              <w:bottom w:w="20" w:type="dxa"/>
              <w:left w:w="40" w:type="dxa"/>
              <w:right w:w="40" w:type="dxa"/>
            </w:tcMar>
          </w:tcPr>
          <w:p>
            <w:r>
              <w:rPr>
                <w:sz w:val="16"/>
              </w:rPr>
              <w:t>Conduct baseline SFRA during next 2029 planned outage</w:t>
            </w:r>
          </w:p>
        </w:tc>
      </w:tr>
      <w:tr>
        <w:tc>
          <w:tcPr>
            <w:tcW w:type="dxa" w:w="2437"/>
            <w:tcMar>
              <w:top w:w="20" w:type="dxa"/>
              <w:bottom w:w="20" w:type="dxa"/>
              <w:left w:w="40" w:type="dxa"/>
              <w:right w:w="40" w:type="dxa"/>
            </w:tcMar>
          </w:tcPr>
          <w:p>
            <w:r>
              <w:rPr>
                <w:sz w:val="16"/>
              </w:rPr>
              <w:t>Bushing Swept Frequency (15-400Hz)</w:t>
            </w:r>
          </w:p>
        </w:tc>
        <w:tc>
          <w:tcPr>
            <w:tcW w:type="dxa" w:w="2437"/>
            <w:shd w:fill="FEF9C3"/>
            <w:tcMar>
              <w:top w:w="20" w:type="dxa"/>
              <w:bottom w:w="20" w:type="dxa"/>
              <w:left w:w="40" w:type="dxa"/>
              <w:right w:w="40" w:type="dxa"/>
            </w:tcMar>
          </w:tcPr>
          <w:p>
            <w:r>
              <w:rPr>
                <w:sz w:val="16"/>
              </w:rPr>
              <w:t>UNMEASURED (50 Hz only)</w:t>
            </w:r>
          </w:p>
        </w:tc>
        <w:tc>
          <w:tcPr>
            <w:tcW w:type="dxa" w:w="2437"/>
            <w:tcMar>
              <w:top w:w="20" w:type="dxa"/>
              <w:bottom w:w="20" w:type="dxa"/>
              <w:left w:w="40" w:type="dxa"/>
              <w:right w:w="40" w:type="dxa"/>
            </w:tcMar>
          </w:tcPr>
          <w:p>
            <w:r>
              <w:rPr>
                <w:sz w:val="16"/>
              </w:rPr>
              <w:t>Evaluated via 10 kV UST testing (C1 and PF at 50 Hz)</w:t>
            </w:r>
          </w:p>
        </w:tc>
        <w:tc>
          <w:tcPr>
            <w:tcW w:type="dxa" w:w="2437"/>
            <w:tcMar>
              <w:top w:w="20" w:type="dxa"/>
              <w:bottom w:w="20" w:type="dxa"/>
              <w:left w:w="40" w:type="dxa"/>
              <w:right w:w="40" w:type="dxa"/>
            </w:tcMar>
          </w:tcPr>
          <w:p>
            <w:r>
              <w:rPr>
                <w:sz w:val="16"/>
              </w:rPr>
              <w:t>Include frequency sweep in next 2029 bushing PM</w:t>
            </w:r>
          </w:p>
        </w:tc>
      </w:tr>
      <w:tr>
        <w:tc>
          <w:tcPr>
            <w:tcW w:type="dxa" w:w="2437"/>
            <w:tcMar>
              <w:top w:w="20" w:type="dxa"/>
              <w:bottom w:w="20" w:type="dxa"/>
              <w:left w:w="40" w:type="dxa"/>
              <w:right w:w="40" w:type="dxa"/>
            </w:tcMar>
          </w:tcPr>
          <w:p>
            <w:r>
              <w:rPr>
                <w:sz w:val="16"/>
              </w:rPr>
              <w:t>Online Partial Discharge (PD)</w:t>
            </w:r>
          </w:p>
        </w:tc>
        <w:tc>
          <w:tcPr>
            <w:tcW w:type="dxa" w:w="2437"/>
            <w:shd w:fill="FEF9C3"/>
            <w:tcMar>
              <w:top w:w="20" w:type="dxa"/>
              <w:bottom w:w="20" w:type="dxa"/>
              <w:left w:w="40" w:type="dxa"/>
              <w:right w:w="40" w:type="dxa"/>
            </w:tcMar>
          </w:tcPr>
          <w:p>
            <w:r>
              <w:rPr>
                <w:sz w:val="16"/>
              </w:rPr>
              <w:t>UNMEASURED (No online sensor)</w:t>
            </w:r>
          </w:p>
        </w:tc>
        <w:tc>
          <w:tcPr>
            <w:tcW w:type="dxa" w:w="2437"/>
            <w:tcMar>
              <w:top w:w="20" w:type="dxa"/>
              <w:bottom w:w="20" w:type="dxa"/>
              <w:left w:w="40" w:type="dxa"/>
              <w:right w:w="40" w:type="dxa"/>
            </w:tcMar>
          </w:tcPr>
          <w:p>
            <w:r>
              <w:rPr>
                <w:sz w:val="16"/>
              </w:rPr>
              <w:t>Evaluated via DGA fault gases (C2H2 = 0.0 ppm, H2 = 10 ppm)</w:t>
            </w:r>
          </w:p>
        </w:tc>
        <w:tc>
          <w:tcPr>
            <w:tcW w:type="dxa" w:w="2437"/>
            <w:tcMar>
              <w:top w:w="20" w:type="dxa"/>
              <w:bottom w:w="20" w:type="dxa"/>
              <w:left w:w="40" w:type="dxa"/>
              <w:right w:w="40" w:type="dxa"/>
            </w:tcMar>
          </w:tcPr>
          <w:p>
            <w:r>
              <w:rPr>
                <w:sz w:val="16"/>
              </w:rPr>
              <w:t>Perform acoustic/HFCT survey if CO exceeds 1,400 ppm</w:t>
            </w:r>
          </w:p>
        </w:tc>
      </w:tr>
    </w:tbl>
    <w:p>
      <w:pPr>
        <w:keepNext/>
        <w:spacing w:before="200" w:after="60"/>
      </w:pPr>
      <w:r>
        <w:rPr>
          <w:rFonts w:ascii="Arial" w:hAnsi="Arial"/>
          <w:b/>
          <w:color w:val="2563EB"/>
          <w:sz w:val="22"/>
        </w:rPr>
        <w:t>7.1 Technical Asset Action Plan</w:t>
      </w:r>
    </w:p>
    <w:p>
      <w:pPr>
        <w:spacing w:before="0" w:after="80" w:line="276" w:lineRule="auto"/>
      </w:pPr>
      <w:r>
        <w:rPr>
          <w:rFonts w:ascii="Calibri" w:hAnsi="Calibri"/>
          <w:i w:val="0"/>
          <w:color w:val="1E293B"/>
          <w:sz w:val="19"/>
        </w:rPr>
        <w:t>1. Routine Maintenance Scheduling: Maintain the 3-year preventive maintenance interval. Next comprehensive outage test: Q2 / 2029.</w:t>
        <w:br/>
        <w:t>2. Main Tank DGA Surveillance: Continue annual sampling. Establish an engineering alert threshold at CO &gt; 1,400 ppm.</w:t>
        <w:br/>
        <w:t>3. Bushing &amp; Terminal Thermography: Conduct semi-annual infrared thermography during peak operational loading.</w:t>
        <w:br/>
        <w:t>4. OLTC Maintenance: Log cumulative operations towards the 150,000 operation boundary. Plan internal contact inspection for 2029.</w:t>
      </w: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8. Standards and References</w:t>
            </w:r>
          </w:p>
        </w:tc>
      </w:tr>
    </w:tbl>
    <w:p>
      <w:pPr>
        <w:spacing w:before="0" w:after="80"/>
      </w:pPr>
    </w:p>
    <w:p>
      <w:pPr>
        <w:spacing w:after="40"/>
      </w:pPr>
      <w:r>
        <w:rPr>
          <w:rFonts w:ascii="Calibri" w:hAnsi="Calibri"/>
          <w:color w:val="334155"/>
          <w:sz w:val="17"/>
        </w:rPr>
        <w:t>[1] IEEE Std C57.152-2013, 'Guide for Diagnostic Field Testing of Fluid-Filled Power Transformers, Regulators, and Reactors.'</w:t>
      </w:r>
    </w:p>
    <w:p>
      <w:pPr>
        <w:spacing w:after="40"/>
      </w:pPr>
      <w:r>
        <w:rPr>
          <w:rFonts w:ascii="Calibri" w:hAnsi="Calibri"/>
          <w:color w:val="334155"/>
          <w:sz w:val="17"/>
        </w:rPr>
        <w:t>[2] IEEE Std C57.104-2019, 'Guide for the Interpretation of Gases Generated in Mineral Oil-Immersed Transformers.'</w:t>
      </w:r>
    </w:p>
    <w:p>
      <w:pPr>
        <w:spacing w:after="40"/>
      </w:pPr>
      <w:r>
        <w:rPr>
          <w:rFonts w:ascii="Calibri" w:hAnsi="Calibri"/>
          <w:color w:val="334155"/>
          <w:sz w:val="17"/>
        </w:rPr>
        <w:t>[3] IEEE Std C57.106-2015, 'Guide for Acceptance and Maintenance of Insulating Mineral Oil in Electrical Equipment.'</w:t>
      </w:r>
    </w:p>
    <w:p>
      <w:pPr>
        <w:spacing w:after="40"/>
      </w:pPr>
      <w:r>
        <w:rPr>
          <w:rFonts w:ascii="Calibri" w:hAnsi="Calibri"/>
          <w:color w:val="334155"/>
          <w:sz w:val="17"/>
        </w:rPr>
        <w:t>[4] CIGRE Technical Brochure 761, 'Condition Assessment of Power Transformers,' 2019.</w:t>
      </w:r>
    </w:p>
    <w:p>
      <w:pPr>
        <w:spacing w:after="40"/>
      </w:pPr>
      <w:r>
        <w:rPr>
          <w:rFonts w:ascii="Calibri" w:hAnsi="Calibri"/>
          <w:color w:val="334155"/>
          <w:sz w:val="17"/>
        </w:rPr>
        <w:t>[5] CIGRE Technical Brochure 323, 'Ageing of Cellulose in Mineral-Oil Insulated Transformers,' 2007.</w:t>
      </w:r>
    </w:p>
    <w:p>
      <w:pPr>
        <w:spacing w:after="40"/>
      </w:pPr>
      <w:r>
        <w:rPr>
          <w:rFonts w:ascii="Calibri" w:hAnsi="Calibri"/>
          <w:color w:val="334155"/>
          <w:sz w:val="17"/>
        </w:rPr>
        <w:t>[6] CIGRE Technical Brochure 494, 'Furanic Compounds for Diagnosis,' 2012.</w:t>
      </w:r>
    </w:p>
    <w:p>
      <w:pPr>
        <w:spacing w:after="40"/>
      </w:pPr>
      <w:r>
        <w:rPr>
          <w:rFonts w:ascii="Calibri" w:hAnsi="Calibri"/>
          <w:color w:val="334155"/>
          <w:sz w:val="17"/>
        </w:rPr>
        <w:t>[7] CIGRE Technical Brochure 445, 'Guide for Transformer Maintenance,' 2011.</w:t>
      </w:r>
    </w:p>
    <w:p>
      <w:pPr>
        <w:spacing w:after="40"/>
      </w:pPr>
      <w:r>
        <w:rPr>
          <w:rFonts w:ascii="Calibri" w:hAnsi="Calibri"/>
          <w:color w:val="334155"/>
          <w:sz w:val="17"/>
        </w:rPr>
        <w:t>[8] IEC 60076-7:2018, 'Power Transformers - Part 7: Loading Guide for Mineral-Oil-Immersed Power Transformers.'</w:t>
      </w:r>
    </w:p>
    <w:p>
      <w:pPr>
        <w:spacing w:after="40"/>
      </w:pPr>
      <w:r>
        <w:rPr>
          <w:rFonts w:ascii="Calibri" w:hAnsi="Calibri"/>
          <w:color w:val="334155"/>
          <w:sz w:val="17"/>
        </w:rPr>
        <w:t>[9] IEC 60422:2013, 'Mineral Insulating Oils in Electrical Equipment - Supervision and Maintenance Guidance.'</w:t>
      </w:r>
    </w:p>
    <w:p>
      <w:pPr>
        <w:spacing w:after="40"/>
      </w:pPr>
      <w:r>
        <w:rPr>
          <w:rFonts w:ascii="Calibri" w:hAnsi="Calibri"/>
          <w:color w:val="334155"/>
          <w:sz w:val="17"/>
        </w:rPr>
        <w:t>[10] IEC Publication 60599:2022, 'Mineral Oil-Impregnated Electrical Equipment in Service - Interpretation of DGA.'</w:t>
      </w:r>
    </w:p>
    <w:p>
      <w:pPr>
        <w:spacing w:after="40"/>
      </w:pPr>
      <w:r>
        <w:rPr>
          <w:rFonts w:ascii="Calibri" w:hAnsi="Calibri"/>
          <w:color w:val="334155"/>
          <w:sz w:val="17"/>
        </w:rPr>
        <w:t>[11] L. E. Lundgaard, K. B. Liland, et al., 'Transformer Windings Ageing, Diagnosis and Asset Management,' SINTEF Energy Research, 2015.</w:t>
      </w:r>
    </w:p>
    <w:p>
      <w:pPr>
        <w:spacing w:after="40"/>
      </w:pPr>
      <w:r>
        <w:rPr>
          <w:rFonts w:ascii="Calibri" w:hAnsi="Calibri"/>
          <w:color w:val="334155"/>
          <w:sz w:val="17"/>
        </w:rPr>
        <w:t>[12] A. Jahromi, R. Piercy, S. Cress, J. Service and W. Fan, 'An Approach to Power Transformer Asset Management Using Health Index,' IEEE Electrical Insulation Magazine, 2009.</w:t>
      </w:r>
    </w:p>
    <w:p>
      <w:r>
        <w:br w:type="page"/>
      </w:r>
    </w:p>
    <w:tbl>
      <w:tblPr>
        <w:tblW w:type="auto" w:w="0"/>
        <w:jc w:val="center"/>
        <w:tblLook w:firstColumn="1" w:firstRow="1" w:lastColumn="0" w:lastRow="0" w:noHBand="0" w:noVBand="1" w:val="04A0"/>
        <w:tblBorders>
          <w:top w:val="single" w:sz="6" w:space="0" w:color="1E293B"/>
          <w:bottom w:val="single" w:sz="6" w:space="0" w:color="1E293B"/>
          <w:insideH w:val="single" w:sz="6" w:space="0" w:color="1E293B"/>
          <w:insideV w:val="single" w:sz="6" w:space="0" w:color="1E293B"/>
          <w:left w:val="single" w:sz="6" w:space="0" w:color="1E293B"/>
          <w:right w:val="single" w:sz="6" w:space="0" w:color="1E293B"/>
        </w:tblBorders>
      </w:tblPr>
      <w:tblGrid>
        <w:gridCol w:w="3250"/>
        <w:gridCol w:w="3250"/>
        <w:gridCol w:w="3250"/>
      </w:tblGrid>
      <w:tr>
        <w:tc>
          <w:tcPr>
            <w:tcW w:type="dxa" w:w="2592"/>
            <w:tcMar>
              <w:top w:w="40" w:type="dxa"/>
              <w:bottom w:w="40" w:type="dxa"/>
              <w:left w:w="60" w:type="dxa"/>
              <w:right w:w="60" w:type="dxa"/>
            </w:tcMar>
          </w:tcPr>
          <w:p>
            <w:pPr>
              <w:jc w:val="center"/>
            </w:pPr>
            <w:r>
              <w:drawing>
                <wp:inline xmlns:a="http://schemas.openxmlformats.org/drawingml/2006/main" xmlns:pic="http://schemas.openxmlformats.org/drawingml/2006/picture">
                  <wp:extent cx="1280160" cy="520945"/>
                  <wp:docPr id="19" name="Picture 19"/>
                  <wp:cNvGraphicFramePr>
                    <a:graphicFrameLocks noChangeAspect="1"/>
                  </wp:cNvGraphicFramePr>
                  <a:graphic>
                    <a:graphicData uri="http://schemas.openxmlformats.org/drawingml/2006/picture">
                      <pic:pic>
                        <pic:nvPicPr>
                          <pic:cNvPr id="0" name="GPSC_logo_ART.png"/>
                          <pic:cNvPicPr/>
                        </pic:nvPicPr>
                        <pic:blipFill>
                          <a:blip r:embed="rId9"/>
                          <a:stretch>
                            <a:fillRect/>
                          </a:stretch>
                        </pic:blipFill>
                        <pic:spPr>
                          <a:xfrm>
                            <a:off x="0" y="0"/>
                            <a:ext cx="1280160" cy="520945"/>
                          </a:xfrm>
                          <a:prstGeom prst="rect"/>
                        </pic:spPr>
                      </pic:pic>
                    </a:graphicData>
                  </a:graphic>
                </wp:inline>
              </w:drawing>
            </w:r>
          </w:p>
        </w:tc>
        <w:tc>
          <w:tcPr>
            <w:tcW w:type="dxa" w:w="4176"/>
            <w:tcMar>
              <w:top w:w="40" w:type="dxa"/>
              <w:bottom w:w="40" w:type="dxa"/>
              <w:left w:w="60" w:type="dxa"/>
              <w:right w:w="60" w:type="dxa"/>
            </w:tcMar>
          </w:tcPr>
          <w:p>
            <w:pPr>
              <w:jc w:val="center"/>
            </w:pPr>
            <w:r>
              <w:rPr>
                <w:b/>
                <w:sz w:val="19"/>
              </w:rPr>
              <w:t>Transformer Life Assessment Report</w:t>
              <w:br/>
              <w:t>For</w:t>
              <w:br/>
            </w:r>
            <w:r>
              <w:rPr>
                <w:b/>
                <w:color w:val="2563EB"/>
                <w:sz w:val="22"/>
              </w:rPr>
              <w:t>CUP-3 34101-TR-001</w:t>
            </w:r>
          </w:p>
        </w:tc>
        <w:tc>
          <w:tcPr>
            <w:tcW w:type="dxa" w:w="3312"/>
            <w:tcMar>
              <w:top w:w="30" w:type="dxa"/>
              <w:bottom w:w="30" w:type="dxa"/>
              <w:left w:w="40" w:type="dxa"/>
              <w:right w:w="40" w:type="dxa"/>
            </w:tcMar>
          </w:tcPr>
          <w:p>
            <w:pPr>
              <w:spacing w:line="252" w:lineRule="auto"/>
            </w:pPr>
            <w:r>
              <w:rPr>
                <w:sz w:val="15"/>
              </w:rPr>
              <w:t>Departments: HV and Utility Management</w:t>
              <w:br/>
              <w:t>Division: HV Network Maintenance</w:t>
              <w:br/>
              <w:t>Document No.: CUP-3-EMM-TR-Assessment-2026-0001</w:t>
              <w:br/>
              <w:t>Date: September 2026</w:t>
            </w:r>
          </w:p>
        </w:tc>
      </w:tr>
    </w:tbl>
    <w:p>
      <w:pPr>
        <w:spacing w:before="0" w:after="120"/>
      </w:pPr>
    </w:p>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Appendix 1: Color Code Definitions for Equipment Conditions</w:t>
            </w:r>
          </w:p>
        </w:tc>
      </w:tr>
    </w:tbl>
    <w:p>
      <w:pPr>
        <w:spacing w:before="0" w:after="80"/>
      </w:pP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3250"/>
        <w:gridCol w:w="3250"/>
        <w:gridCol w:w="3250"/>
      </w:tblGrid>
      <w:tr>
        <w:tc>
          <w:tcPr>
            <w:tcW w:type="dxa" w:w="3250"/>
            <w:shd w:fill="1B365D"/>
          </w:tcPr>
          <w:p>
            <w:r>
              <w:rPr>
                <w:b/>
                <w:color w:val="FFFFFF"/>
                <w:sz w:val="17"/>
              </w:rPr>
              <w:t>Color Code</w:t>
            </w:r>
          </w:p>
        </w:tc>
        <w:tc>
          <w:tcPr>
            <w:tcW w:type="dxa" w:w="3250"/>
            <w:shd w:fill="1B365D"/>
          </w:tcPr>
          <w:p>
            <w:r>
              <w:rPr>
                <w:b/>
                <w:color w:val="FFFFFF"/>
                <w:sz w:val="17"/>
              </w:rPr>
              <w:t>Condition Classification</w:t>
            </w:r>
          </w:p>
        </w:tc>
        <w:tc>
          <w:tcPr>
            <w:tcW w:type="dxa" w:w="3250"/>
            <w:shd w:fill="1B365D"/>
          </w:tcPr>
          <w:p>
            <w:r>
              <w:rPr>
                <w:b/>
                <w:color w:val="FFFFFF"/>
                <w:sz w:val="17"/>
              </w:rPr>
              <w:t>Operational &amp; Engineering Action</w:t>
            </w:r>
          </w:p>
        </w:tc>
      </w:tr>
      <w:tr>
        <w:tc>
          <w:tcPr>
            <w:tcW w:type="dxa" w:w="3250"/>
            <w:shd w:fill="DCFCE7"/>
            <w:tcMar>
              <w:top w:w="25" w:type="dxa"/>
              <w:bottom w:w="25" w:type="dxa"/>
              <w:left w:w="45" w:type="dxa"/>
              <w:right w:w="45" w:type="dxa"/>
            </w:tcMar>
          </w:tcPr>
          <w:p>
            <w:r>
              <w:rPr>
                <w:sz w:val="17"/>
              </w:rPr>
              <w:t>Green (Level A)</w:t>
            </w:r>
          </w:p>
        </w:tc>
        <w:tc>
          <w:tcPr>
            <w:tcW w:type="dxa" w:w="3250"/>
            <w:tcMar>
              <w:top w:w="25" w:type="dxa"/>
              <w:bottom w:w="25" w:type="dxa"/>
              <w:left w:w="45" w:type="dxa"/>
              <w:right w:w="45" w:type="dxa"/>
            </w:tcMar>
          </w:tcPr>
          <w:p>
            <w:r>
              <w:rPr>
                <w:sz w:val="17"/>
              </w:rPr>
              <w:t>Healthy / Good</w:t>
            </w:r>
          </w:p>
        </w:tc>
        <w:tc>
          <w:tcPr>
            <w:tcW w:type="dxa" w:w="3250"/>
            <w:tcMar>
              <w:top w:w="25" w:type="dxa"/>
              <w:bottom w:w="25" w:type="dxa"/>
              <w:left w:w="45" w:type="dxa"/>
              <w:right w:w="45" w:type="dxa"/>
            </w:tcMar>
          </w:tcPr>
          <w:p>
            <w:r>
              <w:rPr>
                <w:sz w:val="17"/>
              </w:rPr>
              <w:t>Equipment in optimal condition. Continue standard routine maintenance.</w:t>
            </w:r>
          </w:p>
        </w:tc>
      </w:tr>
      <w:tr>
        <w:tc>
          <w:tcPr>
            <w:tcW w:type="dxa" w:w="3250"/>
            <w:shd w:fill="FEF9C3"/>
            <w:tcMar>
              <w:top w:w="25" w:type="dxa"/>
              <w:bottom w:w="25" w:type="dxa"/>
              <w:left w:w="45" w:type="dxa"/>
              <w:right w:w="45" w:type="dxa"/>
            </w:tcMar>
          </w:tcPr>
          <w:p>
            <w:r>
              <w:rPr>
                <w:sz w:val="17"/>
              </w:rPr>
              <w:t>Yellow (Level B)</w:t>
            </w:r>
          </w:p>
        </w:tc>
        <w:tc>
          <w:tcPr>
            <w:tcW w:type="dxa" w:w="3250"/>
            <w:tcMar>
              <w:top w:w="25" w:type="dxa"/>
              <w:bottom w:w="25" w:type="dxa"/>
              <w:left w:w="45" w:type="dxa"/>
              <w:right w:w="45" w:type="dxa"/>
            </w:tcMar>
          </w:tcPr>
          <w:p>
            <w:r>
              <w:rPr>
                <w:sz w:val="17"/>
              </w:rPr>
              <w:t>Deteriorated / Fair</w:t>
            </w:r>
          </w:p>
        </w:tc>
        <w:tc>
          <w:tcPr>
            <w:tcW w:type="dxa" w:w="3250"/>
            <w:tcMar>
              <w:top w:w="25" w:type="dxa"/>
              <w:bottom w:w="25" w:type="dxa"/>
              <w:left w:w="45" w:type="dxa"/>
              <w:right w:w="45" w:type="dxa"/>
            </w:tcMar>
          </w:tcPr>
          <w:p>
            <w:r>
              <w:rPr>
                <w:sz w:val="17"/>
              </w:rPr>
              <w:t>Minor deterioration evident. Continue in service with closer monitoring.</w:t>
            </w:r>
          </w:p>
        </w:tc>
      </w:tr>
      <w:tr>
        <w:tc>
          <w:tcPr>
            <w:tcW w:type="dxa" w:w="3250"/>
            <w:shd w:fill="FFEDD5"/>
            <w:tcMar>
              <w:top w:w="25" w:type="dxa"/>
              <w:bottom w:w="25" w:type="dxa"/>
              <w:left w:w="45" w:type="dxa"/>
              <w:right w:w="45" w:type="dxa"/>
            </w:tcMar>
          </w:tcPr>
          <w:p>
            <w:r>
              <w:rPr>
                <w:sz w:val="17"/>
              </w:rPr>
              <w:t>Orange (Level C)</w:t>
            </w:r>
          </w:p>
        </w:tc>
        <w:tc>
          <w:tcPr>
            <w:tcW w:type="dxa" w:w="3250"/>
            <w:tcMar>
              <w:top w:w="25" w:type="dxa"/>
              <w:bottom w:w="25" w:type="dxa"/>
              <w:left w:w="45" w:type="dxa"/>
              <w:right w:w="45" w:type="dxa"/>
            </w:tcMar>
          </w:tcPr>
          <w:p>
            <w:r>
              <w:rPr>
                <w:sz w:val="17"/>
              </w:rPr>
              <w:t>Abnormal / Questionable</w:t>
            </w:r>
          </w:p>
        </w:tc>
        <w:tc>
          <w:tcPr>
            <w:tcW w:type="dxa" w:w="3250"/>
            <w:tcMar>
              <w:top w:w="25" w:type="dxa"/>
              <w:bottom w:w="25" w:type="dxa"/>
              <w:left w:w="45" w:type="dxa"/>
              <w:right w:w="45" w:type="dxa"/>
            </w:tcMar>
          </w:tcPr>
          <w:p>
            <w:r>
              <w:rPr>
                <w:sz w:val="17"/>
              </w:rPr>
              <w:t>Significant degradation. Plan maintenance / minor repair within short term.</w:t>
            </w:r>
          </w:p>
        </w:tc>
      </w:tr>
      <w:tr>
        <w:tc>
          <w:tcPr>
            <w:tcW w:type="dxa" w:w="3250"/>
            <w:shd w:fill="FEE2E2"/>
            <w:tcMar>
              <w:top w:w="25" w:type="dxa"/>
              <w:bottom w:w="25" w:type="dxa"/>
              <w:left w:w="45" w:type="dxa"/>
              <w:right w:w="45" w:type="dxa"/>
            </w:tcMar>
          </w:tcPr>
          <w:p>
            <w:r>
              <w:rPr>
                <w:sz w:val="17"/>
              </w:rPr>
              <w:t>Red (Level D/E)</w:t>
            </w:r>
          </w:p>
        </w:tc>
        <w:tc>
          <w:tcPr>
            <w:tcW w:type="dxa" w:w="3250"/>
            <w:tcMar>
              <w:top w:w="25" w:type="dxa"/>
              <w:bottom w:w="25" w:type="dxa"/>
              <w:left w:w="45" w:type="dxa"/>
              <w:right w:w="45" w:type="dxa"/>
            </w:tcMar>
          </w:tcPr>
          <w:p>
            <w:r>
              <w:rPr>
                <w:sz w:val="17"/>
              </w:rPr>
              <w:t>Failed / Critical</w:t>
            </w:r>
          </w:p>
        </w:tc>
        <w:tc>
          <w:tcPr>
            <w:tcW w:type="dxa" w:w="3250"/>
            <w:tcMar>
              <w:top w:w="25" w:type="dxa"/>
              <w:bottom w:w="25" w:type="dxa"/>
              <w:left w:w="45" w:type="dxa"/>
              <w:right w:w="45" w:type="dxa"/>
            </w:tcMar>
          </w:tcPr>
          <w:p>
            <w:r>
              <w:rPr>
                <w:sz w:val="17"/>
              </w:rPr>
              <w:t>Extensive degradation or active fault. Immediate corrective action or removal from service.</w:t>
            </w:r>
          </w:p>
        </w:tc>
      </w:tr>
    </w:tbl>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Appendix 2: Diagnostic Test Reports (Official Form Format)</w:t>
            </w:r>
          </w:p>
        </w:tc>
      </w:tr>
    </w:tbl>
    <w:p>
      <w:pPr>
        <w:spacing w:before="0" w:after="80"/>
      </w:pPr>
    </w:p>
    <w:p>
      <w:pPr>
        <w:spacing w:before="0" w:after="80" w:line="276" w:lineRule="auto"/>
      </w:pPr>
      <w:r>
        <w:rPr>
          <w:rFonts w:ascii="Calibri" w:hAnsi="Calibri"/>
          <w:i w:val="0"/>
          <w:color w:val="1E293B"/>
          <w:sz w:val="19"/>
        </w:rPr>
        <w:t>This appendix reproduces the official test reports formatted according to GPSC corporate test sheet standards (EMM-TEST FORM series) populated with actual measured test data from 34101-TR-001:</w:t>
      </w:r>
    </w:p>
    <w:p>
      <w:pPr>
        <w:keepNext/>
        <w:spacing w:before="200" w:after="60"/>
      </w:pPr>
      <w:r>
        <w:rPr>
          <w:rFonts w:ascii="Arial" w:hAnsi="Arial"/>
          <w:b/>
          <w:color w:val="2563EB"/>
          <w:sz w:val="22"/>
        </w:rPr>
        <w:t>Report 1: Insulation Power Factor Report (Doc No. EMM-TEST FORM-0001)</w:t>
      </w:r>
    </w:p>
    <w:p>
      <w:pPr>
        <w:spacing w:before="0" w:after="80" w:line="276" w:lineRule="auto"/>
      </w:pPr>
      <w:r>
        <w:rPr>
          <w:rFonts w:ascii="Calibri" w:hAnsi="Calibri"/>
          <w:i w:val="0"/>
          <w:color w:val="1E293B"/>
          <w:sz w:val="19"/>
        </w:rPr>
        <w:t>Tested on 2026-05-26 with OMICRON TESTRANO 600 at 10 kV (Ambient 32°C, Oil 36°C, Winding 36°C):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93"/>
        <w:gridCol w:w="1393"/>
        <w:gridCol w:w="1393"/>
        <w:gridCol w:w="1393"/>
        <w:gridCol w:w="1393"/>
        <w:gridCol w:w="1393"/>
        <w:gridCol w:w="1393"/>
      </w:tblGrid>
      <w:tr>
        <w:tc>
          <w:tcPr>
            <w:tcW w:type="dxa" w:w="1393"/>
            <w:shd w:fill="1B365D"/>
          </w:tcPr>
          <w:p>
            <w:r>
              <w:rPr>
                <w:b/>
                <w:color w:val="FFFFFF"/>
                <w:sz w:val="15"/>
              </w:rPr>
              <w:t>Test Connection</w:t>
            </w:r>
          </w:p>
        </w:tc>
        <w:tc>
          <w:tcPr>
            <w:tcW w:type="dxa" w:w="1393"/>
            <w:shd w:fill="1B365D"/>
          </w:tcPr>
          <w:p>
            <w:r>
              <w:rPr>
                <w:b/>
                <w:color w:val="FFFFFF"/>
                <w:sz w:val="15"/>
              </w:rPr>
              <w:t>Mode</w:t>
            </w:r>
          </w:p>
        </w:tc>
        <w:tc>
          <w:tcPr>
            <w:tcW w:type="dxa" w:w="1393"/>
            <w:shd w:fill="1B365D"/>
          </w:tcPr>
          <w:p>
            <w:r>
              <w:rPr>
                <w:b/>
                <w:color w:val="FFFFFF"/>
                <w:sz w:val="15"/>
              </w:rPr>
              <w:t>Test Voltage</w:t>
            </w:r>
          </w:p>
        </w:tc>
        <w:tc>
          <w:tcPr>
            <w:tcW w:type="dxa" w:w="1393"/>
            <w:shd w:fill="1B365D"/>
          </w:tcPr>
          <w:p>
            <w:r>
              <w:rPr>
                <w:b/>
                <w:color w:val="FFFFFF"/>
                <w:sz w:val="15"/>
              </w:rPr>
              <w:t>Current (mA)</w:t>
            </w:r>
          </w:p>
        </w:tc>
        <w:tc>
          <w:tcPr>
            <w:tcW w:type="dxa" w:w="1393"/>
            <w:shd w:fill="1B365D"/>
          </w:tcPr>
          <w:p>
            <w:r>
              <w:rPr>
                <w:b/>
                <w:color w:val="FFFFFF"/>
                <w:sz w:val="15"/>
              </w:rPr>
              <w:t>Watt Loss (mW)</w:t>
            </w:r>
          </w:p>
        </w:tc>
        <w:tc>
          <w:tcPr>
            <w:tcW w:type="dxa" w:w="1393"/>
            <w:shd w:fill="1B365D"/>
          </w:tcPr>
          <w:p>
            <w:r>
              <w:rPr>
                <w:b/>
                <w:color w:val="FFFFFF"/>
                <w:sz w:val="15"/>
              </w:rPr>
              <w:t>Capacitance (pF)</w:t>
            </w:r>
          </w:p>
        </w:tc>
        <w:tc>
          <w:tcPr>
            <w:tcW w:type="dxa" w:w="1393"/>
            <w:shd w:fill="1B365D"/>
          </w:tcPr>
          <w:p>
            <w:r>
              <w:rPr>
                <w:b/>
                <w:color w:val="FFFFFF"/>
                <w:sz w:val="15"/>
              </w:rPr>
              <w:t>%PF at 20°C</w:t>
            </w:r>
          </w:p>
        </w:tc>
      </w:tr>
      <w:tr>
        <w:tc>
          <w:tcPr>
            <w:tcW w:type="dxa" w:w="1393"/>
            <w:tcMar>
              <w:top w:w="20" w:type="dxa"/>
              <w:bottom w:w="20" w:type="dxa"/>
              <w:left w:w="35" w:type="dxa"/>
              <w:right w:w="35" w:type="dxa"/>
            </w:tcMar>
          </w:tcPr>
          <w:p>
            <w:r>
              <w:rPr>
                <w:sz w:val="15"/>
              </w:rPr>
              <w:t>Primary CH + CHL</w:t>
            </w:r>
          </w:p>
        </w:tc>
        <w:tc>
          <w:tcPr>
            <w:tcW w:type="dxa" w:w="1393"/>
            <w:tcMar>
              <w:top w:w="20" w:type="dxa"/>
              <w:bottom w:w="20" w:type="dxa"/>
              <w:left w:w="35" w:type="dxa"/>
              <w:right w:w="35" w:type="dxa"/>
            </w:tcMar>
          </w:tcPr>
          <w:p>
            <w:r>
              <w:rPr>
                <w:sz w:val="15"/>
              </w:rPr>
              <w:t>GST</w:t>
            </w:r>
          </w:p>
        </w:tc>
        <w:tc>
          <w:tcPr>
            <w:tcW w:type="dxa" w:w="1393"/>
            <w:tcMar>
              <w:top w:w="20" w:type="dxa"/>
              <w:bottom w:w="20" w:type="dxa"/>
              <w:left w:w="35" w:type="dxa"/>
              <w:right w:w="35" w:type="dxa"/>
            </w:tcMar>
          </w:tcPr>
          <w:p>
            <w:r>
              <w:rPr>
                <w:sz w:val="15"/>
              </w:rPr>
              <w:t>10 kV</w:t>
            </w:r>
          </w:p>
        </w:tc>
        <w:tc>
          <w:tcPr>
            <w:tcW w:type="dxa" w:w="1393"/>
            <w:tcMar>
              <w:top w:w="20" w:type="dxa"/>
              <w:bottom w:w="20" w:type="dxa"/>
              <w:left w:w="35" w:type="dxa"/>
              <w:right w:w="35" w:type="dxa"/>
            </w:tcMar>
          </w:tcPr>
          <w:p>
            <w:r>
              <w:rPr>
                <w:sz w:val="15"/>
              </w:rPr>
              <w:t>28.09</w:t>
            </w:r>
          </w:p>
        </w:tc>
        <w:tc>
          <w:tcPr>
            <w:tcW w:type="dxa" w:w="1393"/>
            <w:tcMar>
              <w:top w:w="20" w:type="dxa"/>
              <w:bottom w:w="20" w:type="dxa"/>
              <w:left w:w="35" w:type="dxa"/>
              <w:right w:w="35" w:type="dxa"/>
            </w:tcMar>
          </w:tcPr>
          <w:p>
            <w:r>
              <w:rPr>
                <w:sz w:val="15"/>
              </w:rPr>
              <w:t>614.76</w:t>
            </w:r>
          </w:p>
        </w:tc>
        <w:tc>
          <w:tcPr>
            <w:tcW w:type="dxa" w:w="1393"/>
            <w:tcMar>
              <w:top w:w="20" w:type="dxa"/>
              <w:bottom w:w="20" w:type="dxa"/>
              <w:left w:w="35" w:type="dxa"/>
              <w:right w:w="35" w:type="dxa"/>
            </w:tcMar>
          </w:tcPr>
          <w:p>
            <w:r>
              <w:rPr>
                <w:sz w:val="15"/>
              </w:rPr>
              <w:t>8,938.9</w:t>
            </w:r>
          </w:p>
        </w:tc>
        <w:tc>
          <w:tcPr>
            <w:tcW w:type="dxa" w:w="1393"/>
            <w:shd w:fill="DCFCE7"/>
            <w:tcMar>
              <w:top w:w="20" w:type="dxa"/>
              <w:bottom w:w="20" w:type="dxa"/>
              <w:left w:w="35" w:type="dxa"/>
              <w:right w:w="35" w:type="dxa"/>
            </w:tcMar>
          </w:tcPr>
          <w:p>
            <w:r>
              <w:rPr>
                <w:sz w:val="15"/>
              </w:rPr>
              <w:t>0.153%</w:t>
            </w:r>
          </w:p>
        </w:tc>
      </w:tr>
      <w:tr>
        <w:tc>
          <w:tcPr>
            <w:tcW w:type="dxa" w:w="1393"/>
            <w:tcMar>
              <w:top w:w="20" w:type="dxa"/>
              <w:bottom w:w="20" w:type="dxa"/>
              <w:left w:w="35" w:type="dxa"/>
              <w:right w:w="35" w:type="dxa"/>
            </w:tcMar>
          </w:tcPr>
          <w:p>
            <w:r>
              <w:rPr>
                <w:sz w:val="15"/>
              </w:rPr>
              <w:t>Primary CHL (Inter-winding)</w:t>
            </w:r>
          </w:p>
        </w:tc>
        <w:tc>
          <w:tcPr>
            <w:tcW w:type="dxa" w:w="1393"/>
            <w:tcMar>
              <w:top w:w="20" w:type="dxa"/>
              <w:bottom w:w="20" w:type="dxa"/>
              <w:left w:w="35" w:type="dxa"/>
              <w:right w:w="35" w:type="dxa"/>
            </w:tcMar>
          </w:tcPr>
          <w:p>
            <w:r>
              <w:rPr>
                <w:sz w:val="15"/>
              </w:rPr>
              <w:t>UST</w:t>
            </w:r>
          </w:p>
        </w:tc>
        <w:tc>
          <w:tcPr>
            <w:tcW w:type="dxa" w:w="1393"/>
            <w:tcMar>
              <w:top w:w="20" w:type="dxa"/>
              <w:bottom w:w="20" w:type="dxa"/>
              <w:left w:w="35" w:type="dxa"/>
              <w:right w:w="35" w:type="dxa"/>
            </w:tcMar>
          </w:tcPr>
          <w:p>
            <w:r>
              <w:rPr>
                <w:sz w:val="15"/>
              </w:rPr>
              <w:t>10 kV</w:t>
            </w:r>
          </w:p>
        </w:tc>
        <w:tc>
          <w:tcPr>
            <w:tcW w:type="dxa" w:w="1393"/>
            <w:tcMar>
              <w:top w:w="20" w:type="dxa"/>
              <w:bottom w:w="20" w:type="dxa"/>
              <w:left w:w="35" w:type="dxa"/>
              <w:right w:w="35" w:type="dxa"/>
            </w:tcMar>
          </w:tcPr>
          <w:p>
            <w:r>
              <w:rPr>
                <w:sz w:val="15"/>
              </w:rPr>
              <w:t>17.37</w:t>
            </w:r>
          </w:p>
        </w:tc>
        <w:tc>
          <w:tcPr>
            <w:tcW w:type="dxa" w:w="1393"/>
            <w:tcMar>
              <w:top w:w="20" w:type="dxa"/>
              <w:bottom w:w="20" w:type="dxa"/>
              <w:left w:w="35" w:type="dxa"/>
              <w:right w:w="35" w:type="dxa"/>
            </w:tcMar>
          </w:tcPr>
          <w:p>
            <w:r>
              <w:rPr>
                <w:sz w:val="15"/>
              </w:rPr>
              <w:t>351.95</w:t>
            </w:r>
          </w:p>
        </w:tc>
        <w:tc>
          <w:tcPr>
            <w:tcW w:type="dxa" w:w="1393"/>
            <w:tcMar>
              <w:top w:w="20" w:type="dxa"/>
              <w:bottom w:w="20" w:type="dxa"/>
              <w:left w:w="35" w:type="dxa"/>
              <w:right w:w="35" w:type="dxa"/>
            </w:tcMar>
          </w:tcPr>
          <w:p>
            <w:r>
              <w:rPr>
                <w:sz w:val="15"/>
              </w:rPr>
              <w:t>5,529.6</w:t>
            </w:r>
          </w:p>
        </w:tc>
        <w:tc>
          <w:tcPr>
            <w:tcW w:type="dxa" w:w="1393"/>
            <w:shd w:fill="DCFCE7"/>
            <w:tcMar>
              <w:top w:w="20" w:type="dxa"/>
              <w:bottom w:w="20" w:type="dxa"/>
              <w:left w:w="35" w:type="dxa"/>
              <w:right w:w="35" w:type="dxa"/>
            </w:tcMar>
          </w:tcPr>
          <w:p>
            <w:r>
              <w:rPr>
                <w:sz w:val="15"/>
              </w:rPr>
              <w:t>0.141%</w:t>
            </w:r>
          </w:p>
        </w:tc>
      </w:tr>
      <w:tr>
        <w:tc>
          <w:tcPr>
            <w:tcW w:type="dxa" w:w="1393"/>
            <w:tcMar>
              <w:top w:w="20" w:type="dxa"/>
              <w:bottom w:w="20" w:type="dxa"/>
              <w:left w:w="35" w:type="dxa"/>
              <w:right w:w="35" w:type="dxa"/>
            </w:tcMar>
          </w:tcPr>
          <w:p>
            <w:r>
              <w:rPr>
                <w:sz w:val="15"/>
              </w:rPr>
              <w:t>Primary CH (Winding to ground)</w:t>
            </w:r>
          </w:p>
        </w:tc>
        <w:tc>
          <w:tcPr>
            <w:tcW w:type="dxa" w:w="1393"/>
            <w:tcMar>
              <w:top w:w="20" w:type="dxa"/>
              <w:bottom w:w="20" w:type="dxa"/>
              <w:left w:w="35" w:type="dxa"/>
              <w:right w:w="35" w:type="dxa"/>
            </w:tcMar>
          </w:tcPr>
          <w:p>
            <w:r>
              <w:rPr>
                <w:sz w:val="15"/>
              </w:rPr>
              <w:t>GSTg</w:t>
            </w:r>
          </w:p>
        </w:tc>
        <w:tc>
          <w:tcPr>
            <w:tcW w:type="dxa" w:w="1393"/>
            <w:tcMar>
              <w:top w:w="20" w:type="dxa"/>
              <w:bottom w:w="20" w:type="dxa"/>
              <w:left w:w="35" w:type="dxa"/>
              <w:right w:w="35" w:type="dxa"/>
            </w:tcMar>
          </w:tcPr>
          <w:p>
            <w:r>
              <w:rPr>
                <w:sz w:val="15"/>
              </w:rPr>
              <w:t>10 kV</w:t>
            </w:r>
          </w:p>
        </w:tc>
        <w:tc>
          <w:tcPr>
            <w:tcW w:type="dxa" w:w="1393"/>
            <w:tcMar>
              <w:top w:w="20" w:type="dxa"/>
              <w:bottom w:w="20" w:type="dxa"/>
              <w:left w:w="35" w:type="dxa"/>
              <w:right w:w="35" w:type="dxa"/>
            </w:tcMar>
          </w:tcPr>
          <w:p>
            <w:r>
              <w:rPr>
                <w:sz w:val="15"/>
              </w:rPr>
              <w:t>10.72</w:t>
            </w:r>
          </w:p>
        </w:tc>
        <w:tc>
          <w:tcPr>
            <w:tcW w:type="dxa" w:w="1393"/>
            <w:tcMar>
              <w:top w:w="20" w:type="dxa"/>
              <w:bottom w:w="20" w:type="dxa"/>
              <w:left w:w="35" w:type="dxa"/>
              <w:right w:w="35" w:type="dxa"/>
            </w:tcMar>
          </w:tcPr>
          <w:p>
            <w:r>
              <w:rPr>
                <w:sz w:val="15"/>
              </w:rPr>
              <w:t>260.43</w:t>
            </w:r>
          </w:p>
        </w:tc>
        <w:tc>
          <w:tcPr>
            <w:tcW w:type="dxa" w:w="1393"/>
            <w:tcMar>
              <w:top w:w="20" w:type="dxa"/>
              <w:bottom w:w="20" w:type="dxa"/>
              <w:left w:w="35" w:type="dxa"/>
              <w:right w:w="35" w:type="dxa"/>
            </w:tcMar>
          </w:tcPr>
          <w:p>
            <w:r>
              <w:rPr>
                <w:sz w:val="15"/>
              </w:rPr>
              <w:t>3,409.3</w:t>
            </w:r>
          </w:p>
        </w:tc>
        <w:tc>
          <w:tcPr>
            <w:tcW w:type="dxa" w:w="1393"/>
            <w:shd w:fill="DCFCE7"/>
            <w:tcMar>
              <w:top w:w="20" w:type="dxa"/>
              <w:bottom w:w="20" w:type="dxa"/>
              <w:left w:w="35" w:type="dxa"/>
              <w:right w:w="35" w:type="dxa"/>
            </w:tcMar>
          </w:tcPr>
          <w:p>
            <w:r>
              <w:rPr>
                <w:sz w:val="15"/>
              </w:rPr>
              <w:t>0.170%</w:t>
            </w:r>
          </w:p>
        </w:tc>
      </w:tr>
    </w:tbl>
    <w:p>
      <w:pPr>
        <w:keepNext/>
        <w:spacing w:before="200" w:after="60"/>
      </w:pPr>
      <w:r>
        <w:rPr>
          <w:rFonts w:ascii="Arial" w:hAnsi="Arial"/>
          <w:b/>
          <w:color w:val="2563EB"/>
          <w:sz w:val="22"/>
        </w:rPr>
        <w:t>Report 2: Insulation Resistance &amp; PI Report (Doc No. EMM-TEST FORM-0002)</w:t>
      </w:r>
    </w:p>
    <w:p>
      <w:pPr>
        <w:spacing w:before="0" w:after="80" w:line="276" w:lineRule="auto"/>
      </w:pPr>
      <w:r>
        <w:rPr>
          <w:rFonts w:ascii="Calibri" w:hAnsi="Calibri"/>
          <w:i w:val="0"/>
          <w:color w:val="1E293B"/>
          <w:sz w:val="19"/>
        </w:rPr>
        <w:t>Tested on 2026-05-31 with Megger S1-1068:</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950"/>
        <w:gridCol w:w="1950"/>
        <w:gridCol w:w="1950"/>
        <w:gridCol w:w="1950"/>
        <w:gridCol w:w="1950"/>
      </w:tblGrid>
      <w:tr>
        <w:tc>
          <w:tcPr>
            <w:tcW w:type="dxa" w:w="1950"/>
            <w:shd w:fill="1B365D"/>
          </w:tcPr>
          <w:p>
            <w:r>
              <w:rPr>
                <w:b/>
                <w:color w:val="FFFFFF"/>
                <w:sz w:val="15"/>
              </w:rPr>
              <w:t>Winding Under Test</w:t>
            </w:r>
          </w:p>
        </w:tc>
        <w:tc>
          <w:tcPr>
            <w:tcW w:type="dxa" w:w="1950"/>
            <w:shd w:fill="1B365D"/>
          </w:tcPr>
          <w:p>
            <w:r>
              <w:rPr>
                <w:b/>
                <w:color w:val="FFFFFF"/>
                <w:sz w:val="15"/>
              </w:rPr>
              <w:t>Test Voltage</w:t>
            </w:r>
          </w:p>
        </w:tc>
        <w:tc>
          <w:tcPr>
            <w:tcW w:type="dxa" w:w="1950"/>
            <w:shd w:fill="1B365D"/>
          </w:tcPr>
          <w:p>
            <w:r>
              <w:rPr>
                <w:b/>
                <w:color w:val="FFFFFF"/>
                <w:sz w:val="15"/>
              </w:rPr>
              <w:t>1-Minute (MΩ)</w:t>
            </w:r>
          </w:p>
        </w:tc>
        <w:tc>
          <w:tcPr>
            <w:tcW w:type="dxa" w:w="1950"/>
            <w:shd w:fill="1B365D"/>
          </w:tcPr>
          <w:p>
            <w:r>
              <w:rPr>
                <w:b/>
                <w:color w:val="FFFFFF"/>
                <w:sz w:val="15"/>
              </w:rPr>
              <w:t>10-Minute (MΩ)</w:t>
            </w:r>
          </w:p>
        </w:tc>
        <w:tc>
          <w:tcPr>
            <w:tcW w:type="dxa" w:w="1950"/>
            <w:shd w:fill="1B365D"/>
          </w:tcPr>
          <w:p>
            <w:r>
              <w:rPr>
                <w:b/>
                <w:color w:val="FFFFFF"/>
                <w:sz w:val="15"/>
              </w:rPr>
              <w:t>Polarization Index (PI)</w:t>
            </w:r>
          </w:p>
        </w:tc>
      </w:tr>
      <w:tr>
        <w:tc>
          <w:tcPr>
            <w:tcW w:type="dxa" w:w="1950"/>
            <w:tcMar>
              <w:top w:w="20" w:type="dxa"/>
              <w:bottom w:w="20" w:type="dxa"/>
              <w:left w:w="35" w:type="dxa"/>
              <w:right w:w="35" w:type="dxa"/>
            </w:tcMar>
          </w:tcPr>
          <w:p>
            <w:r>
              <w:rPr>
                <w:sz w:val="15"/>
              </w:rPr>
              <w:t>HV Winding to Ground [HV-(LV+GND)]</w:t>
            </w:r>
          </w:p>
        </w:tc>
        <w:tc>
          <w:tcPr>
            <w:tcW w:type="dxa" w:w="1950"/>
            <w:tcMar>
              <w:top w:w="20" w:type="dxa"/>
              <w:bottom w:w="20" w:type="dxa"/>
              <w:left w:w="35" w:type="dxa"/>
              <w:right w:w="35" w:type="dxa"/>
            </w:tcMar>
          </w:tcPr>
          <w:p>
            <w:r>
              <w:rPr>
                <w:sz w:val="15"/>
              </w:rPr>
              <w:t>5,000 Vdc</w:t>
            </w:r>
          </w:p>
        </w:tc>
        <w:tc>
          <w:tcPr>
            <w:tcW w:type="dxa" w:w="1950"/>
            <w:tcMar>
              <w:top w:w="20" w:type="dxa"/>
              <w:bottom w:w="20" w:type="dxa"/>
              <w:left w:w="35" w:type="dxa"/>
              <w:right w:w="35" w:type="dxa"/>
            </w:tcMar>
          </w:tcPr>
          <w:p>
            <w:r>
              <w:rPr>
                <w:sz w:val="15"/>
              </w:rPr>
              <w:t>16,570</w:t>
            </w:r>
          </w:p>
        </w:tc>
        <w:tc>
          <w:tcPr>
            <w:tcW w:type="dxa" w:w="1950"/>
            <w:tcMar>
              <w:top w:w="20" w:type="dxa"/>
              <w:bottom w:w="20" w:type="dxa"/>
              <w:left w:w="35" w:type="dxa"/>
              <w:right w:w="35" w:type="dxa"/>
            </w:tcMar>
          </w:tcPr>
          <w:p>
            <w:r>
              <w:rPr>
                <w:sz w:val="15"/>
              </w:rPr>
              <w:t>24,700</w:t>
            </w:r>
          </w:p>
        </w:tc>
        <w:tc>
          <w:tcPr>
            <w:tcW w:type="dxa" w:w="1950"/>
            <w:shd w:fill="DCFCE7"/>
            <w:tcMar>
              <w:top w:w="20" w:type="dxa"/>
              <w:bottom w:w="20" w:type="dxa"/>
              <w:left w:w="35" w:type="dxa"/>
              <w:right w:w="35" w:type="dxa"/>
            </w:tcMar>
          </w:tcPr>
          <w:p>
            <w:r>
              <w:rPr>
                <w:sz w:val="15"/>
              </w:rPr>
              <w:t>1.49 (Good)</w:t>
            </w:r>
          </w:p>
        </w:tc>
      </w:tr>
      <w:tr>
        <w:tc>
          <w:tcPr>
            <w:tcW w:type="dxa" w:w="1950"/>
            <w:tcMar>
              <w:top w:w="20" w:type="dxa"/>
              <w:bottom w:w="20" w:type="dxa"/>
              <w:left w:w="35" w:type="dxa"/>
              <w:right w:w="35" w:type="dxa"/>
            </w:tcMar>
          </w:tcPr>
          <w:p>
            <w:r>
              <w:rPr>
                <w:sz w:val="15"/>
              </w:rPr>
              <w:t>LV Winding to Ground [LV-(HV+GND)]</w:t>
            </w:r>
          </w:p>
        </w:tc>
        <w:tc>
          <w:tcPr>
            <w:tcW w:type="dxa" w:w="1950"/>
            <w:tcMar>
              <w:top w:w="20" w:type="dxa"/>
              <w:bottom w:w="20" w:type="dxa"/>
              <w:left w:w="35" w:type="dxa"/>
              <w:right w:w="35" w:type="dxa"/>
            </w:tcMar>
          </w:tcPr>
          <w:p>
            <w:r>
              <w:rPr>
                <w:sz w:val="15"/>
              </w:rPr>
              <w:t>2,500 Vdc</w:t>
            </w:r>
          </w:p>
        </w:tc>
        <w:tc>
          <w:tcPr>
            <w:tcW w:type="dxa" w:w="1950"/>
            <w:tcMar>
              <w:top w:w="20" w:type="dxa"/>
              <w:bottom w:w="20" w:type="dxa"/>
              <w:left w:w="35" w:type="dxa"/>
              <w:right w:w="35" w:type="dxa"/>
            </w:tcMar>
          </w:tcPr>
          <w:p>
            <w:r>
              <w:rPr>
                <w:sz w:val="15"/>
              </w:rPr>
              <w:t>10,160</w:t>
            </w:r>
          </w:p>
        </w:tc>
        <w:tc>
          <w:tcPr>
            <w:tcW w:type="dxa" w:w="1950"/>
            <w:tcMar>
              <w:top w:w="20" w:type="dxa"/>
              <w:bottom w:w="20" w:type="dxa"/>
              <w:left w:w="35" w:type="dxa"/>
              <w:right w:w="35" w:type="dxa"/>
            </w:tcMar>
          </w:tcPr>
          <w:p>
            <w:r>
              <w:rPr>
                <w:sz w:val="15"/>
              </w:rPr>
              <w:t>20,800</w:t>
            </w:r>
          </w:p>
        </w:tc>
        <w:tc>
          <w:tcPr>
            <w:tcW w:type="dxa" w:w="1950"/>
            <w:shd w:fill="DCFCE7"/>
            <w:tcMar>
              <w:top w:w="20" w:type="dxa"/>
              <w:bottom w:w="20" w:type="dxa"/>
              <w:left w:w="35" w:type="dxa"/>
              <w:right w:w="35" w:type="dxa"/>
            </w:tcMar>
          </w:tcPr>
          <w:p>
            <w:r>
              <w:rPr>
                <w:sz w:val="15"/>
              </w:rPr>
              <w:t>2.05 (Good)</w:t>
            </w:r>
          </w:p>
        </w:tc>
      </w:tr>
      <w:tr>
        <w:tc>
          <w:tcPr>
            <w:tcW w:type="dxa" w:w="1950"/>
            <w:tcMar>
              <w:top w:w="20" w:type="dxa"/>
              <w:bottom w:w="20" w:type="dxa"/>
              <w:left w:w="35" w:type="dxa"/>
              <w:right w:w="35" w:type="dxa"/>
            </w:tcMar>
          </w:tcPr>
          <w:p>
            <w:r>
              <w:rPr>
                <w:sz w:val="15"/>
              </w:rPr>
              <w:t>Core to Ground / Core to Frame</w:t>
            </w:r>
          </w:p>
        </w:tc>
        <w:tc>
          <w:tcPr>
            <w:tcW w:type="dxa" w:w="1950"/>
            <w:tcMar>
              <w:top w:w="20" w:type="dxa"/>
              <w:bottom w:w="20" w:type="dxa"/>
              <w:left w:w="35" w:type="dxa"/>
              <w:right w:w="35" w:type="dxa"/>
            </w:tcMar>
          </w:tcPr>
          <w:p>
            <w:r>
              <w:rPr>
                <w:sz w:val="15"/>
              </w:rPr>
              <w:t>1,000 Vdc</w:t>
            </w:r>
          </w:p>
        </w:tc>
        <w:tc>
          <w:tcPr>
            <w:tcW w:type="dxa" w:w="1950"/>
            <w:tcMar>
              <w:top w:w="20" w:type="dxa"/>
              <w:bottom w:w="20" w:type="dxa"/>
              <w:left w:w="35" w:type="dxa"/>
              <w:right w:w="35" w:type="dxa"/>
            </w:tcMar>
          </w:tcPr>
          <w:p>
            <w:r>
              <w:rPr>
                <w:sz w:val="15"/>
              </w:rPr>
              <w:t>&gt; 1,000</w:t>
            </w:r>
          </w:p>
        </w:tc>
        <w:tc>
          <w:tcPr>
            <w:tcW w:type="dxa" w:w="1950"/>
            <w:tcMar>
              <w:top w:w="20" w:type="dxa"/>
              <w:bottom w:w="20" w:type="dxa"/>
              <w:left w:w="35" w:type="dxa"/>
              <w:right w:w="35" w:type="dxa"/>
            </w:tcMar>
          </w:tcPr>
          <w:p>
            <w:r>
              <w:rPr>
                <w:sz w:val="15"/>
              </w:rPr>
              <w:t>&gt; 1,000</w:t>
            </w:r>
          </w:p>
        </w:tc>
        <w:tc>
          <w:tcPr>
            <w:tcW w:type="dxa" w:w="1950"/>
            <w:shd w:fill="DCFCE7"/>
            <w:tcMar>
              <w:top w:w="20" w:type="dxa"/>
              <w:bottom w:w="20" w:type="dxa"/>
              <w:left w:w="35" w:type="dxa"/>
              <w:right w:w="35" w:type="dxa"/>
            </w:tcMar>
          </w:tcPr>
          <w:p>
            <w:r>
              <w:rPr>
                <w:sz w:val="15"/>
              </w:rPr>
              <w:t>&gt; 1.0 (Normal)</w:t>
            </w:r>
          </w:p>
        </w:tc>
      </w:tr>
    </w:tbl>
    <w:p>
      <w:pPr>
        <w:keepNext/>
        <w:spacing w:before="200" w:after="60"/>
      </w:pPr>
      <w:r>
        <w:rPr>
          <w:rFonts w:ascii="Arial" w:hAnsi="Arial"/>
          <w:b/>
          <w:color w:val="2563EB"/>
          <w:sz w:val="22"/>
        </w:rPr>
        <w:t>Report 3: Bushing Power Factor Report (Doc No. EMM-TEST FORM-0007)</w:t>
      </w:r>
    </w:p>
    <w:p>
      <w:pPr>
        <w:spacing w:before="0" w:after="80" w:line="276" w:lineRule="auto"/>
      </w:pPr>
      <w:r>
        <w:rPr>
          <w:rFonts w:ascii="Calibri" w:hAnsi="Calibri"/>
          <w:i w:val="0"/>
          <w:color w:val="1E293B"/>
          <w:sz w:val="19"/>
        </w:rPr>
        <w:t>Tested on 2026-05-31 via 10 kV UST (Ambient 33°C, Oil 32°C):</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393"/>
        <w:gridCol w:w="1393"/>
        <w:gridCol w:w="1393"/>
        <w:gridCol w:w="1393"/>
        <w:gridCol w:w="1393"/>
        <w:gridCol w:w="1393"/>
        <w:gridCol w:w="1393"/>
      </w:tblGrid>
      <w:tr>
        <w:tc>
          <w:tcPr>
            <w:tcW w:type="dxa" w:w="1393"/>
            <w:shd w:fill="1B365D"/>
          </w:tcPr>
          <w:p>
            <w:r>
              <w:rPr>
                <w:b/>
                <w:color w:val="FFFFFF"/>
                <w:sz w:val="15"/>
              </w:rPr>
              <w:t>Bushing Phase</w:t>
            </w:r>
          </w:p>
        </w:tc>
        <w:tc>
          <w:tcPr>
            <w:tcW w:type="dxa" w:w="1393"/>
            <w:shd w:fill="1B365D"/>
          </w:tcPr>
          <w:p>
            <w:r>
              <w:rPr>
                <w:b/>
                <w:color w:val="FFFFFF"/>
                <w:sz w:val="15"/>
              </w:rPr>
              <w:t>Manufacturer &amp; Model</w:t>
            </w:r>
          </w:p>
        </w:tc>
        <w:tc>
          <w:tcPr>
            <w:tcW w:type="dxa" w:w="1393"/>
            <w:shd w:fill="1B365D"/>
          </w:tcPr>
          <w:p>
            <w:r>
              <w:rPr>
                <w:b/>
                <w:color w:val="FFFFFF"/>
                <w:sz w:val="15"/>
              </w:rPr>
              <w:t>Nameplate C1</w:t>
            </w:r>
          </w:p>
        </w:tc>
        <w:tc>
          <w:tcPr>
            <w:tcW w:type="dxa" w:w="1393"/>
            <w:shd w:fill="1B365D"/>
          </w:tcPr>
          <w:p>
            <w:r>
              <w:rPr>
                <w:b/>
                <w:color w:val="FFFFFF"/>
                <w:sz w:val="15"/>
              </w:rPr>
              <w:t>Measured C1</w:t>
            </w:r>
          </w:p>
        </w:tc>
        <w:tc>
          <w:tcPr>
            <w:tcW w:type="dxa" w:w="1393"/>
            <w:shd w:fill="1B365D"/>
          </w:tcPr>
          <w:p>
            <w:r>
              <w:rPr>
                <w:b/>
                <w:color w:val="FFFFFF"/>
                <w:sz w:val="15"/>
              </w:rPr>
              <w:t>Cap Error (%)</w:t>
            </w:r>
          </w:p>
        </w:tc>
        <w:tc>
          <w:tcPr>
            <w:tcW w:type="dxa" w:w="1393"/>
            <w:shd w:fill="1B365D"/>
          </w:tcPr>
          <w:p>
            <w:r>
              <w:rPr>
                <w:b/>
                <w:color w:val="FFFFFF"/>
                <w:sz w:val="15"/>
              </w:rPr>
              <w:t>%PF at 20°C</w:t>
            </w:r>
          </w:p>
        </w:tc>
        <w:tc>
          <w:tcPr>
            <w:tcW w:type="dxa" w:w="1393"/>
            <w:shd w:fill="1B365D"/>
          </w:tcPr>
          <w:p>
            <w:r>
              <w:rPr>
                <w:b/>
                <w:color w:val="FFFFFF"/>
                <w:sz w:val="15"/>
              </w:rPr>
              <w:t>Evaluation</w:t>
            </w:r>
          </w:p>
        </w:tc>
      </w:tr>
      <w:tr>
        <w:tc>
          <w:tcPr>
            <w:tcW w:type="dxa" w:w="1393"/>
            <w:tcMar>
              <w:top w:w="20" w:type="dxa"/>
              <w:bottom w:w="20" w:type="dxa"/>
              <w:left w:w="35" w:type="dxa"/>
              <w:right w:w="35" w:type="dxa"/>
            </w:tcMar>
          </w:tcPr>
          <w:p>
            <w:r>
              <w:rPr>
                <w:sz w:val="15"/>
              </w:rPr>
              <w:t>H1 (Phase A)</w:t>
            </w:r>
          </w:p>
        </w:tc>
        <w:tc>
          <w:tcPr>
            <w:tcW w:type="dxa" w:w="1393"/>
            <w:tcMar>
              <w:top w:w="20" w:type="dxa"/>
              <w:bottom w:w="20" w:type="dxa"/>
              <w:left w:w="35" w:type="dxa"/>
              <w:right w:w="35" w:type="dxa"/>
            </w:tcMar>
          </w:tcPr>
          <w:p>
            <w:r>
              <w:rPr>
                <w:sz w:val="15"/>
              </w:rPr>
              <w:t>TRENCH COT 550-800</w:t>
            </w:r>
          </w:p>
        </w:tc>
        <w:tc>
          <w:tcPr>
            <w:tcW w:type="dxa" w:w="1393"/>
            <w:tcMar>
              <w:top w:w="20" w:type="dxa"/>
              <w:bottom w:w="20" w:type="dxa"/>
              <w:left w:w="35" w:type="dxa"/>
              <w:right w:w="35" w:type="dxa"/>
            </w:tcMar>
          </w:tcPr>
          <w:p>
            <w:r>
              <w:rPr>
                <w:sz w:val="15"/>
              </w:rPr>
              <w:t>256.0 pF</w:t>
            </w:r>
          </w:p>
        </w:tc>
        <w:tc>
          <w:tcPr>
            <w:tcW w:type="dxa" w:w="1393"/>
            <w:tcMar>
              <w:top w:w="20" w:type="dxa"/>
              <w:bottom w:w="20" w:type="dxa"/>
              <w:left w:w="35" w:type="dxa"/>
              <w:right w:w="35" w:type="dxa"/>
            </w:tcMar>
          </w:tcPr>
          <w:p>
            <w:r>
              <w:rPr>
                <w:sz w:val="15"/>
              </w:rPr>
              <w:t>253.4 pF</w:t>
            </w:r>
          </w:p>
        </w:tc>
        <w:tc>
          <w:tcPr>
            <w:tcW w:type="dxa" w:w="1393"/>
            <w:tcMar>
              <w:top w:w="20" w:type="dxa"/>
              <w:bottom w:w="20" w:type="dxa"/>
              <w:left w:w="35" w:type="dxa"/>
              <w:right w:w="35" w:type="dxa"/>
            </w:tcMar>
          </w:tcPr>
          <w:p>
            <w:r>
              <w:rPr>
                <w:sz w:val="15"/>
              </w:rPr>
              <w:t>-1.02%</w:t>
            </w:r>
          </w:p>
        </w:tc>
        <w:tc>
          <w:tcPr>
            <w:tcW w:type="dxa" w:w="1393"/>
            <w:tcMar>
              <w:top w:w="20" w:type="dxa"/>
              <w:bottom w:w="20" w:type="dxa"/>
              <w:left w:w="35" w:type="dxa"/>
              <w:right w:w="35" w:type="dxa"/>
            </w:tcMar>
          </w:tcPr>
          <w:p>
            <w:r>
              <w:rPr>
                <w:sz w:val="15"/>
              </w:rPr>
              <w:t>0.276%</w:t>
            </w:r>
          </w:p>
        </w:tc>
        <w:tc>
          <w:tcPr>
            <w:tcW w:type="dxa" w:w="1393"/>
            <w:shd w:fill="DCFCE7"/>
            <w:tcMar>
              <w:top w:w="20" w:type="dxa"/>
              <w:bottom w:w="20" w:type="dxa"/>
              <w:left w:w="35" w:type="dxa"/>
              <w:right w:w="35" w:type="dxa"/>
            </w:tcMar>
          </w:tcPr>
          <w:p>
            <w:r>
              <w:rPr>
                <w:sz w:val="15"/>
              </w:rPr>
              <w:t>Normal (Level A)</w:t>
            </w:r>
          </w:p>
        </w:tc>
      </w:tr>
      <w:tr>
        <w:tc>
          <w:tcPr>
            <w:tcW w:type="dxa" w:w="1393"/>
            <w:tcMar>
              <w:top w:w="20" w:type="dxa"/>
              <w:bottom w:w="20" w:type="dxa"/>
              <w:left w:w="35" w:type="dxa"/>
              <w:right w:w="35" w:type="dxa"/>
            </w:tcMar>
          </w:tcPr>
          <w:p>
            <w:r>
              <w:rPr>
                <w:sz w:val="15"/>
              </w:rPr>
              <w:t>H2 (Phase B)</w:t>
            </w:r>
          </w:p>
        </w:tc>
        <w:tc>
          <w:tcPr>
            <w:tcW w:type="dxa" w:w="1393"/>
            <w:tcMar>
              <w:top w:w="20" w:type="dxa"/>
              <w:bottom w:w="20" w:type="dxa"/>
              <w:left w:w="35" w:type="dxa"/>
              <w:right w:w="35" w:type="dxa"/>
            </w:tcMar>
          </w:tcPr>
          <w:p>
            <w:r>
              <w:rPr>
                <w:sz w:val="15"/>
              </w:rPr>
              <w:t>TRENCH COT 550-800</w:t>
            </w:r>
          </w:p>
        </w:tc>
        <w:tc>
          <w:tcPr>
            <w:tcW w:type="dxa" w:w="1393"/>
            <w:tcMar>
              <w:top w:w="20" w:type="dxa"/>
              <w:bottom w:w="20" w:type="dxa"/>
              <w:left w:w="35" w:type="dxa"/>
              <w:right w:w="35" w:type="dxa"/>
            </w:tcMar>
          </w:tcPr>
          <w:p>
            <w:r>
              <w:rPr>
                <w:sz w:val="15"/>
              </w:rPr>
              <w:t>269.0 pF</w:t>
            </w:r>
          </w:p>
        </w:tc>
        <w:tc>
          <w:tcPr>
            <w:tcW w:type="dxa" w:w="1393"/>
            <w:tcMar>
              <w:top w:w="20" w:type="dxa"/>
              <w:bottom w:w="20" w:type="dxa"/>
              <w:left w:w="35" w:type="dxa"/>
              <w:right w:w="35" w:type="dxa"/>
            </w:tcMar>
          </w:tcPr>
          <w:p>
            <w:r>
              <w:rPr>
                <w:sz w:val="15"/>
              </w:rPr>
              <w:t>266.5 pF</w:t>
            </w:r>
          </w:p>
        </w:tc>
        <w:tc>
          <w:tcPr>
            <w:tcW w:type="dxa" w:w="1393"/>
            <w:tcMar>
              <w:top w:w="20" w:type="dxa"/>
              <w:bottom w:w="20" w:type="dxa"/>
              <w:left w:w="35" w:type="dxa"/>
              <w:right w:w="35" w:type="dxa"/>
            </w:tcMar>
          </w:tcPr>
          <w:p>
            <w:r>
              <w:rPr>
                <w:sz w:val="15"/>
              </w:rPr>
              <w:t>-0.93%</w:t>
            </w:r>
          </w:p>
        </w:tc>
        <w:tc>
          <w:tcPr>
            <w:tcW w:type="dxa" w:w="1393"/>
            <w:tcMar>
              <w:top w:w="20" w:type="dxa"/>
              <w:bottom w:w="20" w:type="dxa"/>
              <w:left w:w="35" w:type="dxa"/>
              <w:right w:w="35" w:type="dxa"/>
            </w:tcMar>
          </w:tcPr>
          <w:p>
            <w:r>
              <w:rPr>
                <w:sz w:val="15"/>
              </w:rPr>
              <w:t>0.287%</w:t>
            </w:r>
          </w:p>
        </w:tc>
        <w:tc>
          <w:tcPr>
            <w:tcW w:type="dxa" w:w="1393"/>
            <w:shd w:fill="DCFCE7"/>
            <w:tcMar>
              <w:top w:w="20" w:type="dxa"/>
              <w:bottom w:w="20" w:type="dxa"/>
              <w:left w:w="35" w:type="dxa"/>
              <w:right w:w="35" w:type="dxa"/>
            </w:tcMar>
          </w:tcPr>
          <w:p>
            <w:r>
              <w:rPr>
                <w:sz w:val="15"/>
              </w:rPr>
              <w:t>Normal (Level A)</w:t>
            </w:r>
          </w:p>
        </w:tc>
      </w:tr>
      <w:tr>
        <w:tc>
          <w:tcPr>
            <w:tcW w:type="dxa" w:w="1393"/>
            <w:tcMar>
              <w:top w:w="20" w:type="dxa"/>
              <w:bottom w:w="20" w:type="dxa"/>
              <w:left w:w="35" w:type="dxa"/>
              <w:right w:w="35" w:type="dxa"/>
            </w:tcMar>
          </w:tcPr>
          <w:p>
            <w:r>
              <w:rPr>
                <w:sz w:val="15"/>
              </w:rPr>
              <w:t>H3 (Phase C)</w:t>
            </w:r>
          </w:p>
        </w:tc>
        <w:tc>
          <w:tcPr>
            <w:tcW w:type="dxa" w:w="1393"/>
            <w:tcMar>
              <w:top w:w="20" w:type="dxa"/>
              <w:bottom w:w="20" w:type="dxa"/>
              <w:left w:w="35" w:type="dxa"/>
              <w:right w:w="35" w:type="dxa"/>
            </w:tcMar>
          </w:tcPr>
          <w:p>
            <w:r>
              <w:rPr>
                <w:sz w:val="15"/>
              </w:rPr>
              <w:t>ABB GOB 550/800</w:t>
            </w:r>
          </w:p>
        </w:tc>
        <w:tc>
          <w:tcPr>
            <w:tcW w:type="dxa" w:w="1393"/>
            <w:tcMar>
              <w:top w:w="20" w:type="dxa"/>
              <w:bottom w:w="20" w:type="dxa"/>
              <w:left w:w="35" w:type="dxa"/>
              <w:right w:w="35" w:type="dxa"/>
            </w:tcMar>
          </w:tcPr>
          <w:p>
            <w:r>
              <w:rPr>
                <w:sz w:val="15"/>
              </w:rPr>
              <w:t>171.0 pF</w:t>
            </w:r>
          </w:p>
        </w:tc>
        <w:tc>
          <w:tcPr>
            <w:tcW w:type="dxa" w:w="1393"/>
            <w:tcMar>
              <w:top w:w="20" w:type="dxa"/>
              <w:bottom w:w="20" w:type="dxa"/>
              <w:left w:w="35" w:type="dxa"/>
              <w:right w:w="35" w:type="dxa"/>
            </w:tcMar>
          </w:tcPr>
          <w:p>
            <w:r>
              <w:rPr>
                <w:sz w:val="15"/>
              </w:rPr>
              <w:t>168.4 pF</w:t>
            </w:r>
          </w:p>
        </w:tc>
        <w:tc>
          <w:tcPr>
            <w:tcW w:type="dxa" w:w="1393"/>
            <w:tcMar>
              <w:top w:w="20" w:type="dxa"/>
              <w:bottom w:w="20" w:type="dxa"/>
              <w:left w:w="35" w:type="dxa"/>
              <w:right w:w="35" w:type="dxa"/>
            </w:tcMar>
          </w:tcPr>
          <w:p>
            <w:r>
              <w:rPr>
                <w:sz w:val="15"/>
              </w:rPr>
              <w:t>-1.52%</w:t>
            </w:r>
          </w:p>
        </w:tc>
        <w:tc>
          <w:tcPr>
            <w:tcW w:type="dxa" w:w="1393"/>
            <w:tcMar>
              <w:top w:w="20" w:type="dxa"/>
              <w:bottom w:w="20" w:type="dxa"/>
              <w:left w:w="35" w:type="dxa"/>
              <w:right w:w="35" w:type="dxa"/>
            </w:tcMar>
          </w:tcPr>
          <w:p>
            <w:r>
              <w:rPr>
                <w:sz w:val="15"/>
              </w:rPr>
              <w:t>0.448%</w:t>
            </w:r>
          </w:p>
        </w:tc>
        <w:tc>
          <w:tcPr>
            <w:tcW w:type="dxa" w:w="1393"/>
            <w:shd w:fill="DCFCE7"/>
            <w:tcMar>
              <w:top w:w="20" w:type="dxa"/>
              <w:bottom w:w="20" w:type="dxa"/>
              <w:left w:w="35" w:type="dxa"/>
              <w:right w:w="35" w:type="dxa"/>
            </w:tcMar>
          </w:tcPr>
          <w:p>
            <w:r>
              <w:rPr>
                <w:sz w:val="15"/>
              </w:rPr>
              <w:t>Normal (Level A)</w:t>
            </w:r>
          </w:p>
        </w:tc>
      </w:tr>
    </w:tbl>
    <w:p>
      <w:pPr>
        <w:keepNext/>
        <w:spacing w:before="200" w:after="60"/>
      </w:pPr>
      <w:r>
        <w:rPr>
          <w:rFonts w:ascii="Arial" w:hAnsi="Arial"/>
          <w:b/>
          <w:color w:val="2563EB"/>
          <w:sz w:val="22"/>
        </w:rPr>
        <w:t>Report 4: Surge Arrester Report (Doc No. EMM-TEST FORM-0008)</w:t>
      </w:r>
    </w:p>
    <w:p>
      <w:pPr>
        <w:spacing w:before="0" w:after="80" w:line="276" w:lineRule="auto"/>
      </w:pPr>
      <w:r>
        <w:rPr>
          <w:rFonts w:ascii="Calibri" w:hAnsi="Calibri"/>
          <w:i w:val="0"/>
          <w:color w:val="1E293B"/>
          <w:sz w:val="19"/>
        </w:rPr>
        <w:t>Tested on 2026-05-26 with TESTRANO 600 at 10 kV:</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single" w:sz="4" w:space="0" w:color="CBD5E1"/>
          <w:right w:val="single" w:sz="4" w:space="0" w:color="CBD5E1"/>
        </w:tblBorders>
      </w:tblPr>
      <w:tblGrid>
        <w:gridCol w:w="1625"/>
        <w:gridCol w:w="1625"/>
        <w:gridCol w:w="1625"/>
        <w:gridCol w:w="1625"/>
        <w:gridCol w:w="1625"/>
        <w:gridCol w:w="1625"/>
      </w:tblGrid>
      <w:tr>
        <w:tc>
          <w:tcPr>
            <w:tcW w:type="dxa" w:w="1625"/>
            <w:shd w:fill="1B365D"/>
          </w:tcPr>
          <w:p>
            <w:r>
              <w:rPr>
                <w:b/>
                <w:color w:val="FFFFFF"/>
                <w:sz w:val="15"/>
              </w:rPr>
              <w:t>Arrester Phase</w:t>
            </w:r>
          </w:p>
        </w:tc>
        <w:tc>
          <w:tcPr>
            <w:tcW w:type="dxa" w:w="1625"/>
            <w:shd w:fill="1B365D"/>
          </w:tcPr>
          <w:p>
            <w:r>
              <w:rPr>
                <w:b/>
                <w:color w:val="FFFFFF"/>
                <w:sz w:val="15"/>
              </w:rPr>
              <w:t>Manufacturer &amp; Model</w:t>
            </w:r>
          </w:p>
        </w:tc>
        <w:tc>
          <w:tcPr>
            <w:tcW w:type="dxa" w:w="1625"/>
            <w:shd w:fill="1B365D"/>
          </w:tcPr>
          <w:p>
            <w:r>
              <w:rPr>
                <w:b/>
                <w:color w:val="FFFFFF"/>
                <w:sz w:val="15"/>
              </w:rPr>
              <w:t>Leakage Current</w:t>
            </w:r>
          </w:p>
        </w:tc>
        <w:tc>
          <w:tcPr>
            <w:tcW w:type="dxa" w:w="1625"/>
            <w:shd w:fill="1B365D"/>
          </w:tcPr>
          <w:p>
            <w:r>
              <w:rPr>
                <w:b/>
                <w:color w:val="FFFFFF"/>
                <w:sz w:val="15"/>
              </w:rPr>
              <w:t>Watt Loss</w:t>
            </w:r>
          </w:p>
        </w:tc>
        <w:tc>
          <w:tcPr>
            <w:tcW w:type="dxa" w:w="1625"/>
            <w:shd w:fill="1B365D"/>
          </w:tcPr>
          <w:p>
            <w:r>
              <w:rPr>
                <w:b/>
                <w:color w:val="FFFFFF"/>
                <w:sz w:val="15"/>
              </w:rPr>
              <w:t>Insulation Resistance</w:t>
            </w:r>
          </w:p>
        </w:tc>
        <w:tc>
          <w:tcPr>
            <w:tcW w:type="dxa" w:w="1625"/>
            <w:shd w:fill="1B365D"/>
          </w:tcPr>
          <w:p>
            <w:r>
              <w:rPr>
                <w:b/>
                <w:color w:val="FFFFFF"/>
                <w:sz w:val="15"/>
              </w:rPr>
              <w:t>Status</w:t>
            </w:r>
          </w:p>
        </w:tc>
      </w:tr>
      <w:tr>
        <w:tc>
          <w:tcPr>
            <w:tcW w:type="dxa" w:w="1625"/>
            <w:tcMar>
              <w:top w:w="20" w:type="dxa"/>
              <w:bottom w:w="20" w:type="dxa"/>
              <w:left w:w="35" w:type="dxa"/>
              <w:right w:w="35" w:type="dxa"/>
            </w:tcMar>
          </w:tcPr>
          <w:p>
            <w:r>
              <w:rPr>
                <w:sz w:val="15"/>
              </w:rPr>
              <w:t>H1 (Phase A)</w:t>
            </w:r>
          </w:p>
        </w:tc>
        <w:tc>
          <w:tcPr>
            <w:tcW w:type="dxa" w:w="1625"/>
            <w:tcMar>
              <w:top w:w="20" w:type="dxa"/>
              <w:bottom w:w="20" w:type="dxa"/>
              <w:left w:w="35" w:type="dxa"/>
              <w:right w:w="35" w:type="dxa"/>
            </w:tcMar>
          </w:tcPr>
          <w:p>
            <w:r>
              <w:rPr>
                <w:sz w:val="15"/>
              </w:rPr>
              <w:t>TRIDELTA SB 108/10.3-0</w:t>
            </w:r>
          </w:p>
        </w:tc>
        <w:tc>
          <w:tcPr>
            <w:tcW w:type="dxa" w:w="1625"/>
            <w:tcMar>
              <w:top w:w="20" w:type="dxa"/>
              <w:bottom w:w="20" w:type="dxa"/>
              <w:left w:w="35" w:type="dxa"/>
              <w:right w:w="35" w:type="dxa"/>
            </w:tcMar>
          </w:tcPr>
          <w:p>
            <w:r>
              <w:rPr>
                <w:sz w:val="15"/>
              </w:rPr>
              <w:t>0.15 mA</w:t>
            </w:r>
          </w:p>
        </w:tc>
        <w:tc>
          <w:tcPr>
            <w:tcW w:type="dxa" w:w="1625"/>
            <w:tcMar>
              <w:top w:w="20" w:type="dxa"/>
              <w:bottom w:w="20" w:type="dxa"/>
              <w:left w:w="35" w:type="dxa"/>
              <w:right w:w="35" w:type="dxa"/>
            </w:tcMar>
          </w:tcPr>
          <w:p>
            <w:r>
              <w:rPr>
                <w:sz w:val="15"/>
              </w:rPr>
              <w:t>106.78 W</w:t>
            </w:r>
          </w:p>
        </w:tc>
        <w:tc>
          <w:tcPr>
            <w:tcW w:type="dxa" w:w="1625"/>
            <w:tcMar>
              <w:top w:w="20" w:type="dxa"/>
              <w:bottom w:w="20" w:type="dxa"/>
              <w:left w:w="35" w:type="dxa"/>
              <w:right w:w="35" w:type="dxa"/>
            </w:tcMar>
          </w:tcPr>
          <w:p>
            <w:r>
              <w:rPr>
                <w:sz w:val="15"/>
              </w:rPr>
              <w:t>12,500 MΩ</w:t>
            </w:r>
          </w:p>
        </w:tc>
        <w:tc>
          <w:tcPr>
            <w:tcW w:type="dxa" w:w="1625"/>
            <w:shd w:fill="DCFCE7"/>
            <w:tcMar>
              <w:top w:w="20" w:type="dxa"/>
              <w:bottom w:w="20" w:type="dxa"/>
              <w:left w:w="35" w:type="dxa"/>
              <w:right w:w="35" w:type="dxa"/>
            </w:tcMar>
          </w:tcPr>
          <w:p>
            <w:r>
              <w:rPr>
                <w:sz w:val="15"/>
              </w:rPr>
              <w:t>Normal (Level A)</w:t>
            </w:r>
          </w:p>
        </w:tc>
      </w:tr>
      <w:tr>
        <w:tc>
          <w:tcPr>
            <w:tcW w:type="dxa" w:w="1625"/>
            <w:tcMar>
              <w:top w:w="20" w:type="dxa"/>
              <w:bottom w:w="20" w:type="dxa"/>
              <w:left w:w="35" w:type="dxa"/>
              <w:right w:w="35" w:type="dxa"/>
            </w:tcMar>
          </w:tcPr>
          <w:p>
            <w:r>
              <w:rPr>
                <w:sz w:val="15"/>
              </w:rPr>
              <w:t>H2 (Phase B)</w:t>
            </w:r>
          </w:p>
        </w:tc>
        <w:tc>
          <w:tcPr>
            <w:tcW w:type="dxa" w:w="1625"/>
            <w:tcMar>
              <w:top w:w="20" w:type="dxa"/>
              <w:bottom w:w="20" w:type="dxa"/>
              <w:left w:w="35" w:type="dxa"/>
              <w:right w:w="35" w:type="dxa"/>
            </w:tcMar>
          </w:tcPr>
          <w:p>
            <w:r>
              <w:rPr>
                <w:sz w:val="15"/>
              </w:rPr>
              <w:t>TRIDELTA SB 108/10.3-0</w:t>
            </w:r>
          </w:p>
        </w:tc>
        <w:tc>
          <w:tcPr>
            <w:tcW w:type="dxa" w:w="1625"/>
            <w:tcMar>
              <w:top w:w="20" w:type="dxa"/>
              <w:bottom w:w="20" w:type="dxa"/>
              <w:left w:w="35" w:type="dxa"/>
              <w:right w:w="35" w:type="dxa"/>
            </w:tcMar>
          </w:tcPr>
          <w:p>
            <w:r>
              <w:rPr>
                <w:sz w:val="15"/>
              </w:rPr>
              <w:t>0.15 mA</w:t>
            </w:r>
          </w:p>
        </w:tc>
        <w:tc>
          <w:tcPr>
            <w:tcW w:type="dxa" w:w="1625"/>
            <w:tcMar>
              <w:top w:w="20" w:type="dxa"/>
              <w:bottom w:w="20" w:type="dxa"/>
              <w:left w:w="35" w:type="dxa"/>
              <w:right w:w="35" w:type="dxa"/>
            </w:tcMar>
          </w:tcPr>
          <w:p>
            <w:r>
              <w:rPr>
                <w:sz w:val="15"/>
              </w:rPr>
              <w:t>106.79 W</w:t>
            </w:r>
          </w:p>
        </w:tc>
        <w:tc>
          <w:tcPr>
            <w:tcW w:type="dxa" w:w="1625"/>
            <w:tcMar>
              <w:top w:w="20" w:type="dxa"/>
              <w:bottom w:w="20" w:type="dxa"/>
              <w:left w:w="35" w:type="dxa"/>
              <w:right w:w="35" w:type="dxa"/>
            </w:tcMar>
          </w:tcPr>
          <w:p>
            <w:r>
              <w:rPr>
                <w:sz w:val="15"/>
              </w:rPr>
              <w:t>13,200 MΩ</w:t>
            </w:r>
          </w:p>
        </w:tc>
        <w:tc>
          <w:tcPr>
            <w:tcW w:type="dxa" w:w="1625"/>
            <w:shd w:fill="DCFCE7"/>
            <w:tcMar>
              <w:top w:w="20" w:type="dxa"/>
              <w:bottom w:w="20" w:type="dxa"/>
              <w:left w:w="35" w:type="dxa"/>
              <w:right w:w="35" w:type="dxa"/>
            </w:tcMar>
          </w:tcPr>
          <w:p>
            <w:r>
              <w:rPr>
                <w:sz w:val="15"/>
              </w:rPr>
              <w:t>Normal (Level A)</w:t>
            </w:r>
          </w:p>
        </w:tc>
      </w:tr>
      <w:tr>
        <w:tc>
          <w:tcPr>
            <w:tcW w:type="dxa" w:w="1625"/>
            <w:tcMar>
              <w:top w:w="20" w:type="dxa"/>
              <w:bottom w:w="20" w:type="dxa"/>
              <w:left w:w="35" w:type="dxa"/>
              <w:right w:w="35" w:type="dxa"/>
            </w:tcMar>
          </w:tcPr>
          <w:p>
            <w:r>
              <w:rPr>
                <w:sz w:val="15"/>
              </w:rPr>
              <w:t>H3 (Phase C)</w:t>
            </w:r>
          </w:p>
        </w:tc>
        <w:tc>
          <w:tcPr>
            <w:tcW w:type="dxa" w:w="1625"/>
            <w:tcMar>
              <w:top w:w="20" w:type="dxa"/>
              <w:bottom w:w="20" w:type="dxa"/>
              <w:left w:w="35" w:type="dxa"/>
              <w:right w:w="35" w:type="dxa"/>
            </w:tcMar>
          </w:tcPr>
          <w:p>
            <w:r>
              <w:rPr>
                <w:sz w:val="15"/>
              </w:rPr>
              <w:t>TRIDELTA SB 108/10.3-0</w:t>
            </w:r>
          </w:p>
        </w:tc>
        <w:tc>
          <w:tcPr>
            <w:tcW w:type="dxa" w:w="1625"/>
            <w:tcMar>
              <w:top w:w="20" w:type="dxa"/>
              <w:bottom w:w="20" w:type="dxa"/>
              <w:left w:w="35" w:type="dxa"/>
              <w:right w:w="35" w:type="dxa"/>
            </w:tcMar>
          </w:tcPr>
          <w:p>
            <w:r>
              <w:rPr>
                <w:sz w:val="15"/>
              </w:rPr>
              <w:t>0.16 mA</w:t>
            </w:r>
          </w:p>
        </w:tc>
        <w:tc>
          <w:tcPr>
            <w:tcW w:type="dxa" w:w="1625"/>
            <w:tcMar>
              <w:top w:w="20" w:type="dxa"/>
              <w:bottom w:w="20" w:type="dxa"/>
              <w:left w:w="35" w:type="dxa"/>
              <w:right w:w="35" w:type="dxa"/>
            </w:tcMar>
          </w:tcPr>
          <w:p>
            <w:r>
              <w:rPr>
                <w:sz w:val="15"/>
              </w:rPr>
              <w:t>118.16 W</w:t>
            </w:r>
          </w:p>
        </w:tc>
        <w:tc>
          <w:tcPr>
            <w:tcW w:type="dxa" w:w="1625"/>
            <w:tcMar>
              <w:top w:w="20" w:type="dxa"/>
              <w:bottom w:w="20" w:type="dxa"/>
              <w:left w:w="35" w:type="dxa"/>
              <w:right w:w="35" w:type="dxa"/>
            </w:tcMar>
          </w:tcPr>
          <w:p>
            <w:r>
              <w:rPr>
                <w:sz w:val="15"/>
              </w:rPr>
              <w:t>12,200 MΩ</w:t>
            </w:r>
          </w:p>
        </w:tc>
        <w:tc>
          <w:tcPr>
            <w:tcW w:type="dxa" w:w="1625"/>
            <w:shd w:fill="DCFCE7"/>
            <w:tcMar>
              <w:top w:w="20" w:type="dxa"/>
              <w:bottom w:w="20" w:type="dxa"/>
              <w:left w:w="35" w:type="dxa"/>
              <w:right w:w="35" w:type="dxa"/>
            </w:tcMar>
          </w:tcPr>
          <w:p>
            <w:r>
              <w:rPr>
                <w:sz w:val="15"/>
              </w:rPr>
              <w:t>Normal (Level A)</w:t>
            </w:r>
          </w:p>
        </w:tc>
      </w:tr>
    </w:tbl>
    <w:p>
      <w:pPr>
        <w:keepNext/>
        <w:spacing w:before="240" w:after="80"/>
      </w:pPr>
    </w:p>
    <w:tbl>
      <w:tblPr>
        <w:tblW w:type="auto" w:w="0"/>
        <w:jc w:val="center"/>
        <w:tblLook w:firstColumn="1" w:firstRow="1" w:lastColumn="0" w:lastRow="0" w:noHBand="0" w:noVBand="1" w:val="04A0"/>
      </w:tblPr>
      <w:tblGrid>
        <w:gridCol w:w="9749"/>
      </w:tblGrid>
      <w:tr>
        <w:tc>
          <w:tcPr>
            <w:tcW w:type="dxa" w:w="10080"/>
            <w:shd w:fill="1B365D"/>
            <w:tcMar>
              <w:top w:w="60" w:type="dxa"/>
              <w:bottom w:w="60" w:type="dxa"/>
              <w:left w:w="100" w:type="dxa"/>
              <w:right w:w="100" w:type="dxa"/>
            </w:tcMar>
          </w:tcPr>
          <w:p>
            <w:pPr>
              <w:spacing w:after="0"/>
            </w:pPr>
            <w:r>
              <w:rPr>
                <w:rFonts w:ascii="Arial" w:hAnsi="Arial"/>
                <w:b/>
                <w:color w:val="FFFFFF"/>
                <w:sz w:val="24"/>
              </w:rPr>
              <w:t>Appendix 3: GPSC Group Master Evaluation Criteria Matrix</w:t>
            </w:r>
          </w:p>
        </w:tc>
      </w:tr>
    </w:tbl>
    <w:p>
      <w:pPr>
        <w:spacing w:before="0" w:after="80"/>
      </w:pPr>
    </w:p>
    <w:p>
      <w:pPr>
        <w:spacing w:before="0" w:after="80" w:line="276" w:lineRule="auto"/>
      </w:pPr>
      <w:r>
        <w:rPr>
          <w:rFonts w:ascii="Calibri" w:hAnsi="Calibri"/>
          <w:i w:val="0"/>
          <w:color w:val="1E293B"/>
          <w:sz w:val="19"/>
        </w:rPr>
        <w:t>The complete GPSC Transformer Asset Management evaluation criteria matrix is applied to 34101-TR-001 (CUP-3), reconciling Condition Health Index (%CHI = 96.0%), General Health Index (%GHI = 90.0%), Probability of Failure (PoF = 11.2%), and Criticality Impact (82.4%), yielding a final Risk Score of 4 out of 25 (Green Zone / Low Risk / Normal Routine 3Y PM).</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