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C2EF2">
      <w:pPr>
        <w:spacing w:before="0" w:after="0" w:line="360" w:lineRule="auto"/>
        <w:ind w:firstLine="560"/>
        <w:rPr>
          <w:rFonts w:hint="eastAsia" w:eastAsia="华文中宋"/>
          <w:lang w:val="en-US" w:eastAsia="zh-CN"/>
        </w:rPr>
      </w:pPr>
      <w:r>
        <w:rPr>
          <w:rFonts w:ascii="华文中宋" w:hAnsi="华文中宋" w:eastAsia="华文中宋"/>
          <w:b/>
          <w:sz w:val="32"/>
        </w:rPr>
        <w:t>大类观点</w:t>
      </w:r>
      <w:r>
        <w:rPr>
          <w:rFonts w:hint="eastAsia" w:ascii="华文中宋" w:hAnsi="华文中宋" w:eastAsia="华文中宋"/>
          <w:b/>
          <w:sz w:val="32"/>
          <w:lang w:val="en-US" w:eastAsia="zh-CN"/>
        </w:rPr>
        <w:t xml:space="preserve"> </w:t>
      </w:r>
    </w:p>
    <w:p w14:paraId="307F2538">
      <w:pPr>
        <w:spacing w:before="0" w:after="0" w:line="360" w:lineRule="auto"/>
        <w:ind w:firstLine="560"/>
      </w:pPr>
      <w:r>
        <w:rPr>
          <w:rFonts w:ascii="Times New Roman" w:hAnsi="Times New Roman"/>
          <w:b w:val="0"/>
          <w:sz w:val="24"/>
        </w:rPr>
        <w:t>【A</w:t>
      </w:r>
      <w:r>
        <w:rPr>
          <w:rFonts w:ascii="华文中宋" w:hAnsi="华文中宋" w:eastAsia="华文中宋"/>
          <w:b w:val="0"/>
          <w:sz w:val="24"/>
        </w:rPr>
        <w:t>股</w:t>
      </w:r>
      <w:r>
        <w:rPr>
          <w:rFonts w:ascii="Times New Roman" w:hAnsi="Times New Roman"/>
          <w:b w:val="0"/>
          <w:sz w:val="24"/>
        </w:rPr>
        <w:t>】</w:t>
      </w:r>
    </w:p>
    <w:p w14:paraId="41C80CF9">
      <w:pPr>
        <w:spacing w:before="0" w:after="0" w:line="360" w:lineRule="auto"/>
        <w:ind w:firstLine="560"/>
      </w:pPr>
      <w:r>
        <w:rPr>
          <w:rFonts w:ascii="Times New Roman" w:hAnsi="Times New Roman"/>
          <w:b w:val="0"/>
          <w:sz w:val="24"/>
        </w:rPr>
        <w:t>[</w:t>
      </w:r>
      <w:r>
        <w:rPr>
          <w:rFonts w:ascii="华文中宋" w:hAnsi="华文中宋" w:eastAsia="华文中宋"/>
          <w:b w:val="0"/>
          <w:sz w:val="24"/>
        </w:rPr>
        <w:t>洪灏</w:t>
      </w:r>
      <w:r>
        <w:rPr>
          <w:rFonts w:ascii="Times New Roman" w:hAnsi="Times New Roman"/>
          <w:b w:val="0"/>
          <w:sz w:val="24"/>
        </w:rPr>
        <w:t>]</w:t>
      </w:r>
    </w:p>
    <w:p w14:paraId="7D53255E">
      <w:pPr>
        <w:spacing w:before="0" w:after="0" w:line="360" w:lineRule="auto"/>
        <w:ind w:firstLine="560"/>
      </w:pPr>
      <w:r>
        <w:rPr>
          <w:rFonts w:ascii="华文中宋" w:hAnsi="华文中宋" w:eastAsia="华文中宋"/>
          <w:b w:val="0"/>
          <w:sz w:val="24"/>
        </w:rPr>
        <w:t>当前全球地缘政治格局正经历“伟大的重估”，美国外交政策转向“川罗主义”，从全球秩序的担保者转变为区域霸权的实施者，这加剧了全球动荡，成为市场系统性风险的主要来源。这种地缘政治的结构性转变，意味着过去以全球化和资本自由流动为主导的市场环境正在消逝，对风险资产构成长期压力。</w:t>
      </w:r>
    </w:p>
    <w:p w14:paraId="71F6305F">
      <w:pPr>
        <w:spacing w:before="0" w:after="0" w:line="360" w:lineRule="auto"/>
        <w:ind w:firstLine="560"/>
      </w:pPr>
    </w:p>
    <w:p w14:paraId="5D9AF76A">
      <w:pPr>
        <w:spacing w:before="0" w:after="0" w:line="360" w:lineRule="auto"/>
        <w:ind w:firstLine="560"/>
      </w:pPr>
      <w:r>
        <w:rPr>
          <w:rFonts w:ascii="华文中宋" w:hAnsi="华文中宋" w:eastAsia="华文中宋"/>
          <w:b w:val="0"/>
          <w:sz w:val="24"/>
        </w:rPr>
        <w:t>与此同时，美联储的独立性面临宪政危机，其货币政策传统范式正在终结。市场正在为“沃尔克时代”的央行独立性锚点消失而定价，下一任美联储主席人选已成为两种市场运行模式的二元抉择。目前市场押注倾向于代表“独立鹰派”的候选人，反映出对稳定、可持续货币政策的偏好，而非盲目的货币刺激。然而，无论谁当选，美联储沦为政府附庸或陷入“跛脚鸭”状态的风险依然存在，其政策公信力面临挑战。</w:t>
      </w:r>
    </w:p>
    <w:p w14:paraId="2E6A7629">
      <w:pPr>
        <w:spacing w:before="0" w:after="0" w:line="360" w:lineRule="auto"/>
        <w:ind w:firstLine="560"/>
      </w:pPr>
    </w:p>
    <w:p w14:paraId="364C38B2">
      <w:pPr>
        <w:spacing w:before="0" w:after="0" w:line="360" w:lineRule="auto"/>
        <w:ind w:firstLine="560"/>
      </w:pPr>
      <w:r>
        <w:rPr>
          <w:rFonts w:ascii="华文中宋" w:hAnsi="华文中宋" w:eastAsia="华文中宋"/>
          <w:b w:val="0"/>
          <w:sz w:val="24"/>
        </w:rPr>
        <w:t>综合来看，外部地缘政治动荡与内部央行政策独立性的削弱，共同构成了当前市场面临的宏观不确定性。这种环境可能压制市场的整体风险偏好，促使资金寻求避险。对于而言，虽然未直接提及，但全球格局的剧变和主要央行信誉的动摇，将通过风险情绪传导、资本流动变化等渠道产生影响，市场需要在这种“范式转变”中重新评估资产定价的锚。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8F67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CF413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BB42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84B70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021DC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D0E4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2E07D3"/>
    <w:rsid w:val="2BAB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7904</Words>
  <Characters>8098</Characters>
  <Lines>0</Lines>
  <Paragraphs>0</Paragraphs>
  <TotalTime>0</TotalTime>
  <ScaleCrop>false</ScaleCrop>
  <LinksUpToDate>false</LinksUpToDate>
  <CharactersWithSpaces>8103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陈潼欣</cp:lastModifiedBy>
  <dcterms:modified xsi:type="dcterms:W3CDTF">2026-03-24T17:26:04Z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eyJoZGlkIjoiZTFkNTU1YzMxNmNhYzM2Njk2OTM3MzZmODljNzgyMGQiLCJ1c2VySWQiOiIxNDg1MzcwNTI1In0=</vt:lpwstr>
  </property>
  <property fmtid="{D5CDD505-2E9C-101B-9397-08002B2CF9AE}" pid="3" name="KSOProductBuildVer">
    <vt:lpwstr>2052-12.1.0.23542</vt:lpwstr>
  </property>
  <property fmtid="{D5CDD505-2E9C-101B-9397-08002B2CF9AE}" pid="4" name="ICV">
    <vt:lpwstr>A41B3BBBF8154F8E81EAB227DFD3428D_12</vt:lpwstr>
  </property>
</Properties>
</file>