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4.1 Reviewer Consistency Research Notebook</w:t>
      </w:r>
    </w:p>
    <w:p w:rsidR="00000000" w:rsidDel="00000000" w:rsidP="00000000" w:rsidRDefault="00000000" w:rsidRPr="00000000" w14:paraId="0000000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RQ: How consistently do contemporary production multimodal models evaluate the same artwork when presented with identical information across repeated reviews?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To establish a high-level measure of reviewer consistency, we calculated the percentage of repeated review groups that produced identical acquisition decisions across all three runs. Each review group consisted of the same artwork, model, prompt version, and contextual condition evaluated three independent times. A group was considered unanimous when all three reviews resulted in either ACQUIRE or PASS. This metric provides a simple measure of decision stability before examining score variation, contextual effects, or artwork-specific behavior.</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350"/>
        <w:gridCol w:w="1860"/>
        <w:gridCol w:w="1410"/>
        <w:gridCol w:w="1530"/>
        <w:gridCol w:w="1440"/>
        <w:tblGridChange w:id="0">
          <w:tblGrid>
            <w:gridCol w:w="1770"/>
            <w:gridCol w:w="1350"/>
            <w:gridCol w:w="1860"/>
            <w:gridCol w:w="1410"/>
            <w:gridCol w:w="1530"/>
            <w:gridCol w:w="1440"/>
          </w:tblGrid>
        </w:tblGridChange>
      </w:tblGrid>
      <w:tr>
        <w:trPr>
          <w:cantSplit w:val="0"/>
          <w:trHeight w:val="1255.6640624999998"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7">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Review prompt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8">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tier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9">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A">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Unanimous groups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B">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Complete groups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C">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Unanimous decision rate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D">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v4: Directive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E">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Economic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F">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Gemini 2.5 Flash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0">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1">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132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2">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79.5%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3">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v4: Directive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Economic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GPT-5 Mini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132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87.1%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9">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v4: Directive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Frontier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Gemini 3 Flash Preview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132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86.4%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v4: Directive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Frontier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GPT-5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132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85.6%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v5: Minimal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Economic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7">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Gemini 2.5 Flash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9">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132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84.8%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v5: Minimal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Economic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GPT-5 Mini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117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F">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131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0">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89.3%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1">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v5: Minimal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2">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Frontier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3">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Gemini 3 Flash Preview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116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132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87.9%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7">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v5: Minimal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Frontier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9">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GPT-5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A">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119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B">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132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90.2%</w:t>
            </w:r>
          </w:p>
        </w:tc>
      </w:tr>
    </w:tbl>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Table 1: Unanimous Decision Rate by Reviewer Prompt, Model Tier, and Model</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To isolate the effect of reviewer instruction design, the unanimous decision rates for each model were compared between the directive reviewer prompt (v4) and the more minimal reviewer prompt (v5). Because the underlying models, artwork dataset, and experimental conditions remained constant, changes in this table primarily reflect differences associated with the reviewer instruction framework rather than changes in model capability or experimental design.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130"/>
        <w:gridCol w:w="2025"/>
        <w:gridCol w:w="2745"/>
        <w:tblGridChange w:id="0">
          <w:tblGrid>
            <w:gridCol w:w="2460"/>
            <w:gridCol w:w="2130"/>
            <w:gridCol w:w="2025"/>
            <w:gridCol w:w="27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0">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1">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v4 directive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2">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v5 minimal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3">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Gemini 2.5 Flash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79.5%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84.8%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7">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+5.3 percentage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GPT-5 Mini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9">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87.1%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A">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89.3%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B">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+2.2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Gemini 3 Flash Preview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D">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86.4%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E">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87.9%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+1.5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GPT-5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85.6%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90.2%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+4.5 points</w:t>
            </w:r>
          </w:p>
        </w:tc>
      </w:tr>
    </w:tbl>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Table 2: Change in Unanimous Decision Rate Between Reviewer Prompt Versions</w:t>
      </w:r>
    </w:p>
    <w:p w:rsidR="00000000" w:rsidDel="00000000" w:rsidP="00000000" w:rsidRDefault="00000000" w:rsidRPr="00000000" w14:paraId="00000055">
      <w:pPr>
        <w:rPr>
          <w:b w:val="1"/>
          <w:bCs w:val="1"/>
          <w:sz w:val="28"/>
          <w:szCs w:val="28"/>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Observations</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Across all configurations, reviewer consistency was relatively high, with unanimous acquisition decisions occurring in approximately 80% to 90% of repeated review groups.</w:t>
      </w:r>
    </w:p>
    <w:p w:rsidR="00000000" w:rsidDel="00000000" w:rsidP="00000000" w:rsidRDefault="00000000" w:rsidRPr="00000000" w14:paraId="00000059">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None of the model and reviewer prompt configurations achieved perfect (100%) unanimous decision consistency across the complete dataset.</w:t>
      </w:r>
    </w:p>
    <w:p w:rsidR="00000000" w:rsidDel="00000000" w:rsidP="00000000" w:rsidRDefault="00000000" w:rsidRPr="00000000" w14:paraId="0000005A">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All four models exhibited higher unanimous decision rates under the v5 minimal reviewer prompt than under the v4 directive reviewer prompt.</w:t>
      </w:r>
    </w:p>
    <w:p w:rsidR="00000000" w:rsidDel="00000000" w:rsidP="00000000" w:rsidRDefault="00000000" w:rsidRPr="00000000" w14:paraId="0000005B">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observed increase in unanimous decision rate ranged from 1.5 to 5.3 percentage points, depending on the model.</w:t>
      </w:r>
    </w:p>
    <w:p w:rsidR="00000000" w:rsidDel="00000000" w:rsidP="00000000" w:rsidRDefault="00000000" w:rsidRPr="00000000" w14:paraId="0000005C">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Under the v4 directive reviewer prompt, GPT-5 Mini achieved the highest unanimous decision rate (87.1%), while Gemini 2.5 Flash achieved the lowest (79.5%).</w:t>
      </w:r>
    </w:p>
    <w:p w:rsidR="00000000" w:rsidDel="00000000" w:rsidP="00000000" w:rsidRDefault="00000000" w:rsidRPr="00000000" w14:paraId="0000005D">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Under the v5 minimal reviewer prompt, GPT-5 achieved the highest unanimous decision rate (90.2%), while Gemini 2.5 Flash remained the lowest (84.8%).</w:t>
      </w:r>
    </w:p>
    <w:p w:rsidR="00000000" w:rsidDel="00000000" w:rsidP="00000000" w:rsidRDefault="00000000" w:rsidRPr="00000000" w14:paraId="0000005E">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Although the magnitude varied by model, the direction of change was consistent, with every model demonstrating an increase in unanimous decision rate under the minimal reviewer prompt.</w:t>
      </w:r>
    </w:p>
    <w:p w:rsidR="00000000" w:rsidDel="00000000" w:rsidP="00000000" w:rsidRDefault="00000000" w:rsidRPr="00000000" w14:paraId="0000005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Breaking down consistency on an artwork basis:</w:t>
      </w:r>
    </w:p>
    <w:p w:rsidR="00000000" w:rsidDel="00000000" w:rsidP="00000000" w:rsidRDefault="00000000" w:rsidRPr="00000000" w14:paraId="0000006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920"/>
        <w:gridCol w:w="1665"/>
        <w:gridCol w:w="1995"/>
        <w:gridCol w:w="1485"/>
        <w:gridCol w:w="1095"/>
        <w:tblGridChange w:id="0">
          <w:tblGrid>
            <w:gridCol w:w="1200"/>
            <w:gridCol w:w="1920"/>
            <w:gridCol w:w="1665"/>
            <w:gridCol w:w="1995"/>
            <w:gridCol w:w="1485"/>
            <w:gridCol w:w="10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4">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Artwork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Genre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Gemini 2.5 Flash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Gemini 3 Flash Preview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GPT-5 Mini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GPT-5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CryptoPunk PFP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33.3%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58.3%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83.3%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83.3%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Digital Painting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66.7%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75.0%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75.0%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91.7%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017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7">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Generative Art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58.3%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9">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66.7%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B">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83.3%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Digital Painting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58.3%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91.7%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91.7%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83.3%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Abstract Digital Art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83.3%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66.7%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83.3%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7">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91.7%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018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9">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Photography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A">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75.0%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B">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58.3%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D">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91.7%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E">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019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F">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Abstract Physical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0">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58.3%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1">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2">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75.0%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3">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91.7%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020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Physical Drawing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83.3%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7">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9">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91.7%</w:t>
            </w:r>
          </w:p>
        </w:tc>
      </w:tr>
    </w:tbl>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Immediate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observations</w:t>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instability is not evenly distributed across models. Several artworks were highly inconsistent for one model while remaining nearly or completely stable for another.</w:t>
      </w:r>
    </w:p>
    <w:p w:rsidR="00000000" w:rsidDel="00000000" w:rsidP="00000000" w:rsidRDefault="00000000" w:rsidRPr="00000000" w14:paraId="0000009E">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GPT-5 was the most consistently stable reviewer among these lower-performing artworks, achieving 91.7% unanimous decision rates on six of the eight artworks.</w:t>
      </w:r>
    </w:p>
    <w:p w:rsidR="00000000" w:rsidDel="00000000" w:rsidP="00000000" w:rsidRDefault="00000000" w:rsidRPr="00000000" w14:paraId="0000009F">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Gemini 2.5 Flash was responsible for many of the lowest artwork-level consistency scores, including only 33.3% unanimous agreement for Artwork 005.</w:t>
      </w:r>
    </w:p>
    <w:p w:rsidR="00000000" w:rsidDel="00000000" w:rsidP="00000000" w:rsidRDefault="00000000" w:rsidRPr="00000000" w14:paraId="000000A0">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Gemini 3 Flash Preview exhibited an interesting pattern: it achieved 100% unanimous decision rates on four of the eight least consistent artworks overall (017, 018, 019, and 020), while still showing comparatively low consistency on others (e.g., Artwork 012 at 66.7%).</w:t>
      </w:r>
    </w:p>
    <w:p w:rsidR="00000000" w:rsidDel="00000000" w:rsidP="00000000" w:rsidRDefault="00000000" w:rsidRPr="00000000" w14:paraId="000000A1">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GPT-5 Mini was generally stable, but exhibited notable instability on Artwork 020 (50.0%) and Artwork 018 (58.3%), suggesting that consistency challenges were artwork-dependent rather than uniformly distributed.</w:t>
      </w:r>
    </w:p>
    <w:p w:rsidR="00000000" w:rsidDel="00000000" w:rsidP="00000000" w:rsidRDefault="00000000" w:rsidRPr="00000000" w14:paraId="000000A2">
      <w:pPr>
        <w:rPr>
          <w:rFonts w:ascii="Calibri" w:cs="Calibri" w:eastAsia="Calibri" w:hAnsi="Calibri"/>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