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414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14:27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pPr>
        <w:pageBreakBefore/>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להשוואה נלקח רק אזור סטטיסטי שלפחות מחציתו בתוך אזור התעשייה — 53 אזורים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bidi/>
        <w:spacing w:after="60"/>
        <w:jc w:val="right"/>
      </w:pP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414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66.2.</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57%</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74</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18%</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(2%)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9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ריכוזיות השירות: 10% מהאזורים (המשורתים ביותר) מקבלים 53% מכל יציאות האוטובוס בשעות השיא בארץ, ו-5% המובילים מקבלים 37%. האזור החציוני מקבל 73.5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10.7 דק׳; ב-13%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וב-26% פעם בשעה או יותר.</w:t>
      </w:r>
    </w:p>
    <w:p>
      <w:pPr>
        <w:bidi/>
        <w:spacing w:after="160" w:line="300"/>
        <w:jc w:val="right"/>
      </w:pPr>
      <w:r>
        <w:rPr>
          <w:rFonts w:ascii="Arial" w:cs="Arial" w:eastAsia="Arial" w:hAnsi="Arial"/>
          <w:b w:val="false"/>
          <w:bCs w:val="false"/>
          <w:i/>
          <w:iCs/>
          <w:color w:val="475569"/>
          <w:sz w:val="19"/>
          <w:szCs w:val="19"/>
          <w:rtl/>
        </w:rPr>
        <w:t xml:space="preserve">הרשימות המלאות — האזורים בלי תחנה בטווח, האזורים בלי יציאה בשיא, והאזורים שהוצאו מהדירוג — בנספח ב.</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אותן עובדות, בתרשימים</w:t>
      </w:r>
    </w:p>
    <w:p>
      <w:pPr>
        <w:spacing w:after="120"/>
        <w:jc w:val="center"/>
      </w:pPr>
      <w:r>
        <w:drawing>
          <wp:inline distT="0" distB="0" distL="0" distR="0">
            <wp:extent cx="4762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28850"/>
                    </a:xfrm>
                    <a:prstGeom prst="rect">
                      <a:avLst/>
                    </a:prstGeom>
                  </pic:spPr>
                </pic:pic>
              </a:graphicData>
            </a:graphic>
          </wp:inline>
        </w:drawing>
      </w:r>
    </w:p>
    <w:p>
      <w:pPr>
        <w:spacing w:after="120"/>
        <w:jc w:val="center"/>
      </w:pPr>
      <w:r>
        <w:drawing>
          <wp:inline distT="0" distB="0" distL="0" distR="0">
            <wp:extent cx="4762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81375"/>
                    </a:xfrm>
                    <a:prstGeom prst="rect">
                      <a:avLst/>
                    </a:prstGeom>
                  </pic:spPr>
                </pic:pic>
              </a:graphicData>
            </a:graphic>
          </wp:inline>
        </w:drawing>
      </w:r>
    </w:p>
    <w:p>
      <w:pPr>
        <w:spacing w:after="120"/>
        <w:jc w:val="center"/>
      </w:pPr>
      <w:r>
        <w:drawing>
          <wp:inline distT="0" distB="0" distL="0" distR="0">
            <wp:extent cx="4762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143375"/>
                    </a:xfrm>
                    <a:prstGeom prst="rect">
                      <a:avLst/>
                    </a:prstGeom>
                  </pic:spPr>
                </pic:pic>
              </a:graphicData>
            </a:graphic>
          </wp:inline>
        </w:drawing>
      </w:r>
    </w:p>
    <w:p>
      <w:pPr>
        <w:spacing w:after="120"/>
        <w:jc w:val="center"/>
      </w:pPr>
      <w:r>
        <w:drawing>
          <wp:inline distT="0" distB="0" distL="0" distR="0">
            <wp:extent cx="4762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914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ריכוזיות: האזורים מסודרים לפי מספר יציאות השיא ומחולקים לעשרה עשירונים שווים; העמודה היא חלקו של כל עשירון בסך היציאות הארצי.</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(147 אזורים) · "פריפריה" = כל השאר (267).</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147</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71.8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46.6</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267</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bl>
    <w:p>
      <w:pPr>
        <w:bidi/>
        <w:spacing w:after="60"/>
        <w:jc w:val="right"/>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(410 מתוך 414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74.9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bidi/>
        <w:spacing w:after="60"/>
        <w:jc w:val="right"/>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54.7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24.9</w:t>
            </w:r>
          </w:p>
        </w:tc>
      </w:tr>
    </w:tbl>
    <w:p>
      <w:pPr>
        <w:pStyle w:val="Heading2"/>
        <w:pageBreakBefore/>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61 אזורים מתויגים כמגזר מיעוטים, מול 353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42.2</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62.2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75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למה הפערים קטנים ממה שמצפים — פירוק הציון לרכיבים</w:t>
      </w:r>
    </w:p>
    <w:p>
      <w:pPr>
        <w:bidi/>
        <w:spacing w:after="120" w:line="300"/>
        <w:jc w:val="right"/>
      </w:pPr>
      <w:r>
        <w:rPr>
          <w:rFonts w:ascii="Arial" w:cs="Arial" w:eastAsia="Arial" w:hAnsi="Arial"/>
          <w:b w:val="false"/>
          <w:bCs w:val="false"/>
          <w:i w:val="false"/>
          <w:iCs w:val="false"/>
          <w:color w:val="0F172A"/>
          <w:sz w:val="22"/>
          <w:szCs w:val="22"/>
          <w:rtl/>
        </w:rPr>
        <w:t xml:space="preserve">הציון הוא סכום משוקלל של ארבעה רכיבים (0–100 כל אחד): הקו החזק 40%, הנקודה הרחוקה 30%, התדירות הממוצעת 20%, ההליכה ממרכז האזור 10%. הטבלה מציגה לכל קבוצה את ממוצע כל רכיב, ואת תרומתו לציון אחרי השקלול.</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675"/>
        <w:gridCol w:w="771"/>
        <w:gridCol w:w="1157"/>
        <w:gridCol w:w="1157"/>
        <w:gridCol w:w="1157"/>
        <w:gridCol w:w="1060"/>
        <w:gridCol w:w="867"/>
        <w:gridCol w:w="675"/>
        <w:gridCol w:w="578"/>
      </w:tblGrid>
      <w:tr>
        <w:trPr>
          <w:tblHeader/>
        </w:trPr>
        <w:tc>
          <w:tcPr>
            <w:tcW w:type="dxa" w:w="154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(40%)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 (30%)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תדירות ממוצעת (20%)</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ממרכז האזור (10%)</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 חציוני</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עד 0.3 קמ"ר</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(חציון)</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(עד 45 ק"מ)</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71.8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63.3 (25.3)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67.1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86.6 (17.3)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90.1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63.1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50.9 (20.4)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65.2 (19.6)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72.3 (14.5)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87.1 (8.7)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68.5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57.3 (22.9)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69.9 (21)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78 (15.6)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89.8 (9)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74.9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66.9 (26.8)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69.4 (20.8)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90.9 (18.2)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91.1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55.8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40.9 (16.4)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60.9 (18.3)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(12.8)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83.5 (8.3)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58.3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56.2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44.1 (17.6)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56.8 (17)</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66.2 (13.2)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83.7 (8.4)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ללא תיוג מגזרי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65.5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55.1 (22)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64.7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76.4 (15.3)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 (8.8)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בדואים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50.3 (20.1)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64.1 (19.2)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71.9 (14.4)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84.7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73.2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61.1 (24.4)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73.5 (22.1)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87.9 (17.6)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90.5 (9.1)</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bl>
    <w:p>
      <w:pPr>
        <w:bidi/>
        <w:spacing w:after="160" w:line="300"/>
        <w:jc w:val="right"/>
      </w:pPr>
      <w:r>
        <w:rPr>
          <w:rFonts w:ascii="Arial" w:cs="Arial" w:eastAsia="Arial" w:hAnsi="Arial"/>
          <w:b w:val="false"/>
          <w:bCs w:val="false"/>
          <w:i/>
          <w:iCs/>
          <w:color w:val="475569"/>
          <w:sz w:val="19"/>
          <w:szCs w:val="19"/>
          <w:rtl/>
        </w:rPr>
        <w:t xml:space="preserve">בכל תא של רכיב: ממוצע הרכיב, ובסוגריים תרומתו לציון אחרי השקלול.</w:t>
      </w:r>
    </w:p>
    <w:p>
      <w:pPr>
        <w:bidi/>
        <w:spacing w:after="120" w:line="300"/>
        <w:jc w:val="right"/>
      </w:pPr>
      <w:r>
        <w:rPr>
          <w:rFonts w:ascii="Arial" w:cs="Arial" w:eastAsia="Arial" w:hAnsi="Arial"/>
          <w:b w:val="false"/>
          <w:bCs w:val="false"/>
          <w:i w:val="false"/>
          <w:iCs w:val="false"/>
          <w:color w:val="0F172A"/>
          <w:sz w:val="22"/>
          <w:szCs w:val="22"/>
          <w:rtl/>
        </w:rPr>
        <w:t xml:space="preserve">מה רואים: כמעט כל הפער בין הקבוצות נמצא בשני רכיבי התדירות (הקו החזק והתדירות הממוצעת). שני רכיבי ההליכה, שהם 40% מהציון, כמעט זהים בכל הקבוצות — כי רוב אזורי התעשייה בישראל קטנים, ובאזור קטן כל תחנה קרובה לכל נקודה. אזור של 0.2 קמ"ר עם תחנה אחת מקבל 80–100 בשני רכיבי ההליכה בלי קשר לשירות בתחנה. ולכן שתי קבוצות שנבדלות מאוד בתדירות נבדלות בציון פחות ממה שנראה בשטח.</w:t>
      </w:r>
    </w:p>
    <w:p>
      <w:pPr>
        <w:bidi/>
        <w:spacing w:after="120" w:line="300"/>
        <w:jc w:val="right"/>
      </w:pPr>
      <w:r>
        <w:rPr>
          <w:rFonts w:ascii="Arial" w:cs="Arial" w:eastAsia="Arial" w:hAnsi="Arial"/>
          <w:b w:val="false"/>
          <w:bCs w:val="false"/>
          <w:i w:val="false"/>
          <w:iCs w:val="false"/>
          <w:color w:val="0F172A"/>
          <w:sz w:val="22"/>
          <w:szCs w:val="22"/>
          <w:rtl/>
        </w:rPr>
        <w:t xml:space="preserve">בחתך המגזרי מצטרף גורם שני: השוואה בין אזורים, לא בין אוכלוסיות. אזורי התעשייה ביישובים הבדואיים הם קבוצה קטנה, ורובם יושבים על כביש ראשי שעובר בו קו בין-עירוני; מה שאין ביישוב עצמו לא נמדד כאן. הפער האמיתי בין הקבוצות נראה בעמודות התדירות הגולמיות (הקו החזק, חציון בדקות) ולא רק בציון.</w:t>
      </w:r>
    </w:p>
    <w:p>
      <w:pPr>
        <w:bidi/>
        <w:spacing w:after="160" w:line="300"/>
        <w:jc w:val="right"/>
      </w:pPr>
      <w:r>
        <w:rPr>
          <w:rFonts w:ascii="Arial" w:cs="Arial" w:eastAsia="Arial" w:hAnsi="Arial"/>
          <w:b w:val="false"/>
          <w:bCs w:val="false"/>
          <w:i/>
          <w:iCs/>
          <w:color w:val="475569"/>
          <w:sz w:val="19"/>
          <w:szCs w:val="19"/>
          <w:rtl/>
        </w:rPr>
        <w:t xml:space="preserve">הפרשנות של הצוות; המספרים כפי שהם. מי שרוצה פערים חדים יותר יכול לשקול משקל גבוה יותר לתדירות — זו החלטה של הדו"ח, לא של הנתונים.</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הנגב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מעגן מיכאל</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~180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נאות חובב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נאות חובב</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הגלבוע</w:t>
            </w:r>
          </w:p>
        </w:tc>
        <w:tc>
          <w:tcPr>
            <w:tcW w:type="dxa" w:w="964"/>
            <w:shd w:fill="3F0A18"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 הליכה</w:t>
            </w:r>
          </w:p>
        </w:tc>
      </w:tr>
    </w:tbl>
    <w:p>
      <w:pPr>
        <w:pStyle w:val="Heading1"/>
        <w:pageBreakBefore/>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הנגב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טללים</w:t>
            </w:r>
          </w:p>
        </w:tc>
        <w:tc>
          <w:tcPr>
            <w:tcW w:type="dxa" w:w="675"/>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58</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נגב</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מבואות החרמון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מתחם העסקים צומת כח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יפתח</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45</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bl>
    <w:p>
      <w:pPr>
        <w:pStyle w:val="Heading1"/>
        <w:pageBreakBefore/>
        <w:bidi/>
        <w:spacing w:after="160" w:before="240"/>
        <w:jc w:val="right"/>
      </w:pPr>
      <w:r>
        <w:rPr>
          <w:rFonts w:ascii="Arial" w:cs="Arial" w:eastAsia="Arial" w:hAnsi="Arial"/>
          <w:b/>
          <w:bCs/>
          <w:i w:val="false"/>
          <w:iCs w:val="false"/>
          <w:color w:val="043E7E"/>
          <w:sz w:val="34"/>
          <w:szCs w:val="34"/>
          <w:rtl/>
        </w:rPr>
        <w:t xml:space="preserve">9. כשהציון שלנו וציון משרד התחבורה חולקים</w:t>
      </w:r>
    </w:p>
    <w:p>
      <w:pPr>
        <w:bidi/>
        <w:spacing w:after="120" w:line="300"/>
        <w:jc w:val="right"/>
      </w:pPr>
      <w:r>
        <w:rPr>
          <w:rFonts w:ascii="Arial" w:cs="Arial" w:eastAsia="Arial" w:hAnsi="Arial"/>
          <w:b w:val="false"/>
          <w:bCs w:val="false"/>
          <w:i w:val="false"/>
          <w:iCs w:val="false"/>
          <w:color w:val="0F172A"/>
          <w:sz w:val="22"/>
          <w:szCs w:val="22"/>
          <w:rtl/>
        </w:rPr>
        <w:t xml:space="preserve">ציון משרד התחבורה אינו מודד את אותו הדבר. הוא ניתן לאזור סטטיסטי של הלמ"ס (לא לאזור התעשייה), והוא ממוצע של ארבעה מדדים לתושבי האזור: זמינות, נגישות, תחרותיות, אמינות. "תחרותיות" משווה את זמן הנסיעה באוטובוס ליעדים מול הנסיעה ברכב; "נגישות" סופרת לכמה יעדים מגיעים בזמן נתון. הדו"ח הזה מודד דבר אחד: האם עובד מגיע לאזור בשעות השיא, ברגל מהתחנה.</w:t>
      </w:r>
    </w:p>
    <w:p>
      <w:pPr>
        <w:bidi/>
        <w:spacing w:after="120" w:line="300"/>
        <w:jc w:val="right"/>
      </w:pPr>
      <w:r>
        <w:rPr>
          <w:rFonts w:ascii="Arial" w:cs="Arial" w:eastAsia="Arial" w:hAnsi="Arial"/>
          <w:b w:val="false"/>
          <w:bCs w:val="false"/>
          <w:i w:val="false"/>
          <w:iCs w:val="false"/>
          <w:color w:val="0F172A"/>
          <w:sz w:val="22"/>
          <w:szCs w:val="22"/>
          <w:rtl/>
        </w:rPr>
        <w:t xml:space="preserve">לכן ההשוואה נעשית רק כשיש למשרד אזור סטטיסטי שלפחות 50% משטחו בתוך אזור התעשייה — כלומר ציון שניתן לאזור התעשייה עצמו ולא לשכונות שסביבו. כאלה יש 53 מתוך 414 אזורים. ל-303 אזורים נוספים יש רק ציון של האזור הסטטיסטי הסובב; הוא מופיע להקשר, מסומן בכוכבית, ואינו נכנס להשוואה.</w:t>
      </w:r>
    </w:p>
    <w:p>
      <w:pPr>
        <w:bidi/>
        <w:spacing w:after="160" w:line="300"/>
        <w:jc w:val="right"/>
      </w:pPr>
      <w:r>
        <w:rPr>
          <w:rFonts w:ascii="Arial" w:cs="Arial" w:eastAsia="Arial" w:hAnsi="Arial"/>
          <w:b w:val="false"/>
          <w:bCs w:val="false"/>
          <w:i/>
          <w:iCs/>
          <w:color w:val="475569"/>
          <w:sz w:val="19"/>
          <w:szCs w:val="19"/>
          <w:rtl/>
        </w:rPr>
        <w:t xml:space="preserve">על 53 האזורים שיש להם ציון ישיר: מתאם 0.7 בין שני הציונים — אותו כיוון, לא אותו סרגל.</w:t>
      </w:r>
    </w:p>
    <w:p>
      <w:pPr>
        <w:pStyle w:val="Heading2"/>
        <w:bidi/>
        <w:spacing w:after="100" w:before="200"/>
        <w:jc w:val="right"/>
      </w:pPr>
      <w:r>
        <w:rPr>
          <w:rFonts w:ascii="Arial" w:cs="Arial" w:eastAsia="Arial" w:hAnsi="Arial"/>
          <w:b/>
          <w:bCs/>
          <w:i w:val="false"/>
          <w:iCs w:val="false"/>
          <w:color w:val="32318E"/>
          <w:sz w:val="26"/>
          <w:szCs w:val="26"/>
          <w:rtl/>
        </w:rPr>
        <w:t xml:space="preserve">הדוגמאות שנשאלו: צומת הקריות, גב ים, צור שלום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גב ים - קרקעות תעשיה " ג " עמ</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חיפה - א"ת על צומת הקריות</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הציון המסומן בכוכבית הוא של האזור הסטטיסטי הסובב, להקשר בלבד. אצלנו שלושתן 92: הקו החזק כל 5–7 דקות, תחנה בתוך האזור, והעובד המרוחק בטווח 5–12 דקות הליכה.</w:t>
      </w:r>
    </w:p>
    <w:p>
      <w:pPr>
        <w:bidi/>
        <w:spacing w:after="160" w:line="300"/>
        <w:jc w:val="right"/>
      </w:pPr>
      <w:r>
        <w:rPr>
          <w:rFonts w:ascii="Arial" w:cs="Arial" w:eastAsia="Arial" w:hAnsi="Arial"/>
          <w:b w:val="false"/>
          <w:bCs w:val="false"/>
          <w:i/>
          <w:iCs/>
          <w:color w:val="475569"/>
          <w:sz w:val="19"/>
          <w:szCs w:val="19"/>
          <w:rtl/>
        </w:rPr>
        <w:t xml:space="preserve">* ציון האזור הסטטיסטי הסובב — אין אזור סטטיסטי בתוך האזור, ולכן אין השוואה ישירה.</w:t>
      </w:r>
    </w:p>
    <w:p>
      <w:pPr>
        <w:pStyle w:val="Heading2"/>
        <w:bidi/>
        <w:spacing w:after="100" w:before="200"/>
        <w:jc w:val="right"/>
      </w:pPr>
      <w:r>
        <w:rPr>
          <w:rFonts w:ascii="Arial" w:cs="Arial" w:eastAsia="Arial" w:hAnsi="Arial"/>
          <w:b/>
          <w:bCs/>
          <w:i w:val="false"/>
          <w:iCs w:val="false"/>
          <w:color w:val="32318E"/>
          <w:sz w:val="26"/>
          <w:szCs w:val="26"/>
          <w:rtl/>
        </w:rPr>
        <w:t xml:space="preserve">הפערים הגדולים ביותר לשני הכיוונים</w:t>
      </w:r>
    </w:p>
    <w:p>
      <w:pPr>
        <w:bidi/>
        <w:spacing w:after="120" w:line="300"/>
        <w:jc w:val="right"/>
      </w:pPr>
      <w:r>
        <w:rPr>
          <w:rFonts w:ascii="Arial" w:cs="Arial" w:eastAsia="Arial" w:hAnsi="Arial"/>
          <w:b w:val="false"/>
          <w:bCs w:val="false"/>
          <w:i w:val="false"/>
          <w:iCs w:val="false"/>
          <w:color w:val="0F172A"/>
          <w:sz w:val="22"/>
          <w:szCs w:val="22"/>
          <w:rtl/>
        </w:rPr>
        <w:t xml:space="preserve">אצלנו גבוה, במשרד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 עמי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אום אל פחם</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תע"ש רמת השרון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הרצליה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רמת אליהו</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ראשון לציון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~11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כפר סבא - אבו סנינא</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כפר סבא</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בתי זיקוק קישון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עקרון 2000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עקרון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לאה גולדברג - לוד</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לוד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 דק׳</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במשרד גבוה, אצלנו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אבשלום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אשכול</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רמת נגב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רמת הנגב</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חולון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חולון</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מודיעים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שוהם</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~30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 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בת ים</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רמת סיב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קרית המלאכה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תל אביב יפו</w:t>
            </w:r>
          </w:p>
        </w:tc>
        <w:tc>
          <w:tcPr>
            <w:tcW w:type="dxa" w:w="771"/>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93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באר שבע צפון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באר שבע</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דק׳</w:t>
            </w:r>
          </w:p>
        </w:tc>
      </w:tr>
    </w:tbl>
    <w:p>
      <w:pPr>
        <w:bidi/>
        <w:spacing w:after="160" w:line="300"/>
        <w:jc w:val="right"/>
      </w:pPr>
      <w:r>
        <w:rPr>
          <w:rFonts w:ascii="Arial" w:cs="Arial" w:eastAsia="Arial" w:hAnsi="Arial"/>
          <w:b w:val="false"/>
          <w:bCs w:val="false"/>
          <w:i/>
          <w:iCs/>
          <w:color w:val="475569"/>
          <w:sz w:val="19"/>
          <w:szCs w:val="19"/>
          <w:rtl/>
        </w:rPr>
        <w:t xml:space="preserve">הכיוון השני (המשרד גבוה, אנחנו נמוכים) הוא לרוב אזור בתוך עיר משורתת שהתחנות סביבו קרובות לשכונות אבל לא לאזור עצמו, או אזור גדול שהקצה שלו רחוק מכל תחנה.</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10. אותם פערים, לפי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הפרק הזה חוזר על ניתוח הקבוצות של סעיף 6, אבל עם המדד של משרד התחבורה במקום הציון שלנו. הערך שמשמש כאן הוא ציון האזור הסטטיסטי שאזור התעשייה נמצא בו או חופף לו ("הסובב") — מה שהמשרד אומר על השירות במקום, לתושביו. יש כזה ל-356 מתוך 414 אזורים; ממוצע ארצי 34.7. ציון ישיר, של אזור סטטיסטי שבתוך אזור התעשייה, יש רק ל-53 אזורים, והוא מופיע בעמודה האחרונה לצד המספר שלהם.</w:t>
      </w:r>
    </w:p>
    <w:p>
      <w:pPr>
        <w:bidi/>
        <w:spacing w:after="160" w:line="300"/>
        <w:jc w:val="right"/>
      </w:pPr>
      <w:r>
        <w:rPr>
          <w:rFonts w:ascii="Arial" w:cs="Arial" w:eastAsia="Arial" w:hAnsi="Arial"/>
          <w:b w:val="false"/>
          <w:bCs w:val="false"/>
          <w:i/>
          <w:iCs/>
          <w:color w:val="475569"/>
          <w:sz w:val="19"/>
          <w:szCs w:val="19"/>
          <w:rtl/>
        </w:rPr>
        <w:t xml:space="preserve">הסולם של המשרד: 0–100, ממוצע ארבעת המדדים. בקירוב: מתחת ל-30 חלש מאוד, 30–45 חלש, 45–60 בינוני, 60 ומעלה טוב.</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147</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71.8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38.6 (127)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46.6 (35)</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63.1</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32.5 (229)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34.3 (18)</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718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צפון, מרכז, ירושלים ויו"ש,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34.1 (155)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108</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74.9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40.2 (100)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48.2 (31)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56.4 (1)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99</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56.2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28.7 (82)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28.6 (10)</w:t>
            </w:r>
          </w:p>
        </w:tc>
      </w:tr>
    </w:tbl>
    <w:p>
      <w:pPr>
        <w:bidi/>
        <w:spacing w:after="60"/>
        <w:jc w:val="right"/>
      </w:pPr>
    </w:p>
    <w:p>
      <w:pPr>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57475"/>
                    </a:xfrm>
                    <a:prstGeom prst="rect">
                      <a:avLst/>
                    </a:prstGeom>
                  </pic:spPr>
                </pic:pic>
              </a:graphicData>
            </a:graphic>
          </wp:inline>
        </w:drawing>
      </w:r>
    </w:p>
    <w:p>
      <w:pPr>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8006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 (145)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54.7</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28.5 (75)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24.9 (6)</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9718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מגזר מיעוטים (תיוג רשמי)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36.8 (58)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כל שאר האזורים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34.2 (298)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42.2 (51)</w:t>
            </w:r>
          </w:p>
        </w:tc>
      </w:tr>
    </w:tbl>
    <w:p>
      <w:pPr>
        <w:bidi/>
        <w:spacing w:after="60"/>
        <w:jc w:val="right"/>
      </w:pP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847850"/>
                    </a:xfrm>
                    <a:prstGeom prst="rect">
                      <a:avLst/>
                    </a:prstGeom>
                  </pic:spPr>
                </pic:pic>
              </a:graphicData>
            </a:graphic>
          </wp:inline>
        </w:drawing>
      </w:r>
    </w:p>
    <w:p>
      <w:pPr>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718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בתוך המגזר המתויג</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בדואים (צפון ודרום)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62.2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 (16)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דרוזים (כולל רמת הגולן)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66.4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38.8 (9)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38.4 (29)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רשות מעורבת</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48.5 (3)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bl>
    <w:p>
      <w:pPr>
        <w:bidi/>
        <w:spacing w:after="60"/>
        <w:jc w:val="right"/>
      </w:pPr>
    </w:p>
    <w:p>
      <w:pPr>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657475"/>
                    </a:xfrm>
                    <a:prstGeom prst="rect">
                      <a:avLst/>
                    </a:prstGeom>
                  </pic:spPr>
                </pic:pic>
              </a:graphicData>
            </a:graphic>
          </wp:inline>
        </w:drawing>
      </w:r>
    </w:p>
    <w:p>
      <w:pPr>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4800600"/>
                    </a:xfrm>
                    <a:prstGeom prst="rect">
                      <a:avLst/>
                    </a:prstGeom>
                  </pic:spPr>
                </pic:pic>
              </a:graphicData>
            </a:graphic>
          </wp:inline>
        </w:drawing>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1–3 (חלש)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39 (56)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49.8 (4)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4–7 (בינוני)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33.6 (197)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44.7 (28)</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8–10 (חזק)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35.1 (41)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 (6)</w:t>
            </w:r>
          </w:p>
        </w:tc>
      </w:tr>
    </w:tbl>
    <w:p>
      <w:pPr>
        <w:bidi/>
        <w:spacing w:after="60"/>
        <w:jc w:val="right"/>
      </w:pPr>
    </w:p>
    <w:p>
      <w:pPr>
        <w:spacing w:after="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247900"/>
                    </a:xfrm>
                    <a:prstGeom prst="rect">
                      <a:avLst/>
                    </a:prstGeom>
                  </pic:spPr>
                </pic:pic>
              </a:graphicData>
            </a:graphic>
          </wp:inline>
        </w:drawing>
      </w:r>
    </w:p>
    <w:p>
      <w:pPr>
        <w:spacing w:after="120"/>
        <w:jc w:val="center"/>
      </w:pPr>
      <w:r>
        <w:drawing>
          <wp:inline distT="0" distB="0" distL="0" distR="0">
            <wp:extent cx="4572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886200"/>
                    </a:xfrm>
                    <a:prstGeom prst="rect">
                      <a:avLst/>
                    </a:prstGeom>
                  </pic:spPr>
                </pic:pic>
              </a:graphicData>
            </a:graphic>
          </wp:inline>
        </w:drawing>
      </w:r>
    </w:p>
    <w:p>
      <w:pPr>
        <w:bidi/>
        <w:spacing w:after="120" w:line="300"/>
        <w:jc w:val="right"/>
      </w:pPr>
      <w:r>
        <w:rPr>
          <w:rFonts w:ascii="Arial" w:cs="Arial" w:eastAsia="Arial" w:hAnsi="Arial"/>
          <w:b w:val="false"/>
          <w:bCs w:val="false"/>
          <w:i w:val="false"/>
          <w:iCs w:val="false"/>
          <w:color w:val="0F172A"/>
          <w:sz w:val="22"/>
          <w:szCs w:val="22"/>
          <w:rtl/>
        </w:rPr>
        <w:t xml:space="preserve">מה רואים בהשוואה לסעיף 6: המדד של המשרד מודד את מה שקורה לתושבים סביב האזור, ולכן הפערים בו הם פערי מקום — מרכז מול פריפריה — ופחות פערי אזור תעשייה. במקומות שבהם שני המדדים מסכימים, הממצא חזק. במקומות שבהם הם חולקים, סעיף 9 מסביר למה.</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11. דוגמאות: הגרועים ביותר, המצטיינים, והמצטיינים מחוץ למרכזי הערים</w:t>
      </w:r>
    </w:p>
    <w:p>
      <w:pPr>
        <w:bidi/>
        <w:spacing w:after="120" w:line="300"/>
        <w:jc w:val="right"/>
      </w:pPr>
      <w:r>
        <w:rPr>
          <w:rFonts w:ascii="Arial" w:cs="Arial" w:eastAsia="Arial" w:hAnsi="Arial"/>
          <w:b w:val="false"/>
          <w:bCs w:val="false"/>
          <w:i w:val="false"/>
          <w:iCs w:val="false"/>
          <w:color w:val="0F172A"/>
          <w:sz w:val="22"/>
          <w:szCs w:val="22"/>
          <w:rtl/>
        </w:rPr>
        <w:t xml:space="preserve">שתי דוגמאות מכל סוג, מתוך האזורים בשטח 0.3 קמ"ר ומעלה. "מחוץ למרכזי הערים" = יותר מ-15 ק"מ מכל אחד מארבעת מרכזי המטרופולין (תל אביב, חיפה, ירושלים, באר שבע). אתרי פסולת ומחצבות אינם דוגמה, ו"הגרועים ביותר" נבחרים רק מאזורים שבדיקת המבנים מסמנת כבנויים בוודאות. כל דוגמה על רקע מפת רחובות: גבול האזור, התחנות בצבעי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הגרועים ביותר</w:t>
      </w:r>
    </w:p>
    <w:p>
      <w:pPr>
        <w:bidi/>
        <w:spacing w:after="120" w:before="120"/>
        <w:jc w:val="right"/>
      </w:pPr>
      <w:r>
        <w:rPr>
          <w:rFonts w:ascii="Arial" w:cs="Arial" w:eastAsia="Arial" w:hAnsi="Arial"/>
          <w:b/>
          <w:bCs/>
          <w:i w:val="false"/>
          <w:iCs w:val="false"/>
          <w:color w:val="32318E"/>
          <w:sz w:val="26"/>
          <w:szCs w:val="26"/>
          <w:rtl/>
        </w:rPr>
        <w:t xml:space="preserve">פארק תעשיות ראם · בני עי''ש</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spacing w:after="120"/>
        <w:jc w:val="center"/>
      </w:pPr>
      <w:r>
        <w:drawing>
          <wp:inline distT="0" distB="0" distL="0" distR="0">
            <wp:extent cx="4953000" cy="629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62960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פארק תעשיות צבאים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0.63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spacing w:after="120"/>
        <w:jc w:val="center"/>
      </w:pPr>
      <w:r>
        <w:drawing>
          <wp:inline distT="0" distB="0" distL="0" distR="0">
            <wp:extent cx="4953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4533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המצטיינים</w:t>
      </w:r>
    </w:p>
    <w:p>
      <w:pPr>
        <w:bidi/>
        <w:spacing w:after="120" w:before="120"/>
        <w:jc w:val="right"/>
      </w:pPr>
      <w:r>
        <w:rPr>
          <w:rFonts w:ascii="Arial" w:cs="Arial" w:eastAsia="Arial" w:hAnsi="Arial"/>
          <w:b/>
          <w:bCs/>
          <w:i w:val="false"/>
          <w:iCs w:val="false"/>
          <w:color w:val="32318E"/>
          <w:sz w:val="26"/>
          <w:szCs w:val="26"/>
          <w:rtl/>
        </w:rPr>
        <w:t xml:space="preserve">פתח תקווה - תעשיה זעירה · פתח תקווה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93</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0.35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~8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מסוף משה ארנס/אבשלום גיסין · משה סנה/איסר הראל · משה סנה/ איסר הראל · קונסרבטוריון/מבצע יפתח</w:t>
      </w:r>
    </w:p>
    <w:p>
      <w:pPr>
        <w:spacing w:after="120"/>
        <w:jc w:val="center"/>
      </w:pPr>
      <w:r>
        <w:drawing>
          <wp:inline distT="0" distB="0" distL="0" distR="0">
            <wp:extent cx="4953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45815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חיפה - א"ת על צומת הקריות · חיפה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92</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0.45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ההסתדרות/צומת הקריות · שדרות ההסתדרות/צומת הקריות</w:t>
      </w:r>
    </w:p>
    <w:p>
      <w:pPr>
        <w:spacing w:after="120"/>
        <w:jc w:val="center"/>
      </w:pPr>
      <w:r>
        <w:drawing>
          <wp:inline distT="0" distB="0" distL="0" distR="0">
            <wp:extent cx="49530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49053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2"/>
        <w:pageBreakBefore/>
        <w:bidi/>
        <w:spacing w:after="100" w:before="200"/>
        <w:jc w:val="right"/>
      </w:pPr>
      <w:r>
        <w:rPr>
          <w:rFonts w:ascii="Arial" w:cs="Arial" w:eastAsia="Arial" w:hAnsi="Arial"/>
          <w:b/>
          <w:bCs/>
          <w:i w:val="false"/>
          <w:iCs w:val="false"/>
          <w:color w:val="32318E"/>
          <w:sz w:val="26"/>
          <w:szCs w:val="26"/>
          <w:rtl/>
        </w:rPr>
        <w:t xml:space="preserve">המצטיינים מחוץ למרכזי הערים</w:t>
      </w:r>
    </w:p>
    <w:p>
      <w:pPr>
        <w:bidi/>
        <w:spacing w:after="120" w:before="120"/>
        <w:jc w:val="right"/>
      </w:pPr>
      <w:r>
        <w:rPr>
          <w:rFonts w:ascii="Arial" w:cs="Arial" w:eastAsia="Arial" w:hAnsi="Arial"/>
          <w:b/>
          <w:bCs/>
          <w:i w:val="false"/>
          <w:iCs w:val="false"/>
          <w:color w:val="32318E"/>
          <w:sz w:val="26"/>
          <w:szCs w:val="26"/>
          <w:rtl/>
        </w:rPr>
        <w:t xml:space="preserve">אזור התעשיה פולג · נתניה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איקאה/שדרות גיבורי ישראל · מרכז ביג/שדרות גיבורי ישראל · שדרות גיבורי ישראל/הבונים · שד. גיבורי ישראל/הבונים</w:t>
      </w:r>
    </w:p>
    <w:p>
      <w:pPr>
        <w:spacing w:after="120"/>
        <w:jc w:val="center"/>
      </w:pPr>
      <w:r>
        <w:drawing>
          <wp:inline distT="0" distB="0" distL="0" distR="0">
            <wp:extent cx="49530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54768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תעשייה עפולה · עפולה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0.54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המלאכה/יהושע חנקין · משרד הפנים/שדרות מנחם בגין · קהילת ציון/המלאכה · משרד הפנים/חנקין</w:t>
      </w:r>
    </w:p>
    <w:p>
      <w:pPr>
        <w:spacing w:after="120"/>
        <w:jc w:val="center"/>
      </w:pPr>
      <w:r>
        <w:drawing>
          <wp:inline distT="0" distB="0" distL="0" distR="0">
            <wp:extent cx="49530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48291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pStyle w:val="Heading1"/>
        <w:pageBreakBefore/>
        <w:bidi/>
        <w:spacing w:after="160" w:before="240"/>
        <w:jc w:val="right"/>
      </w:pPr>
      <w:r>
        <w:rPr>
          <w:rFonts w:ascii="Arial" w:cs="Arial" w:eastAsia="Arial" w:hAnsi="Arial"/>
          <w:b/>
          <w:bCs/>
          <w:i w:val="false"/>
          <w:iCs w:val="false"/>
          <w:color w:val="043E7E"/>
          <w:sz w:val="34"/>
          <w:szCs w:val="34"/>
          <w:rtl/>
        </w:rPr>
        <w:t xml:space="preserve">נספח ב: רשימות מלאות</w:t>
      </w:r>
    </w:p>
    <w:p>
      <w:pPr>
        <w:pStyle w:val="Heading2"/>
        <w:bidi/>
        <w:spacing w:after="100" w:before="200"/>
        <w:jc w:val="right"/>
      </w:pPr>
      <w:r>
        <w:rPr>
          <w:rFonts w:ascii="Arial" w:cs="Arial" w:eastAsia="Arial" w:hAnsi="Arial"/>
          <w:b/>
          <w:bCs/>
          <w:i w:val="false"/>
          <w:iCs w:val="false"/>
          <w:color w:val="32318E"/>
          <w:sz w:val="26"/>
          <w:szCs w:val="26"/>
          <w:rtl/>
        </w:rPr>
        <w:t xml:space="preserve">אזורים בלי אף תחנה בטווח 20 דקות הליכה (6)</w:t>
      </w:r>
    </w:p>
    <w:p>
      <w:pPr>
        <w:bidi/>
        <w:spacing w:after="120" w:line="300"/>
        <w:jc w:val="right"/>
      </w:pPr>
      <w:r>
        <w:rPr>
          <w:rFonts w:ascii="Arial" w:cs="Arial" w:eastAsia="Arial" w:hAnsi="Arial"/>
          <w:b w:val="false"/>
          <w:bCs w:val="false"/>
          <w:i w:val="false"/>
          <w:iCs w:val="false"/>
          <w:color w:val="0F172A"/>
          <w:sz w:val="22"/>
          <w:szCs w:val="22"/>
          <w:rtl/>
        </w:rPr>
        <w:t xml:space="preserve">הרף: תחנת אוטובוס פעילה בטווח 20 דקות הליכה אמיתית מכל נקודה באזור. אזורים שהוצאו מהדירוג (בהקמה, לא פעילים, מתקנים סגורים) אינם כאן — הם בטבלה השלישית.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אזורים בלי אף יציאת אוטובוס שימושית בשעות השיא (9)</w:t>
      </w:r>
    </w:p>
    <w:p>
      <w:pPr>
        <w:bidi/>
        <w:spacing w:after="120" w:line="300"/>
        <w:jc w:val="right"/>
      </w:pPr>
      <w:r>
        <w:rPr>
          <w:rFonts w:ascii="Arial" w:cs="Arial" w:eastAsia="Arial" w:hAnsi="Arial"/>
          <w:b w:val="false"/>
          <w:bCs w:val="false"/>
          <w:i w:val="false"/>
          <w:iCs w:val="false"/>
          <w:color w:val="0F172A"/>
          <w:sz w:val="22"/>
          <w:szCs w:val="22"/>
          <w:rtl/>
        </w:rPr>
        <w:t xml:space="preserve">יש בהם תחנה בטווח, אבל אף קו לא נכנס בשיא הבוקר ולא יוצא בשיא אחר הצהריים (קווי תלמידים ולילה אינם נספרים).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bidi/>
        <w:spacing w:after="100" w:before="200"/>
        <w:jc w:val="right"/>
      </w:pPr>
      <w:r>
        <w:rPr>
          <w:rFonts w:ascii="Arial" w:cs="Arial" w:eastAsia="Arial" w:hAnsi="Arial"/>
          <w:b/>
          <w:bCs/>
          <w:i w:val="false"/>
          <w:iCs w:val="false"/>
          <w:color w:val="32318E"/>
          <w:sz w:val="26"/>
          <w:szCs w:val="26"/>
          <w:rtl/>
        </w:rPr>
        <w:t xml:space="preserve">אזורים שהוצאו מהדירוג, ולמה</w:t>
      </w:r>
    </w:p>
    <w:p>
      <w:pPr>
        <w:bidi/>
        <w:spacing w:after="120" w:line="300"/>
        <w:jc w:val="right"/>
      </w:pPr>
      <w:r>
        <w:rPr>
          <w:rFonts w:ascii="Arial" w:cs="Arial" w:eastAsia="Arial" w:hAnsi="Arial"/>
          <w:b w:val="false"/>
          <w:bCs w:val="false"/>
          <w:i w:val="false"/>
          <w:iCs w:val="false"/>
          <w:color w:val="0F172A"/>
          <w:sz w:val="22"/>
          <w:szCs w:val="22"/>
          <w:rtl/>
        </w:rPr>
        <w:t xml:space="preserve">ביד, אחרי בדיקה (איריס דור-און ומקורות פתוחים): 5 אזורים. אוטומטית, לפי ספירת מבנים ב-OpenStreetMap ("טרם נבנה" — בלי מבנים ובלי סימני חיים): 7 אזורים.</w:t>
      </w:r>
    </w:p>
    <w:p>
      <w:pPr>
        <w:bidi/>
        <w:spacing w:after="160" w:line="300"/>
        <w:jc w:val="right"/>
      </w:pPr>
      <w:r>
        <w:rPr>
          <w:rFonts w:ascii="Arial" w:cs="Arial" w:eastAsia="Arial" w:hAnsi="Arial"/>
          <w:b w:val="false"/>
          <w:bCs w:val="false"/>
          <w:i/>
          <w:iCs/>
          <w:color w:val="475569"/>
          <w:sz w:val="19"/>
          <w:szCs w:val="19"/>
          <w:rtl/>
        </w:rPr>
        <w:t xml:space="preserve">עוד 52 אזורים מסומנים בבדיקת המבנים "בנוי חלקית" (מעט מבנים ממופים, אבל תחנות בפנים, רשת כבישים או עסקים). הם נשארים בדירוג: הסימון משקף בעיקר מיפוי חלקי של מבנים ב-OpenStreetMap, שחלש יותר ביישובים ערביים ובפארקים עם מבנים גדולים ומעטים — לא סטטוס בנייה. ביניהם: תע"ש רמת השרון, נשר רמלה, מודיעים, אשדוד צפון חדש, עידן הנגב דרום, אתר לסילוק פסולת דודאים, ירוחם, מעלה-ירושלים.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120"/>
        <w:gridCol w:w="4626"/>
        <w:gridCol w:w="2891"/>
      </w:tblGrid>
      <w:tr>
        <w:trPr>
          <w:tblHeader/>
        </w:trPr>
        <w:tc>
          <w:tcPr>
            <w:tcW w:type="dxa" w:w="2120"/>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462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הסיבה</w:t>
            </w:r>
          </w:p>
        </w:tc>
        <w:tc>
          <w:tcPr>
            <w:tcW w:type="dxa" w:w="2891"/>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המקור</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בהקמה — מתחם אלביט (תעש לשעבר) בבנייה, טרם מאוכלס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כלכליסט, תוכנית 621-0479709; 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לא פעיל — שדה התעופה נסגר לטיסות אזרחיות</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שער הירדן</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תוכנית שלא מומשה — אזור התעשייה המשותף עם ירדן תקוע שנים; אין מבנים (OSM: 0)</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ויקיפדיה; מעריב 2025; בדיקת מבנים</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שטח הרחבה מתוכנן (פארק עוגנים, 2,500 דונם) — לפי הפרסומים טרם מאוכלס; ממתין לאישור איריס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נט, מינהלת אזורי תעשייה אשדוד</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מתקן סגור (המרכז למחקר גרעיני) — הסעות מאורגנות, לא אזור תעשייה ציבורי</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מהות המתקן</w:t>
            </w:r>
          </w:p>
        </w:tc>
      </w:tr>
    </w:tbl>
    <w:p>
      <w:pPr>
        <w:bidi/>
        <w:spacing w:after="60"/>
        <w:jc w:val="right"/>
      </w:pP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3470"/>
        <w:gridCol w:w="1928"/>
        <w:gridCol w:w="1349"/>
        <w:gridCol w:w="1446"/>
        <w:gridCol w:w="1446"/>
      </w:tblGrid>
      <w:tr>
        <w:trPr>
          <w:tblHeader/>
        </w:trPr>
        <w:tc>
          <w:tcPr>
            <w:tcW w:type="dxa" w:w="3470"/>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92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סטטוס</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14.29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עברונה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מעלה-עמוס</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 עמוס</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pStyle w:val="Heading1"/>
        <w:pageBreakBefore/>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14:27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72db99bd050ef9defced6ff437a475dec0d33e.png"/><Relationship Id="rId9" Type="http://schemas.openxmlformats.org/officeDocument/2006/relationships/image" Target="media/d291d8cdfc7ac0d6dcf996a65a7d6f72308d2110.png"/><Relationship Id="rId10" Type="http://schemas.openxmlformats.org/officeDocument/2006/relationships/image" Target="media/5e6a6a1d56b8d26cbbdd86bd7c1e8279c7d62fba.png"/><Relationship Id="rId11" Type="http://schemas.openxmlformats.org/officeDocument/2006/relationships/image" Target="media/1770c1734910c98297727f1bde06b070ac4e56a9.png"/><Relationship Id="rId12" Type="http://schemas.openxmlformats.org/officeDocument/2006/relationships/image" Target="media/0d27c6366df04c551ef05307b4e01aa7ae68a92b.png"/><Relationship Id="rId13" Type="http://schemas.openxmlformats.org/officeDocument/2006/relationships/image" Target="media/c1c27d30b07f94dd4ceb758a5eb60aeb856c44b1.png"/><Relationship Id="rId14" Type="http://schemas.openxmlformats.org/officeDocument/2006/relationships/image" Target="media/7d0caefd2b8ea54bbd88f3dec0001a9fd3739a9e.png"/><Relationship Id="rId15" Type="http://schemas.openxmlformats.org/officeDocument/2006/relationships/image" Target="media/b3a1c206f253b3c93a1d5e0b1355290bf6e1e60e.png"/><Relationship Id="rId16" Type="http://schemas.openxmlformats.org/officeDocument/2006/relationships/image" Target="media/1fad2aa9b67e3f8ec397795034b1338ebbad6193.png"/><Relationship Id="rId17" Type="http://schemas.openxmlformats.org/officeDocument/2006/relationships/image" Target="media/33d5733b83a1e4e6cfb9eeca7380b412ff639958.png"/><Relationship Id="rId18" Type="http://schemas.openxmlformats.org/officeDocument/2006/relationships/image" Target="media/4ed64771985a01002174218d171f19c36751b185.png"/><Relationship Id="rId19" Type="http://schemas.openxmlformats.org/officeDocument/2006/relationships/image" Target="media/8d7c1d29fecb96f3bf2f1edba34d791bc1293f59.png"/><Relationship Id="rId20" Type="http://schemas.openxmlformats.org/officeDocument/2006/relationships/image" Target="media/936b5a9324dff8a3186ceca6eae2900324f24002.png"/><Relationship Id="rId21" Type="http://schemas.openxmlformats.org/officeDocument/2006/relationships/image" Target="media/2e9863474f15e4ca58f59e30d5cf3326011db941.png"/><Relationship Id="rId22" Type="http://schemas.openxmlformats.org/officeDocument/2006/relationships/image" Target="media/48784b8d08c0d06e5ed472bb73bf6ecc5fe3940d.png"/><Relationship Id="rId23" Type="http://schemas.openxmlformats.org/officeDocument/2006/relationships/image" Target="media/0de6a4acbd268bd51a11297a6dd376649b05e296.png"/><Relationship Id="rId24" Type="http://schemas.openxmlformats.org/officeDocument/2006/relationships/image" Target="media/fbda0ab52ceef8b64824be2af28fb7197064bafc.png"/><Relationship Id="rId25" Type="http://schemas.openxmlformats.org/officeDocument/2006/relationships/image" Target="media/53cc622f4f884cd904e49368039ee2f70501114f.png"/><Relationship Id="rId26" Type="http://schemas.openxmlformats.org/officeDocument/2006/relationships/image" Target="media/34575dacbb92ab3b9f961709056d413bc55da1e7.png"/><Relationship Id="rId27" Type="http://schemas.openxmlformats.org/officeDocument/2006/relationships/image" Target="media/3432e602b2199875dbf569bc3c12c7f51d9b7ec7.png"/><Relationship Id="rId28" Type="http://schemas.openxmlformats.org/officeDocument/2006/relationships/image" Target="media/ea8c3bcabcd3a0d3674cd337f8316b79f2034c58.png"/><Relationship Id="rId29" Type="http://schemas.openxmlformats.org/officeDocument/2006/relationships/image" Target="media/5381ea1590e8fb706be92dde25542a1697b7a1ad.png"/><Relationship Id="rId30" Type="http://schemas.openxmlformats.org/officeDocument/2006/relationships/image" Target="media/aa607f9a358db725f97343d23165ec8106b47d61.png"/><Relationship Id="rId31" Type="http://schemas.openxmlformats.org/officeDocument/2006/relationships/image" Target="media/0ad6cc68ce17ac8e2ae328d9b965e94597f99f34.png"/><Relationship Id="rId32" Type="http://schemas.openxmlformats.org/officeDocument/2006/relationships/image" Target="media/a41f22ec65f0dea0e3b5623e71ddfb62563d3210.png"/><Relationship Id="rId33" Type="http://schemas.openxmlformats.org/officeDocument/2006/relationships/image" Target="media/36fff295a2158caf017532300ccffc0fd85585ae.png"/><Relationship Id="rId34" Type="http://schemas.openxmlformats.org/officeDocument/2006/relationships/image" Target="media/2d1161aaed80d17468badd65bedfe533d12a47e4.png"/><Relationship Id="rId35" Type="http://schemas.openxmlformats.org/officeDocument/2006/relationships/image" Target="media/ab8f285e018be7c6ec87c7acdf400890d34b870a.png"/><Relationship Id="rId36" Type="http://schemas.openxmlformats.org/officeDocument/2006/relationships/image" Target="media/44d0d49a5a5eaaee6e4a09a46b09c5e603db2aac.png"/><Relationship Id="rId37" Type="http://schemas.openxmlformats.org/officeDocument/2006/relationships/image" Target="media/88728b7bebd638d6e03794b9fbbf0f3adf279f44.png"/><Relationship Id="rId38" Type="http://schemas.openxmlformats.org/officeDocument/2006/relationships/image" Target="media/4902abbf738f1d3bcd53fe2f96d769ae6b643c0d.png"/><Relationship Id="rId39" Type="http://schemas.openxmlformats.org/officeDocument/2006/relationships/image" Target="media/6d91bae1b99a05710c91055f26e6b7d5489b3129.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2026-09-02T11:28:40.512Z</dcterms:created>
  <dcterms:modified xsi:type="dcterms:W3CDTF">2026-09-02T11:28:40.512Z</dcterms:modified>
</cp:coreProperties>
</file>

<file path=docProps/custom.xml><?xml version="1.0" encoding="utf-8"?>
<Properties xmlns="http://schemas.openxmlformats.org/officeDocument/2006/custom-properties" xmlns:vt="http://schemas.openxmlformats.org/officeDocument/2006/docPropsVTypes"/>
</file>