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600"/>
        <w:jc w:val="right"/>
      </w:pPr>
      <w:r>
        <w:rPr>
          <w:rFonts w:ascii="Arial" w:cs="Arial" w:eastAsia="Arial" w:hAnsi="Arial"/>
          <w:b/>
          <w:bCs/>
          <w:i w:val="false"/>
          <w:iCs w:val="false"/>
          <w:color w:val="043E7E"/>
          <w:sz w:val="52"/>
          <w:szCs w:val="52"/>
          <w:rtl/>
        </w:rPr>
        <w:t xml:space="preserve">נגישות אזורי התעשייה בישראל לתחבורה ציבורית</w:t>
      </w:r>
    </w:p>
    <w:p>
      <w:pPr>
        <w:bidi/>
        <w:spacing w:after="400" w:line="300"/>
        <w:jc w:val="right"/>
      </w:pPr>
      <w:r>
        <w:rPr>
          <w:rFonts w:ascii="Arial" w:cs="Arial" w:eastAsia="Arial" w:hAnsi="Arial"/>
          <w:b w:val="false"/>
          <w:bCs w:val="false"/>
          <w:i w:val="false"/>
          <w:iCs w:val="false"/>
          <w:color w:val="32318E"/>
          <w:sz w:val="28"/>
          <w:szCs w:val="28"/>
          <w:rtl/>
        </w:rPr>
        <w:t xml:space="preserve">תמונת מצב ארצית · 421 אזורי תעשייה ותעסוקה</w:t>
      </w:r>
    </w:p>
    <w:p>
      <w:pPr>
        <w:bidi/>
        <w:spacing w:after="120" w:line="300"/>
        <w:jc w:val="right"/>
      </w:pPr>
      <w:r>
        <w:rPr>
          <w:rFonts w:ascii="Arial" w:cs="Arial" w:eastAsia="Arial" w:hAnsi="Arial"/>
          <w:b w:val="false"/>
          <w:bCs w:val="false"/>
          <w:i w:val="false"/>
          <w:iCs w:val="false"/>
          <w:color w:val="475569"/>
          <w:sz w:val="20"/>
          <w:szCs w:val="20"/>
          <w:rtl/>
        </w:rPr>
        <w:t xml:space="preserve">נתוני משרד התחבורה (GTFS) מיום 2026-09-02 · הדו"ח חושב מהנתונים החיים ב-02.09.2026 12:06 (שעון ישראל)</w:t>
      </w:r>
    </w:p>
    <w:p>
      <w:pPr>
        <w:bidi/>
        <w:spacing w:after="120" w:line="300"/>
        <w:jc w:val="right"/>
      </w:pPr>
      <w:r>
        <w:rPr>
          <w:rFonts w:ascii="Arial" w:cs="Arial" w:eastAsia="Arial" w:hAnsi="Arial"/>
          <w:b w:val="false"/>
          <w:bCs w:val="false"/>
          <w:i w:val="false"/>
          <w:iCs w:val="false"/>
          <w:color w:val="475569"/>
          <w:sz w:val="20"/>
          <w:szCs w:val="20"/>
          <w:rtl/>
        </w:rPr>
        <w:t xml:space="preserve">הקו הבוחן · אתר "נגישות אזורי תעשייה" · transit-freak.github.io/kav-bochan/parks</w:t>
      </w:r>
    </w:p>
    <w:p>
      <w:pPr>
        <w:bidi/>
        <w:spacing w:after="0" w:line="300"/>
        <w:jc w:val="right"/>
      </w:pPr>
      <w:r>
        <w:rPr>
          <w:rFonts w:ascii="Arial" w:cs="Arial" w:eastAsia="Arial" w:hAnsi="Arial"/>
          <w:b w:val="false"/>
          <w:bCs w:val="false"/>
          <w:i/>
          <w:iCs/>
          <w:color w:val="B45309"/>
          <w:sz w:val="22"/>
          <w:szCs w:val="22"/>
          <w:rtl/>
        </w:rPr>
        <w:t xml:space="preserve">[מקום להקדמה של איריס]</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תוכן העניינים</w:t>
      </w:r>
    </w:p>
    <w:sdt>
      <w:sdtPr>
        <w:alias w:val="תוכן"/>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1. מקורות הנתונים</w:t>
      </w:r>
    </w:p>
    <w:p>
      <w:pPr>
        <w:bidi/>
        <w:spacing w:after="120" w:line="300"/>
        <w:jc w:val="right"/>
      </w:pPr>
      <w:r>
        <w:rPr>
          <w:rFonts w:ascii="Arial" w:cs="Arial" w:eastAsia="Arial" w:hAnsi="Arial"/>
          <w:b w:val="false"/>
          <w:bCs w:val="false"/>
          <w:i w:val="false"/>
          <w:iCs w:val="false"/>
          <w:color w:val="0F172A"/>
          <w:sz w:val="22"/>
          <w:szCs w:val="22"/>
          <w:rtl/>
        </w:rPr>
        <w:t xml:space="preserve">כל נתון בדו"ח ובאתר נשאב ממקור ציבורי מזוהה. הטבלה מפרטת מאיזה מאגר הגיע כל רכיב, ומתי.</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313"/>
        <w:gridCol w:w="3855"/>
        <w:gridCol w:w="1157"/>
        <w:gridCol w:w="2313"/>
      </w:tblGrid>
      <w:tr>
        <w:trPr>
          <w:tblHeader/>
        </w:trPr>
        <w:tc>
          <w:tcPr>
            <w:tcW w:type="dxa" w:w="2313"/>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הנתון</w:t>
            </w:r>
          </w:p>
        </w:tc>
        <w:tc>
          <w:tcPr>
            <w:tcW w:type="dxa" w:w="3855"/>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המאגר</w:t>
            </w:r>
          </w:p>
        </w:tc>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תאריך</w:t>
            </w:r>
          </w:p>
        </w:tc>
        <w:tc>
          <w:tcPr>
            <w:tcW w:type="dxa" w:w="2313"/>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הערה</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מסלולי הקווים, התחנות ולוחות הזמנים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קובץ ה-GTFS הרשמי של משרד התחבורה והבטיחות בדרכים (gtfs.mot.gov.il)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2026-09-02</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יום חול רגיל; קווי תלמידים ולילה מוחרגים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גבולות אזורי התעשייה — הרשימה הרשמית</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שכבת "תחום אזורי תעשיה תעסוקה", משרד התחבורה, data.gov.il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2026-09-02</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נמשך מחדש בכל בנייה שבועית</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מפעלים, שטחים ומחוז</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"רשימת איזורי תעשייה", משרד הכלכלה והתעשייה, data.gov.il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2026-09-02</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29 אזורים מוצמדים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ציון השירות של משרד התחבורה</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מדדי שירות בתחבורה ציבורית — משרד התחבורה והבטיחות בדרכים</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2025-11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3684 אזורים סטטיסטיים; האזור מקבל את ציון האזור הסטטיסטי שבו הוא נמצא</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אימות קיום, מבנים וחלק מהגבולות</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OpenStreetMap (ODbL)</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2026-07-21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פאנל אימות; 129 אזורים מאומתים</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זמני הליכה אמיתיים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OSRM על רשת OpenStreetMap, פרופיל הליכה מותאם (כבישים פרטיים ורמפות מותרים), 5 קמ״ש</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2026-09-02</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שומר גאומטרי לכשלי ניתוב</w:t>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סטטוס בנייה (אזורים בהקמה מוחרגים)</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צפיפות מבנים ב-OSM</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2026-08-30</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
            </w:r>
          </w:p>
        </w:tc>
      </w:tr>
      <w:tr>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אשכול חברתי-כלכלי</w:t>
            </w:r>
          </w:p>
        </w:tc>
        <w:tc>
          <w:tcPr>
            <w:tcW w:type="dxa" w:w="3855"/>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אשכול כלכלי חברתי של מועצות מקומיות ויישובים לשנת 2019 + למ"ס — המדד החברתי-כלכלי 2021 (24_24_230t1.xlsx)</w:t>
            </w:r>
          </w:p>
        </w:tc>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2021</w:t>
            </w:r>
          </w:p>
        </w:tc>
        <w:tc>
          <w:tcPr>
            <w:tcW w:type="dxa" w:w="2313"/>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
            </w:r>
          </w:p>
        </w:tc>
      </w:tr>
    </w:tbl>
    <w:p>
      <w:pPr>
        <w:bidi/>
        <w:spacing w:after="160" w:line="300"/>
        <w:jc w:val="right"/>
      </w:pPr>
      <w:r>
        <w:rPr>
          <w:rFonts w:ascii="Arial" w:cs="Arial" w:eastAsia="Arial" w:hAnsi="Arial"/>
          <w:b w:val="false"/>
          <w:bCs w:val="false"/>
          <w:i/>
          <w:iCs/>
          <w:color w:val="475569"/>
          <w:sz w:val="19"/>
          <w:szCs w:val="19"/>
          <w:rtl/>
        </w:rPr>
        <w:t xml:space="preserve">הדו"ח נבנה מחדש מהנתונים החיים בכל הרצה, כמו האתר עצמו. אין בו מספר מוקלד.</w:t>
      </w:r>
    </w:p>
    <w:p>
      <w:pPr>
        <w:spacing w:after="60"/>
      </w:pPr>
    </w:p>
    <w:p>
      <w:pPr>
        <w:pStyle w:val="Heading1"/>
        <w:bidi/>
        <w:spacing w:after="160" w:before="240"/>
        <w:jc w:val="right"/>
      </w:pPr>
      <w:r>
        <w:rPr>
          <w:rFonts w:ascii="Arial" w:cs="Arial" w:eastAsia="Arial" w:hAnsi="Arial"/>
          <w:b/>
          <w:bCs/>
          <w:i w:val="false"/>
          <w:iCs w:val="false"/>
          <w:color w:val="043E7E"/>
          <w:sz w:val="34"/>
          <w:szCs w:val="34"/>
          <w:rtl/>
        </w:rPr>
        <w:t xml:space="preserve">2. שיטת החישוב</w:t>
      </w:r>
    </w:p>
    <w:p>
      <w:pPr>
        <w:pStyle w:val="Heading2"/>
        <w:bidi/>
        <w:spacing w:after="100" w:before="200"/>
        <w:jc w:val="right"/>
      </w:pPr>
      <w:r>
        <w:rPr>
          <w:rFonts w:ascii="Arial" w:cs="Arial" w:eastAsia="Arial" w:hAnsi="Arial"/>
          <w:b/>
          <w:bCs/>
          <w:i w:val="false"/>
          <w:iCs w:val="false"/>
          <w:color w:val="32318E"/>
          <w:sz w:val="26"/>
          <w:szCs w:val="26"/>
          <w:rtl/>
        </w:rPr>
        <w:t xml:space="preserve">הציון המשוקלל של האתר</w:t>
      </w:r>
    </w:p>
    <w:p>
      <w:pPr>
        <w:bidi/>
        <w:spacing w:after="120" w:line="300"/>
        <w:jc w:val="right"/>
      </w:pPr>
      <w:r>
        <w:rPr>
          <w:rFonts w:ascii="Arial" w:cs="Arial" w:eastAsia="Arial" w:hAnsi="Arial"/>
          <w:b w:val="false"/>
          <w:bCs w:val="false"/>
          <w:i w:val="false"/>
          <w:iCs w:val="false"/>
          <w:color w:val="0F172A"/>
          <w:sz w:val="22"/>
          <w:szCs w:val="22"/>
          <w:rtl/>
        </w:rPr>
        <w:t xml:space="preserve">לכל אזור מחושב ציון 0–100 מארבעה רכיבים. כל רכיב מקבל ציון לפי טבלת מדרגות, והציונים משוקללים לפי המשקלים שנקבעו ב-02.09.2026.</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2506"/>
        <w:gridCol w:w="5783"/>
        <w:gridCol w:w="1349"/>
      </w:tblGrid>
      <w:tr>
        <w:trPr>
          <w:tblHeader/>
        </w:trPr>
        <w:tc>
          <w:tcPr>
            <w:tcW w:type="dxa" w:w="2506"/>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הרכיב</w:t>
            </w:r>
          </w:p>
        </w:tc>
        <w:tc>
          <w:tcPr>
            <w:tcW w:type="dxa" w:w="578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מה נמדד</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משקל</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הקו החזק בשיא הבוקר</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הקו עם הכי הרבה יציאות בין 06:00 ל-09:00 בכיוון האזור, בכיוון בודד: כל כמה דקות הוא יוצא</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40%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הנקודה הרחוקה</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כמה דקות הולך ברגל העובד במפעל המרוחק ביותר באזור עד התחנה הקרובה אליו, במסלול אמיתי על רשת הרחובות</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התדירות הממוצעת בשיא</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כל יציאות האוטובוס השימושיות ב-7 שעות השיא, לכיוון: בבוקר אל האזור, אחר הצהריים ממנו</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w:t>
            </w:r>
          </w:p>
        </w:tc>
      </w:tr>
      <w:tr>
        <w:tc>
          <w:tcPr>
            <w:tcW w:type="dxa" w:w="2506"/>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הליכה ממרכז האזור</w:t>
            </w:r>
          </w:p>
        </w:tc>
        <w:tc>
          <w:tcPr>
            <w:tcW w:type="dxa" w:w="578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דקות הליכה ממרכז הפוליגון לתחנה הקרובה ביותר</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10%</w:t>
            </w:r>
          </w:p>
        </w:tc>
      </w:tr>
    </w:tbl>
    <w:p>
      <w:pPr>
        <w:spacing w:after="60"/>
      </w:pPr>
    </w:p>
    <w:p>
      <w:pPr>
        <w:pStyle w:val="Heading2"/>
        <w:bidi/>
        <w:spacing w:after="100" w:before="200"/>
        <w:jc w:val="right"/>
      </w:pPr>
      <w:r>
        <w:rPr>
          <w:rFonts w:ascii="Arial" w:cs="Arial" w:eastAsia="Arial" w:hAnsi="Arial"/>
          <w:b/>
          <w:bCs/>
          <w:i w:val="false"/>
          <w:iCs w:val="false"/>
          <w:color w:val="32318E"/>
          <w:sz w:val="26"/>
          <w:szCs w:val="26"/>
          <w:rtl/>
        </w:rPr>
        <w:t xml:space="preserve">טבלת התדירות (לשני רכיבי התדירות)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4819"/>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מרווח בין אוטובוסים</w:t>
            </w:r>
          </w:p>
        </w:tc>
        <w:tc>
          <w:tcPr>
            <w:tcW w:type="dxa" w:w="481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עד 5 דק׳</w:t>
            </w:r>
          </w:p>
        </w:tc>
        <w:tc>
          <w:tcPr>
            <w:tcW w:type="dxa" w:w="4819"/>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100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5–10 דק׳</w:t>
            </w:r>
          </w:p>
        </w:tc>
        <w:tc>
          <w:tcPr>
            <w:tcW w:type="dxa" w:w="4819"/>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90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10–15 דק׳</w:t>
            </w:r>
          </w:p>
        </w:tc>
        <w:tc>
          <w:tcPr>
            <w:tcW w:type="dxa" w:w="4819"/>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80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15–21 דק׳</w:t>
            </w:r>
          </w:p>
        </w:tc>
        <w:tc>
          <w:tcPr>
            <w:tcW w:type="dxa" w:w="4819"/>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70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21–30 דק׳</w:t>
            </w:r>
          </w:p>
        </w:tc>
        <w:tc>
          <w:tcPr>
            <w:tcW w:type="dxa" w:w="4819"/>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65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30–40 דק׳</w:t>
            </w:r>
          </w:p>
        </w:tc>
        <w:tc>
          <w:tcPr>
            <w:tcW w:type="dxa" w:w="4819"/>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55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40–60 דק׳</w:t>
            </w:r>
          </w:p>
        </w:tc>
        <w:tc>
          <w:tcPr>
            <w:tcW w:type="dxa" w:w="4819"/>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40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60–90 דק׳</w:t>
            </w:r>
          </w:p>
        </w:tc>
        <w:tc>
          <w:tcPr>
            <w:tcW w:type="dxa" w:w="4819"/>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מעל 90 דק׳</w:t>
            </w:r>
          </w:p>
        </w:tc>
        <w:tc>
          <w:tcPr>
            <w:tcW w:type="dxa" w:w="4819"/>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0</w:t>
            </w:r>
          </w:p>
        </w:tc>
      </w:tr>
    </w:tbl>
    <w:p>
      <w:pPr>
        <w:bidi/>
        <w:spacing w:after="160" w:line="300"/>
        <w:jc w:val="right"/>
      </w:pPr>
      <w:r>
        <w:rPr>
          <w:rFonts w:ascii="Arial" w:cs="Arial" w:eastAsia="Arial" w:hAnsi="Arial"/>
          <w:b w:val="false"/>
          <w:bCs w:val="false"/>
          <w:i/>
          <w:iCs/>
          <w:color w:val="475569"/>
          <w:sz w:val="19"/>
          <w:szCs w:val="19"/>
          <w:rtl/>
        </w:rPr>
        <w:t xml:space="preserve">הגבול שייך למדרגה הטובה: בדיוק 10 דקות = 90, בדיוק 15 = 80. קווי תלמידים וקווי לילה אינם נספרים. הספירה כיוונית: רק קווים שנכנסים לאזור בבוקר ויוצאים ממנו אחר הצהריים.</w:t>
      </w:r>
    </w:p>
    <w:p>
      <w:pPr>
        <w:pStyle w:val="Heading2"/>
        <w:bidi/>
        <w:spacing w:after="100" w:before="200"/>
        <w:jc w:val="right"/>
      </w:pPr>
      <w:r>
        <w:rPr>
          <w:rFonts w:ascii="Arial" w:cs="Arial" w:eastAsia="Arial" w:hAnsi="Arial"/>
          <w:b/>
          <w:bCs/>
          <w:i w:val="false"/>
          <w:iCs w:val="false"/>
          <w:color w:val="32318E"/>
          <w:sz w:val="26"/>
          <w:szCs w:val="26"/>
          <w:rtl/>
        </w:rPr>
        <w:t xml:space="preserve">טבלת ההליכה (לשני רכיבי ההליכה)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4819"/>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דקות הליכה</w:t>
            </w:r>
          </w:p>
        </w:tc>
        <w:tc>
          <w:tcPr>
            <w:tcW w:type="dxa" w:w="481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עד 2 דק׳</w:t>
            </w:r>
          </w:p>
        </w:tc>
        <w:tc>
          <w:tcPr>
            <w:tcW w:type="dxa" w:w="4819"/>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100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2–7 דק׳</w:t>
            </w:r>
          </w:p>
        </w:tc>
        <w:tc>
          <w:tcPr>
            <w:tcW w:type="dxa" w:w="4819"/>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90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7–10 דק׳</w:t>
            </w:r>
          </w:p>
        </w:tc>
        <w:tc>
          <w:tcPr>
            <w:tcW w:type="dxa" w:w="4819"/>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80</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10–12 דק׳</w:t>
            </w:r>
          </w:p>
        </w:tc>
        <w:tc>
          <w:tcPr>
            <w:tcW w:type="dxa" w:w="4819"/>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75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12–15 דק׳</w:t>
            </w:r>
          </w:p>
        </w:tc>
        <w:tc>
          <w:tcPr>
            <w:tcW w:type="dxa" w:w="4819"/>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9"/>
                <w:szCs w:val="19"/>
                <w:rtl/>
              </w:rPr>
              <w:t xml:space="preserve">65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15–20 דק׳</w:t>
            </w:r>
          </w:p>
        </w:tc>
        <w:tc>
          <w:tcPr>
            <w:tcW w:type="dxa" w:w="4819"/>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55</w:t>
            </w:r>
          </w:p>
        </w:tc>
      </w:tr>
      <w:tr>
        <w:tc>
          <w:tcPr>
            <w:tcW w:type="dxa" w:w="481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מעל 20 דק׳</w:t>
            </w:r>
          </w:p>
        </w:tc>
        <w:tc>
          <w:tcPr>
            <w:tcW w:type="dxa" w:w="4819"/>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9"/>
                <w:szCs w:val="19"/>
                <w:rtl/>
              </w:rPr>
              <w:t xml:space="preserve">0</w:t>
            </w:r>
          </w:p>
        </w:tc>
      </w:tr>
    </w:tbl>
    <w:p>
      <w:pPr>
        <w:bidi/>
        <w:spacing w:after="160" w:line="300"/>
        <w:jc w:val="right"/>
      </w:pPr>
      <w:r>
        <w:rPr>
          <w:rFonts w:ascii="Arial" w:cs="Arial" w:eastAsia="Arial" w:hAnsi="Arial"/>
          <w:b w:val="false"/>
          <w:bCs w:val="false"/>
          <w:i/>
          <w:iCs/>
          <w:color w:val="475569"/>
          <w:sz w:val="19"/>
          <w:szCs w:val="19"/>
          <w:rtl/>
        </w:rPr>
        <w:t xml:space="preserve">ההליכה נמדדת בניתוב אמיתי על רשת OpenStreetMap במהירות 5 קמ"ש, בפרופיל שמתיר כבישי שירות פרטיים ורמפות של כבישים ראשיים, כי שם עוברים העובדים בפועל. תחנה במרחק של יותר מ-20 דקות הליכה אינה נספרת כלל.</w:t>
      </w:r>
    </w:p>
    <w:p>
      <w:pPr>
        <w:pStyle w:val="Heading2"/>
        <w:bidi/>
        <w:spacing w:after="100" w:before="200"/>
        <w:jc w:val="right"/>
      </w:pPr>
      <w:r>
        <w:rPr>
          <w:rFonts w:ascii="Arial" w:cs="Arial" w:eastAsia="Arial" w:hAnsi="Arial"/>
          <w:b/>
          <w:bCs/>
          <w:i w:val="false"/>
          <w:iCs w:val="false"/>
          <w:color w:val="32318E"/>
          <w:sz w:val="26"/>
          <w:szCs w:val="26"/>
          <w:rtl/>
        </w:rPr>
        <w:t xml:space="preserve">סרגל הצבעים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771"/>
        <w:gridCol w:w="771"/>
        <w:gridCol w:w="771"/>
        <w:gridCol w:w="771"/>
        <w:gridCol w:w="771"/>
        <w:gridCol w:w="771"/>
        <w:gridCol w:w="771"/>
        <w:gridCol w:w="771"/>
        <w:gridCol w:w="771"/>
        <w:gridCol w:w="771"/>
        <w:gridCol w:w="771"/>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ציון</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10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20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30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40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50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60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70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80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90</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100</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גוון</w:t>
            </w:r>
          </w:p>
        </w:tc>
        <w:tc>
          <w:tcPr>
            <w:tcW w:type="dxa" w:w="771"/>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50505"/>
                <w:sz w:val="16"/>
                <w:szCs w:val="16"/>
                <w:rtl/>
              </w:rPr>
              <w:t xml:space="preserve">■</w:t>
            </w:r>
          </w:p>
        </w:tc>
        <w:tc>
          <w:tcPr>
            <w:tcW w:type="dxa" w:w="771"/>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3F0A18"/>
                <w:sz w:val="16"/>
                <w:szCs w:val="16"/>
                <w:rtl/>
              </w:rPr>
              <w:t xml:space="preserve">■</w:t>
            </w:r>
          </w:p>
        </w:tc>
        <w:tc>
          <w:tcPr>
            <w:tcW w:type="dxa" w:w="771"/>
            <w:shd w:fill="8E0B1E"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8E0B1E"/>
                <w:sz w:val="16"/>
                <w:szCs w:val="16"/>
                <w:rtl/>
              </w:rPr>
              <w:t xml:space="preserve">■</w:t>
            </w:r>
          </w:p>
        </w:tc>
        <w:tc>
          <w:tcPr>
            <w:tcW w:type="dxa" w:w="771"/>
            <w:shd w:fill="C00D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C00D18"/>
                <w:sz w:val="16"/>
                <w:szCs w:val="16"/>
                <w:rtl/>
              </w:rPr>
              <w:t xml:space="preserve">■</w:t>
            </w:r>
          </w:p>
        </w:tc>
        <w:tc>
          <w:tcPr>
            <w:tcW w:type="dxa" w:w="771"/>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E63C14"/>
                <w:sz w:val="16"/>
                <w:szCs w:val="16"/>
                <w:rtl/>
              </w:rPr>
              <w:t xml:space="preserve">■</w:t>
            </w:r>
          </w:p>
        </w:tc>
        <w:tc>
          <w:tcPr>
            <w:tcW w:type="dxa" w:w="771"/>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EE7A16"/>
                <w:sz w:val="16"/>
                <w:szCs w:val="16"/>
                <w:rtl/>
              </w:rPr>
              <w:t xml:space="preserve">■</w:t>
            </w:r>
          </w:p>
        </w:tc>
        <w:tc>
          <w:tcPr>
            <w:tcW w:type="dxa" w:w="771"/>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5A11A"/>
                <w:sz w:val="16"/>
                <w:szCs w:val="16"/>
                <w:rtl/>
              </w:rPr>
              <w:t xml:space="preserve">■</w:t>
            </w:r>
          </w:p>
        </w:tc>
        <w:tc>
          <w:tcPr>
            <w:tcW w:type="dxa" w:w="771"/>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8D420"/>
                <w:sz w:val="16"/>
                <w:szCs w:val="16"/>
                <w:rtl/>
              </w:rPr>
              <w:t xml:space="preserve">■</w:t>
            </w:r>
          </w:p>
        </w:tc>
        <w:tc>
          <w:tcPr>
            <w:tcW w:type="dxa" w:w="771"/>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CFD41F"/>
                <w:sz w:val="16"/>
                <w:szCs w:val="16"/>
                <w:rtl/>
              </w:rPr>
              <w:t xml:space="preserve">■</w:t>
            </w:r>
          </w:p>
        </w:tc>
        <w:tc>
          <w:tcPr>
            <w:tcW w:type="dxa" w:w="771"/>
            <w:shd w:fill="8CC63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8CC63F"/>
                <w:sz w:val="16"/>
                <w:szCs w:val="16"/>
                <w:rtl/>
              </w:rPr>
              <w:t xml:space="preserve">■</w:t>
            </w:r>
          </w:p>
        </w:tc>
        <w:tc>
          <w:tcPr>
            <w:tcW w:type="dxa" w:w="771"/>
            <w:shd w:fill="14B03D"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14B03D"/>
                <w:sz w:val="16"/>
                <w:szCs w:val="16"/>
                <w:rtl/>
              </w:rPr>
              <w:t xml:space="preserve">■</w:t>
            </w:r>
          </w:p>
        </w:tc>
      </w:tr>
    </w:tbl>
    <w:p>
      <w:pPr>
        <w:bidi/>
        <w:spacing w:after="160" w:line="300"/>
        <w:jc w:val="right"/>
      </w:pPr>
      <w:r>
        <w:rPr>
          <w:rFonts w:ascii="Arial" w:cs="Arial" w:eastAsia="Arial" w:hAnsi="Arial"/>
          <w:b w:val="false"/>
          <w:bCs w:val="false"/>
          <w:i/>
          <w:iCs/>
          <w:color w:val="475569"/>
          <w:sz w:val="19"/>
          <w:szCs w:val="19"/>
          <w:rtl/>
        </w:rPr>
        <w:t xml:space="preserve">ירוק רק מ-90. 70–89 צהוב, 50–69 כתום, ומתחת לזה מאדום ועד שחור.</w:t>
      </w:r>
    </w:p>
    <w:p>
      <w:pPr>
        <w:pStyle w:val="Heading2"/>
        <w:bidi/>
        <w:spacing w:after="100" w:before="200"/>
        <w:jc w:val="right"/>
      </w:pPr>
      <w:r>
        <w:rPr>
          <w:rFonts w:ascii="Arial" w:cs="Arial" w:eastAsia="Arial" w:hAnsi="Arial"/>
          <w:b/>
          <w:bCs/>
          <w:i w:val="false"/>
          <w:iCs w:val="false"/>
          <w:color w:val="32318E"/>
          <w:sz w:val="26"/>
          <w:szCs w:val="26"/>
          <w:rtl/>
        </w:rPr>
        <w:t xml:space="preserve">שכבות המבחנים במפה</w:t>
      </w:r>
    </w:p>
    <w:p>
      <w:pPr>
        <w:bidi/>
        <w:spacing w:after="120" w:line="300"/>
        <w:jc w:val="right"/>
      </w:pPr>
      <w:r>
        <w:rPr>
          <w:rFonts w:ascii="Arial" w:cs="Arial" w:eastAsia="Arial" w:hAnsi="Arial"/>
          <w:b w:val="false"/>
          <w:bCs w:val="false"/>
          <w:i w:val="false"/>
          <w:iCs w:val="false"/>
          <w:color w:val="0F172A"/>
          <w:sz w:val="22"/>
          <w:szCs w:val="22"/>
          <w:rtl/>
        </w:rPr>
        <w:t xml:space="preserve">שלוש שכבות מפה מציגות כל רכיב תדירות והליכה בנפרד, על אותן מדרגות של הרכיב המקביל בציון, כדי שהשכבה והציון לא יסתרו זה את זה. שכבת "תחנות" מונה תחנות פעילות בתוך הפוליגון בלבד, ושכבת "תדירות" את כל יציאות היום.</w:t>
      </w:r>
    </w:p>
    <w:p>
      <w:pPr>
        <w:spacing w:after="60"/>
      </w:pPr>
    </w:p>
    <w:p>
      <w:pPr>
        <w:pStyle w:val="Heading1"/>
        <w:bidi/>
        <w:spacing w:after="160" w:before="240"/>
        <w:jc w:val="right"/>
      </w:pPr>
      <w:r>
        <w:rPr>
          <w:rFonts w:ascii="Arial" w:cs="Arial" w:eastAsia="Arial" w:hAnsi="Arial"/>
          <w:b/>
          <w:bCs/>
          <w:i w:val="false"/>
          <w:iCs w:val="false"/>
          <w:color w:val="043E7E"/>
          <w:sz w:val="34"/>
          <w:szCs w:val="34"/>
          <w:rtl/>
        </w:rPr>
        <w:t xml:space="preserve">3. השוואה לתקנים בינלאומיים</w:t>
      </w:r>
    </w:p>
    <w:p>
      <w:pPr>
        <w:bidi/>
        <w:spacing w:after="120" w:line="300"/>
        <w:jc w:val="right"/>
      </w:pPr>
      <w:r>
        <w:rPr>
          <w:rFonts w:ascii="Arial" w:cs="Arial" w:eastAsia="Arial" w:hAnsi="Arial"/>
          <w:b w:val="false"/>
          <w:bCs w:val="false"/>
          <w:i w:val="false"/>
          <w:iCs w:val="false"/>
          <w:color w:val="0F172A"/>
          <w:sz w:val="22"/>
          <w:szCs w:val="22"/>
          <w:rtl/>
        </w:rPr>
        <w:t xml:space="preserve">שני סולמות מקובלים מודדים דברים קרובים למה שהדו"ח מודד. שניהם מאששים את מיקום המדרגות, ושניהם שונים מהדו"ח בקצה התחתון.</w:t>
      </w:r>
    </w:p>
    <w:p>
      <w:pPr>
        <w:pStyle w:val="Heading2"/>
        <w:bidi/>
        <w:spacing w:after="100" w:before="200"/>
        <w:jc w:val="right"/>
      </w:pPr>
      <w:r>
        <w:rPr>
          <w:rFonts w:ascii="Arial" w:cs="Arial" w:eastAsia="Arial" w:hAnsi="Arial"/>
          <w:b/>
          <w:bCs/>
          <w:i w:val="false"/>
          <w:iCs w:val="false"/>
          <w:color w:val="32318E"/>
          <w:sz w:val="26"/>
          <w:szCs w:val="26"/>
          <w:rtl/>
        </w:rPr>
        <w:t xml:space="preserve">PTAL — לונדון (Transport for London)</w:t>
      </w:r>
    </w:p>
    <w:p>
      <w:pPr>
        <w:bidi/>
        <w:spacing w:after="120" w:line="300"/>
        <w:jc w:val="right"/>
      </w:pPr>
      <w:r>
        <w:rPr>
          <w:rFonts w:ascii="Arial" w:cs="Arial" w:eastAsia="Arial" w:hAnsi="Arial"/>
          <w:b w:val="false"/>
          <w:bCs w:val="false"/>
          <w:i w:val="false"/>
          <w:iCs w:val="false"/>
          <w:color w:val="0F172A"/>
          <w:sz w:val="22"/>
          <w:szCs w:val="22"/>
          <w:rtl/>
        </w:rPr>
        <w:t xml:space="preserve">מדד הנגישות של לונדון משקלל לכל נקודה את זמן ההליכה לתחנה ואת תדירות הקווים בה. זמן ההמתנה מחושב כמחצית המרווח בין אוטובוסים ועוד 2 דקות אמינות, ומתווסף לזמן ההליכה. הקו הטוב ביותר נספר במשקל מלא, כל קו נוסף בחצי. התוצאה מדורגת 1a (הנמוך) עד 6b (הגבוה). PTAL אינו מכיר צוק תדירות: קו של 90 דקות עדיין נספר, רק פחות. הצוק שלו נמצא בהליכה: תחנת אוטובוס במרחק של יותר מ-640 מטר אינה נספרת כלל, בדומה לסף 20 הדקות בדו"ח.</w:t>
      </w:r>
    </w:p>
    <w:p>
      <w:pPr>
        <w:pStyle w:val="Heading2"/>
        <w:bidi/>
        <w:spacing w:after="100" w:before="200"/>
        <w:jc w:val="right"/>
      </w:pPr>
      <w:r>
        <w:rPr>
          <w:rFonts w:ascii="Arial" w:cs="Arial" w:eastAsia="Arial" w:hAnsi="Arial"/>
          <w:b/>
          <w:bCs/>
          <w:i w:val="false"/>
          <w:iCs w:val="false"/>
          <w:color w:val="32318E"/>
          <w:sz w:val="26"/>
          <w:szCs w:val="26"/>
          <w:rtl/>
        </w:rPr>
        <w:t xml:space="preserve">TCQSM — ארצות הברית (Transit Capacity and Quality of Service Manual)</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349"/>
        <w:gridCol w:w="2120"/>
        <w:gridCol w:w="4048"/>
        <w:gridCol w:w="2120"/>
      </w:tblGrid>
      <w:tr>
        <w:trPr>
          <w:tblHeader/>
        </w:trPr>
        <w:tc>
          <w:tcPr>
            <w:tcW w:type="dxa" w:w="134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רמת שירות</w:t>
            </w:r>
          </w:p>
        </w:tc>
        <w:tc>
          <w:tcPr>
            <w:tcW w:type="dxa" w:w="212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מרווח בין אוטובוסים</w:t>
            </w:r>
          </w:p>
        </w:tc>
        <w:tc>
          <w:tcPr>
            <w:tcW w:type="dxa" w:w="404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תיאור המדריך</w:t>
            </w:r>
          </w:p>
        </w:tc>
        <w:tc>
          <w:tcPr>
            <w:tcW w:type="dxa" w:w="212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המדרגה בדו"ח</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A</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עד 10 דק׳</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הנוסע אינו צריך לוח זמנים</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90–100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B</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10–14</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תדיר, הנוסע מתייעץ בלוח</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80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C</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15–20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זמן ההמתנה המקסימלי הסביר אם מחמיצים אוטובוס</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70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D</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21–30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לא אטרקטיבי לנוסע שיש לו רכב</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65</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E</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31–60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זמין במהלך השעה</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55–40</w:t>
            </w:r>
          </w:p>
        </w:tc>
      </w:tr>
      <w:tr>
        <w:tc>
          <w:tcPr>
            <w:tcW w:type="dxa" w:w="1349"/>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9"/>
                <w:szCs w:val="19"/>
                <w:rtl/>
              </w:rPr>
              <w:t xml:space="preserve">F</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מעל 60</w:t>
            </w:r>
          </w:p>
        </w:tc>
        <w:tc>
          <w:tcPr>
            <w:tcW w:type="dxa" w:w="404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שירות לא אטרקטיבי לכל הנוסעים</w:t>
            </w:r>
          </w:p>
        </w:tc>
        <w:tc>
          <w:tcPr>
            <w:tcW w:type="dxa" w:w="212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15–0</w:t>
            </w:r>
          </w:p>
        </w:tc>
      </w:tr>
    </w:tbl>
    <w:p>
      <w:pPr>
        <w:bidi/>
        <w:spacing w:after="160" w:line="300"/>
        <w:jc w:val="right"/>
      </w:pPr>
      <w:r>
        <w:rPr>
          <w:rFonts w:ascii="Arial" w:cs="Arial" w:eastAsia="Arial" w:hAnsi="Arial"/>
          <w:b w:val="false"/>
          <w:bCs w:val="false"/>
          <w:i/>
          <w:iCs/>
          <w:color w:val="475569"/>
          <w:sz w:val="19"/>
          <w:szCs w:val="19"/>
          <w:rtl/>
        </w:rPr>
        <w:t xml:space="preserve">החפיפה למדרגות הדו"ח קרובה לאחד-לאחד. הבדל אחד: ב-TCQSM המעבר מ-E ל-F הוא צעד של דרגה אחת, בעוד שבדו"ח קו של יותר משעה וחצי מקבל 0. המהדורה השלישית של המדריך (2013) המירה את האותיות לתיאור מילולי אך שמרה על הספים.</w:t>
      </w:r>
    </w:p>
    <w:p>
      <w:pPr>
        <w:spacing w:after="60"/>
      </w:pPr>
    </w:p>
    <w:p>
      <w:pPr>
        <w:pStyle w:val="Heading1"/>
        <w:bidi/>
        <w:spacing w:after="160" w:before="240"/>
        <w:jc w:val="right"/>
      </w:pPr>
      <w:r>
        <w:rPr>
          <w:rFonts w:ascii="Arial" w:cs="Arial" w:eastAsia="Arial" w:hAnsi="Arial"/>
          <w:b/>
          <w:bCs/>
          <w:i w:val="false"/>
          <w:iCs w:val="false"/>
          <w:color w:val="043E7E"/>
          <w:sz w:val="34"/>
          <w:szCs w:val="34"/>
          <w:rtl/>
        </w:rPr>
        <w:t xml:space="preserve">4. מדריך שימוש באתר</w:t>
      </w:r>
    </w:p>
    <w:p>
      <w:pPr>
        <w:bidi/>
        <w:spacing w:after="120" w:line="300"/>
        <w:jc w:val="right"/>
      </w:pPr>
      <w:r>
        <w:rPr>
          <w:rFonts w:ascii="Arial" w:cs="Arial" w:eastAsia="Arial" w:hAnsi="Arial"/>
          <w:b w:val="false"/>
          <w:bCs w:val="false"/>
          <w:i w:val="false"/>
          <w:iCs w:val="false"/>
          <w:color w:val="0F172A"/>
          <w:sz w:val="22"/>
          <w:szCs w:val="22"/>
          <w:rtl/>
        </w:rPr>
        <w:t xml:space="preserve">האתר מציג את כל הנתונים שבדו"ח, מעודכנים בכל שבוע. הדו"ח הוא תמונת מצב; האתר הוא המקור החי.</w:t>
      </w:r>
    </w:p>
    <w:p>
      <w:pPr>
        <w:pStyle w:val="Heading2"/>
        <w:bidi/>
        <w:spacing w:after="100" w:before="200"/>
        <w:jc w:val="right"/>
      </w:pPr>
      <w:r>
        <w:rPr>
          <w:rFonts w:ascii="Arial" w:cs="Arial" w:eastAsia="Arial" w:hAnsi="Arial"/>
          <w:b/>
          <w:bCs/>
          <w:i w:val="false"/>
          <w:iCs w:val="false"/>
          <w:color w:val="32318E"/>
          <w:sz w:val="26"/>
          <w:szCs w:val="26"/>
          <w:rtl/>
        </w:rPr>
        <w:t xml:space="preserve">מה רואים בעמוד הראשי</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מפה ארצית: כל אזור הוא עיגול שצבעו וגודלו לפי הציון המשוקלל, על סרגל הצבעים שלמעלה. אזור תעסוקה מסומן בטבעת סגולה, אזור תשתית בטבעת כהה.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"רשימה": כל האזורים בטבלה, עם הציון, ציון משרד התחבורה, מספר הקווים והתחנות. אפשר למיין בלחיצה על כותרת עמודה.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"ייצוא לאקסל" מעל הטבלה מוריד את כל הרשימה כקובץ CSV.</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כפתור "שכבות": בחירת שכבת המפה. ברירת המחדל היא הציון המשוקלל. שכבות נוספות: תחנות בתוך האזור (משולשים), יציאות ביום חול (עיגולים), ציון משרד התחבורה (כוכבים), ושלוש שכבות מבחן לרכיבי הציון. לכל שכבה מקרא משלה עם הסבר מה היא מודדת.</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תיבת "פער מרכז–פריפריה" מתחת למפה מתבססת על ציוני משרד התחבורה בלבד, מדד חיצוני.</w:t>
      </w:r>
    </w:p>
    <w:p>
      <w:pPr>
        <w:pStyle w:val="Heading2"/>
        <w:bidi/>
        <w:spacing w:after="100" w:before="200"/>
        <w:jc w:val="right"/>
      </w:pPr>
      <w:r>
        <w:rPr>
          <w:rFonts w:ascii="Arial" w:cs="Arial" w:eastAsia="Arial" w:hAnsi="Arial"/>
          <w:b/>
          <w:bCs/>
          <w:i w:val="false"/>
          <w:iCs w:val="false"/>
          <w:color w:val="32318E"/>
          <w:sz w:val="26"/>
          <w:szCs w:val="26"/>
          <w:rtl/>
        </w:rPr>
        <w:t xml:space="preserve">עמוד אזור</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לחיצה על אזור במפה או ברשימה פותחת את עמודו: בראשו הציון המשוקלל וארבעת רכיביו, עם הנתון הגולמי מאחורי כל רכיב.</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מתחת: ציוני משרד התחבורה של האזור הסטטיסטי, ורשימת כל הקווים שמגיעים לאזור. צבע מספר הקו הוא תדירותו בשיא הבוקר על אותו סרגל.</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לחיצה על קו מציגה את מסלולו על המפה. בטלפון מופיע כפתור "חזרה לרשימת הקווים".</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המחוון "מציג תחנות עד X דקות הליכה" מסנן את התחנות במפה. כפתור "מדידה" מחליף בין מדידה עד מרכז האזור ועד גבולו.</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5. תמונת המצב הארצית</w:t>
      </w:r>
    </w:p>
    <w:p>
      <w:pPr>
        <w:bidi/>
        <w:spacing w:after="120" w:line="300"/>
        <w:jc w:val="right"/>
      </w:pPr>
      <w:r>
        <w:rPr>
          <w:rFonts w:ascii="Arial" w:cs="Arial" w:eastAsia="Arial" w:hAnsi="Arial"/>
          <w:b w:val="false"/>
          <w:bCs w:val="false"/>
          <w:i w:val="false"/>
          <w:iCs w:val="false"/>
          <w:color w:val="0F172A"/>
          <w:sz w:val="22"/>
          <w:szCs w:val="22"/>
          <w:rtl/>
        </w:rPr>
        <w:t xml:space="preserve">421 אזורי תעשייה ותעסוקה בנויים. הציון החציוני: </w:t>
      </w:r>
      <w:r>
        <w:rPr>
          <w:rFonts w:ascii="Arial" w:cs="Arial" w:eastAsia="Arial" w:hAnsi="Arial"/>
          <w:b/>
          <w:bCs/>
          <w:i w:val="false"/>
          <w:iCs w:val="false"/>
          <w:color w:val="0F172A"/>
          <w:sz w:val="22"/>
          <w:szCs w:val="22"/>
          <w:rtl/>
        </w:rPr>
        <w:t xml:space="preserve">74</w:t>
      </w:r>
      <w:r>
        <w:rPr>
          <w:rFonts w:ascii="Arial" w:cs="Arial" w:eastAsia="Arial" w:hAnsi="Arial"/>
          <w:b w:val="false"/>
          <w:bCs w:val="false"/>
          <w:i w:val="false"/>
          <w:iCs w:val="false"/>
          <w:color w:val="0F172A"/>
          <w:sz w:val="22"/>
          <w:szCs w:val="22"/>
          <w:rtl/>
        </w:rPr>
        <w:t xml:space="preserve">. הממוצע: 64.9.</w:t>
      </w:r>
    </w:p>
    <w:p>
      <w:pPr>
        <w:spacing w:after="12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4000500"/>
                    </a:xfrm>
                    <a:prstGeom prst="rect">
                      <a:avLst/>
                    </a:prstGeom>
                  </pic:spPr>
                </pic:pic>
              </a:graphicData>
            </a:graphic>
          </wp:inline>
        </w:drawing>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19"/>
        <w:gridCol w:w="2410"/>
        <w:gridCol w:w="2410"/>
      </w:tblGrid>
      <w:tr>
        <w:trPr>
          <w:tblHeader/>
        </w:trPr>
        <w:tc>
          <w:tcPr>
            <w:tcW w:type="dxa" w:w="4819"/>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הקבוצה</w:t>
            </w:r>
          </w:p>
        </w:tc>
        <w:tc>
          <w:tcPr>
            <w:tcW w:type="dxa" w:w="241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אזורים</w:t>
            </w:r>
          </w:p>
        </w:tc>
        <w:tc>
          <w:tcPr>
            <w:tcW w:type="dxa" w:w="241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אחוז</w:t>
            </w:r>
          </w:p>
        </w:tc>
      </w:tr>
      <w:tr>
        <w:tc>
          <w:tcPr>
            <w:tcW w:type="dxa" w:w="4819"/>
            <w:shd w:fill="14B03D"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ירוק (90 ומעלה)</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13</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w:t>
            </w:r>
          </w:p>
        </w:tc>
      </w:tr>
      <w:tr>
        <w:tc>
          <w:tcPr>
            <w:tcW w:type="dxa" w:w="4819"/>
            <w:shd w:fill="F8D420"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F172A"/>
                <w:sz w:val="19"/>
                <w:szCs w:val="19"/>
                <w:rtl/>
              </w:rPr>
              <w:t xml:space="preserve">צהוב (70–89)</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228</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54%</w:t>
            </w:r>
          </w:p>
        </w:tc>
      </w:tr>
      <w:tr>
        <w:tc>
          <w:tcPr>
            <w:tcW w:type="dxa" w:w="4819"/>
            <w:shd w:fill="EE7A16"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כתום (50–69)</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97</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23%</w:t>
            </w:r>
          </w:p>
        </w:tc>
      </w:tr>
      <w:tr>
        <w:tc>
          <w:tcPr>
            <w:tcW w:type="dxa" w:w="4819"/>
            <w:shd w:fill="C00D18"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אדום (מתחת ל-50)</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83</w:t>
            </w:r>
          </w:p>
        </w:tc>
        <w:tc>
          <w:tcPr>
            <w:tcW w:type="dxa" w:w="241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w:t>
            </w:r>
          </w:p>
        </w:tc>
      </w:tr>
    </w:tbl>
    <w:p>
      <w:pPr>
        <w:spacing w:after="60"/>
      </w:pPr>
    </w:p>
    <w:p>
      <w:pPr>
        <w:pStyle w:val="Heading2"/>
        <w:bidi/>
        <w:spacing w:after="100" w:before="200"/>
        <w:jc w:val="right"/>
      </w:pPr>
      <w:r>
        <w:rPr>
          <w:rFonts w:ascii="Arial" w:cs="Arial" w:eastAsia="Arial" w:hAnsi="Arial"/>
          <w:b/>
          <w:bCs/>
          <w:i w:val="false"/>
          <w:iCs w:val="false"/>
          <w:color w:val="32318E"/>
          <w:sz w:val="26"/>
          <w:szCs w:val="26"/>
          <w:rtl/>
        </w:rPr>
        <w:t xml:space="preserve">עובדות משלימות</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14 אזורים (3%) בלי אף קו אוטובוס בטווח 20 דקות הליכה.</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15 אזורים בלי אף יציאה שימושית בשעות השיא.</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השירות מרוכז: עשירית האזורים המובילים מרכזת 53% מכל יציאות השיא בארץ; 5% המובילים מרכזים 37%. האזור החציוני מקבל 73 יציאות שימושיות בשיא.</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הליכת העובד המרוחק — חציון ארצי 10.8 דק׳; ב-15% מהאזורים היא מעל 20 דקות או שאין תחנה כלל.</w:t>
      </w:r>
    </w:p>
    <w:p>
      <w:pPr>
        <w:pStyle w:val="ListParagraph"/>
        <w:numPr>
          <w:ilvl w:val="0"/>
          <w:numId w:val="2"/>
        </w:numPr>
        <w:bidi/>
        <w:spacing w:after="60" w:line="300"/>
        <w:jc w:val="right"/>
      </w:pPr>
      <w:r>
        <w:rPr>
          <w:rFonts w:ascii="Arial" w:cs="Arial" w:eastAsia="Arial" w:hAnsi="Arial"/>
          <w:b w:val="false"/>
          <w:bCs w:val="false"/>
          <w:i w:val="false"/>
          <w:iCs w:val="false"/>
          <w:color w:val="0F172A"/>
          <w:sz w:val="22"/>
          <w:szCs w:val="22"/>
          <w:rtl/>
        </w:rPr>
        <w:t xml:space="preserve">הקו החזק — חציון ארצי: אוטובוס כל 25.7 דק׳ בשיא הבוקר. ב-23% מהאזורים הוא כל רבע שעה או פחות, וב-29% פעם בשעה או יותר.</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6. הפערים</w:t>
      </w:r>
    </w:p>
    <w:p>
      <w:pPr>
        <w:bidi/>
        <w:spacing w:after="120" w:line="300"/>
        <w:jc w:val="right"/>
      </w:pPr>
      <w:r>
        <w:rPr>
          <w:rFonts w:ascii="Arial" w:cs="Arial" w:eastAsia="Arial" w:hAnsi="Arial"/>
          <w:b w:val="false"/>
          <w:bCs w:val="false"/>
          <w:i w:val="false"/>
          <w:iCs w:val="false"/>
          <w:color w:val="0F172A"/>
          <w:sz w:val="22"/>
          <w:szCs w:val="22"/>
          <w:rtl/>
        </w:rPr>
        <w:t xml:space="preserve">הציון החציוני הארצי הוא </w:t>
      </w:r>
      <w:r>
        <w:rPr>
          <w:rFonts w:ascii="Arial" w:cs="Arial" w:eastAsia="Arial" w:hAnsi="Arial"/>
          <w:b/>
          <w:bCs/>
          <w:i w:val="false"/>
          <w:iCs w:val="false"/>
          <w:color w:val="0F172A"/>
          <w:sz w:val="22"/>
          <w:szCs w:val="22"/>
          <w:rtl/>
        </w:rPr>
        <w:t xml:space="preserve">74</w:t>
      </w:r>
      <w:r>
        <w:rPr>
          <w:rFonts w:ascii="Arial" w:cs="Arial" w:eastAsia="Arial" w:hAnsi="Arial"/>
          <w:b w:val="false"/>
          <w:bCs w:val="false"/>
          <w:i w:val="false"/>
          <w:iCs w:val="false"/>
          <w:color w:val="0F172A"/>
          <w:sz w:val="22"/>
          <w:szCs w:val="22"/>
          <w:rtl/>
        </w:rPr>
        <w:t xml:space="preserve">. כל קבוצה שלמטה נמדדת מולו ובשלושת המדדים שהוגדרו לדו"ח: נגישות כלל האזור (הליכה מהנקודה הרחוקה), התדירות הממוצעת בשיא לכיוון, ותדירות הקו החזק בשיא.</w:t>
      </w:r>
    </w:p>
    <w:p>
      <w:pPr>
        <w:pStyle w:val="Heading2"/>
        <w:bidi/>
        <w:spacing w:after="100" w:before="200"/>
        <w:jc w:val="right"/>
      </w:pPr>
      <w:r>
        <w:rPr>
          <w:rFonts w:ascii="Arial" w:cs="Arial" w:eastAsia="Arial" w:hAnsi="Arial"/>
          <w:b/>
          <w:bCs/>
          <w:i w:val="false"/>
          <w:iCs w:val="false"/>
          <w:color w:val="32318E"/>
          <w:sz w:val="26"/>
          <w:szCs w:val="26"/>
          <w:rtl/>
        </w:rPr>
        <w:t xml:space="preserve">מרכז מול פריפריה</w:t>
      </w:r>
    </w:p>
    <w:p>
      <w:pPr>
        <w:bidi/>
        <w:spacing w:after="120" w:line="300"/>
        <w:jc w:val="right"/>
      </w:pPr>
      <w:r>
        <w:rPr>
          <w:rFonts w:ascii="Arial" w:cs="Arial" w:eastAsia="Arial" w:hAnsi="Arial"/>
          <w:b w:val="false"/>
          <w:bCs w:val="false"/>
          <w:i w:val="false"/>
          <w:iCs w:val="false"/>
          <w:color w:val="0F172A"/>
          <w:sz w:val="22"/>
          <w:szCs w:val="22"/>
          <w:rtl/>
        </w:rPr>
        <w:t xml:space="preserve">"מרכז" = עד 45 ק"מ מתל אביב (149 אזורים) · "פריפריה" = כל השאר (272).</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מרכז</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149</w:t>
            </w:r>
          </w:p>
        </w:tc>
        <w:tc>
          <w:tcPr>
            <w:tcW w:type="dxa" w:w="964"/>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70.6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10.3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3.2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38.1</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פריפריה</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272</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61.7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32.7</w:t>
            </w:r>
          </w:p>
        </w:tc>
      </w:tr>
    </w:tbl>
    <w:p>
      <w:pPr>
        <w:spacing w:after="60"/>
      </w:pPr>
    </w:p>
    <w:p>
      <w:pPr>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924050"/>
                    </a:xfrm>
                    <a:prstGeom prst="rect">
                      <a:avLst/>
                    </a:prstGeom>
                  </pic:spPr>
                </pic:pic>
              </a:graphicData>
            </a:graphic>
          </wp:inline>
        </w:drawing>
      </w:r>
    </w:p>
    <w:p>
      <w:pPr>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24050"/>
                    </a:xfrm>
                    <a:prstGeom prst="rect">
                      <a:avLst/>
                    </a:prstGeom>
                  </pic:spPr>
                </pic:pic>
              </a:graphicData>
            </a:graphic>
          </wp:inline>
        </w:drawing>
      </w:r>
    </w:p>
    <w:p>
      <w:pPr>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24050"/>
                    </a:xfrm>
                    <a:prstGeom prst="rect">
                      <a:avLst/>
                    </a:prstGeom>
                  </pic:spPr>
                </pic:pic>
              </a:graphicData>
            </a:graphic>
          </wp:inline>
        </w:drawing>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צפון, מרכז, ירושלים ויהודה ושומרון, דרום</w:t>
      </w:r>
    </w:p>
    <w:p>
      <w:pPr>
        <w:bidi/>
        <w:spacing w:after="120" w:line="300"/>
        <w:jc w:val="right"/>
      </w:pPr>
      <w:r>
        <w:rPr>
          <w:rFonts w:ascii="Arial" w:cs="Arial" w:eastAsia="Arial" w:hAnsi="Arial"/>
          <w:b w:val="false"/>
          <w:bCs w:val="false"/>
          <w:i w:val="false"/>
          <w:iCs w:val="false"/>
          <w:color w:val="0F172A"/>
          <w:sz w:val="22"/>
          <w:szCs w:val="22"/>
          <w:rtl/>
        </w:rPr>
        <w:t xml:space="preserve">החלוקה לפי שכבת "תחום אזורי תעשיה תעסוקה" של משרד התחבורה — שדה המחוז (417 מתוך 421 אזורים; לשאר לפי קו רוחב). צפון = מחוזות צפון וחיפה · מרכז = מחוזות מרכז ותל אביב · ירושלים ויו"ש · דרום.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צפון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174</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68.1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63%</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16%</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34.3</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מרכז</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109</w:t>
            </w:r>
          </w:p>
        </w:tc>
        <w:tc>
          <w:tcPr>
            <w:tcW w:type="dxa" w:w="964"/>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73.9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9.7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19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39.8</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ירושלים ויו"ש</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53.7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32%</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11.2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17.8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36.1</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104</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53.6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38%</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37%</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12.6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28.6</w:t>
            </w:r>
          </w:p>
        </w:tc>
      </w:tr>
    </w:tbl>
    <w:p>
      <w:pPr>
        <w:spacing w:after="60"/>
      </w:pPr>
    </w:p>
    <w:p>
      <w:pPr>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762250"/>
                    </a:xfrm>
                    <a:prstGeom prst="rect">
                      <a:avLst/>
                    </a:prstGeom>
                  </pic:spPr>
                </pic:pic>
              </a:graphicData>
            </a:graphic>
          </wp:inline>
        </w:drawing>
      </w:r>
    </w:p>
    <w:p>
      <w:pPr>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762250"/>
                    </a:xfrm>
                    <a:prstGeom prst="rect">
                      <a:avLst/>
                    </a:prstGeom>
                  </pic:spPr>
                </pic:pic>
              </a:graphicData>
            </a:graphic>
          </wp:inline>
        </w:drawing>
      </w:r>
    </w:p>
    <w:p>
      <w:pPr>
        <w:spacing w:after="120"/>
        <w:jc w:val="center"/>
      </w:pPr>
      <w:r>
        <w:drawing>
          <wp:inline distT="0" distB="0" distL="0" distR="0">
            <wp:extent cx="4762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762250"/>
                    </a:xfrm>
                    <a:prstGeom prst="rect">
                      <a:avLst/>
                    </a:prstGeom>
                  </pic:spPr>
                </pic:pic>
              </a:graphicData>
            </a:graphic>
          </wp:inline>
        </w:drawing>
      </w:r>
    </w:p>
    <w:p>
      <w:pPr>
        <w:pStyle w:val="Heading2"/>
        <w:bidi/>
        <w:spacing w:after="100" w:before="200"/>
        <w:jc w:val="right"/>
      </w:pPr>
      <w:r>
        <w:rPr>
          <w:rFonts w:ascii="Arial" w:cs="Arial" w:eastAsia="Arial" w:hAnsi="Arial"/>
          <w:b/>
          <w:bCs/>
          <w:i w:val="false"/>
          <w:iCs w:val="false"/>
          <w:color w:val="32318E"/>
          <w:sz w:val="26"/>
          <w:szCs w:val="26"/>
          <w:rtl/>
        </w:rPr>
        <w:t xml:space="preserve">הפריפריה בצפון מול הפריפריה בדרום</w:t>
      </w:r>
    </w:p>
    <w:p>
      <w:pPr>
        <w:bidi/>
        <w:spacing w:after="120" w:line="300"/>
        <w:jc w:val="right"/>
      </w:pPr>
      <w:r>
        <w:rPr>
          <w:rFonts w:ascii="Arial" w:cs="Arial" w:eastAsia="Arial" w:hAnsi="Arial"/>
          <w:b w:val="false"/>
          <w:bCs w:val="false"/>
          <w:i w:val="false"/>
          <w:iCs w:val="false"/>
          <w:color w:val="0F172A"/>
          <w:sz w:val="22"/>
          <w:szCs w:val="22"/>
          <w:rtl/>
        </w:rPr>
        <w:t xml:space="preserve">אותם אזורים שמחוץ ל-45 הק"מ מתל אביב, מפוצלים לפי מחוז:</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צפון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164</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67.7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16%</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5.8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34.2</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91</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52.4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40%</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12.1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12.7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36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28.7</w:t>
            </w:r>
          </w:p>
        </w:tc>
      </w:tr>
    </w:tbl>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החברה היהודית מול החברה הערבית והבדואית</w:t>
      </w:r>
    </w:p>
    <w:p>
      <w:pPr>
        <w:bidi/>
        <w:spacing w:after="120" w:line="300"/>
        <w:jc w:val="right"/>
      </w:pPr>
      <w:r>
        <w:rPr>
          <w:rFonts w:ascii="Arial" w:cs="Arial" w:eastAsia="Arial" w:hAnsi="Arial"/>
          <w:b w:val="false"/>
          <w:bCs w:val="false"/>
          <w:i w:val="false"/>
          <w:iCs w:val="false"/>
          <w:color w:val="0F172A"/>
          <w:sz w:val="22"/>
          <w:szCs w:val="22"/>
          <w:rtl/>
        </w:rPr>
        <w:t xml:space="preserve">התיוג הרשמי: השדה MINORITY — שכבת "תחום אזורי תעשיה תעסוקה", משרד התחבורה. 62 אזורים מתויגים כמגזר מיעוטים, מול 359 שאינם מתויגים.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מגזר מיעוטים (תיוג רשמי)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62</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68.7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13%</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9.7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37</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כל שאר האזורים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359</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64.2</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4.9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22.5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34.1</w:t>
            </w:r>
          </w:p>
        </w:tc>
      </w:tr>
    </w:tbl>
    <w:p>
      <w:pPr>
        <w:spacing w:after="60"/>
      </w:pPr>
    </w:p>
    <w:p>
      <w:pPr>
        <w:bidi/>
        <w:spacing w:after="120" w:line="300"/>
        <w:jc w:val="right"/>
      </w:pPr>
      <w:r>
        <w:rPr>
          <w:rFonts w:ascii="Arial" w:cs="Arial" w:eastAsia="Arial" w:hAnsi="Arial"/>
          <w:b w:val="false"/>
          <w:bCs w:val="false"/>
          <w:i w:val="false"/>
          <w:iCs w:val="false"/>
          <w:color w:val="0F172A"/>
          <w:sz w:val="22"/>
          <w:szCs w:val="22"/>
          <w:rtl/>
        </w:rPr>
        <w:t xml:space="preserve">בתוך המגזר המתויג, לפי תת-הקבוצה שבשכבה: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בדואים (צפון ודרום)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17</w:t>
            </w:r>
          </w:p>
        </w:tc>
        <w:tc>
          <w:tcPr>
            <w:tcW w:type="dxa" w:w="964"/>
            <w:shd w:fill="EE7A16"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7"/>
                <w:szCs w:val="17"/>
                <w:rtl/>
              </w:rPr>
              <w:t xml:space="preserve">58.7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53%</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12.1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27.9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30.9</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דרוזים (כולל רמת הגולן)</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66.4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8.3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5.5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38.8</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מיעוטים כללי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31</w:t>
            </w:r>
          </w:p>
        </w:tc>
        <w:tc>
          <w:tcPr>
            <w:tcW w:type="dxa" w:w="964"/>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73</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81%</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9.6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38.4</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רשות מעורבת</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w:t>
            </w:r>
          </w:p>
        </w:tc>
        <w:tc>
          <w:tcPr>
            <w:tcW w:type="dxa" w:w="964"/>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81.5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7.9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18.2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48.5</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צ'רקסים</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w:t>
            </w:r>
          </w:p>
        </w:tc>
        <w:tc>
          <w:tcPr>
            <w:tcW w:type="dxa" w:w="964"/>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76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100%</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0%</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13.5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47.2</w:t>
            </w:r>
          </w:p>
        </w:tc>
      </w:tr>
    </w:tbl>
    <w:p>
      <w:pPr>
        <w:bidi/>
        <w:spacing w:after="160" w:line="300"/>
        <w:jc w:val="right"/>
      </w:pPr>
      <w:r>
        <w:rPr>
          <w:rFonts w:ascii="Arial" w:cs="Arial" w:eastAsia="Arial" w:hAnsi="Arial"/>
          <w:b w:val="false"/>
          <w:bCs w:val="false"/>
          <w:i/>
          <w:iCs/>
          <w:color w:val="475569"/>
          <w:sz w:val="19"/>
          <w:szCs w:val="19"/>
          <w:rtl/>
        </w:rPr>
        <w:t xml:space="preserve">הקבוצה המתויגת כמכלול אינה נמוכה משאר הארץ בציון המשוקלל; הפער נמצא בתוכה: האזורים הבדואיים הם הקבוצה החלשה, ורוב האזורים המתויגים האחרים קטנים, עם תחנות בתוך האזור, ולכן רכיבי ההליכה שלהם גבוהים. ציון משרד התחבורה מספר סיפור דומה. הנתונים כפי שהם; הפרשנות לדו"ח.</w:t>
      </w:r>
    </w:p>
    <w:p>
      <w:pPr>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24050"/>
                    </a:xfrm>
                    <a:prstGeom prst="rect">
                      <a:avLst/>
                    </a:prstGeom>
                  </pic:spPr>
                </pic:pic>
              </a:graphicData>
            </a:graphic>
          </wp:inline>
        </w:drawing>
      </w:r>
    </w:p>
    <w:p>
      <w:pPr>
        <w:spacing w:after="12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924050"/>
                    </a:xfrm>
                    <a:prstGeom prst="rect">
                      <a:avLst/>
                    </a:prstGeom>
                  </pic:spPr>
                </pic:pic>
              </a:graphicData>
            </a:graphic>
          </wp:inline>
        </w:drawing>
      </w:r>
    </w:p>
    <w:p>
      <w:pPr>
        <w:pStyle w:val="Heading2"/>
        <w:bidi/>
        <w:spacing w:after="100" w:before="200"/>
        <w:jc w:val="right"/>
      </w:pPr>
      <w:r>
        <w:rPr>
          <w:rFonts w:ascii="Arial" w:cs="Arial" w:eastAsia="Arial" w:hAnsi="Arial"/>
          <w:b/>
          <w:bCs/>
          <w:i w:val="false"/>
          <w:iCs w:val="false"/>
          <w:color w:val="32318E"/>
          <w:sz w:val="26"/>
          <w:szCs w:val="26"/>
          <w:rtl/>
        </w:rPr>
        <w:t xml:space="preserve">לפי האשכול החברתי-כלכלי של הרשות המקומית</w:t>
      </w:r>
    </w:p>
    <w:p>
      <w:pPr>
        <w:bidi/>
        <w:spacing w:after="120" w:line="300"/>
        <w:jc w:val="right"/>
      </w:pPr>
      <w:r>
        <w:rPr>
          <w:rFonts w:ascii="Arial" w:cs="Arial" w:eastAsia="Arial" w:hAnsi="Arial"/>
          <w:b w:val="false"/>
          <w:bCs w:val="false"/>
          <w:i w:val="false"/>
          <w:iCs w:val="false"/>
          <w:color w:val="0F172A"/>
          <w:sz w:val="22"/>
          <w:szCs w:val="22"/>
          <w:rtl/>
        </w:rPr>
        <w:t xml:space="preserve">אשכול הלמ"ס (2021) של הרשות שבה נמצא האזור. 78 אזורים ללא רשות מזוהה אינם בטבלה.</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771"/>
        <w:gridCol w:w="964"/>
        <w:gridCol w:w="867"/>
        <w:gridCol w:w="867"/>
        <w:gridCol w:w="1349"/>
        <w:gridCol w:w="1157"/>
        <w:gridCol w:w="1060"/>
        <w:gridCol w:w="1060"/>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7"/>
                <w:szCs w:val="17"/>
                <w:rtl/>
              </w:rPr>
              <w:t xml:space="preserve">קבוצה</w:t>
            </w:r>
          </w:p>
        </w:tc>
        <w:tc>
          <w:tcPr>
            <w:tcW w:type="dxa" w:w="771"/>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אזורים</w:t>
            </w:r>
          </w:p>
        </w:tc>
        <w:tc>
          <w:tcPr>
            <w:tcW w:type="dxa" w:w="964"/>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ממוצע</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70+</w:t>
            </w:r>
          </w:p>
        </w:tc>
        <w:tc>
          <w:tcPr>
            <w:tcW w:type="dxa" w:w="86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&lt;50</w:t>
            </w:r>
          </w:p>
        </w:tc>
        <w:tc>
          <w:tcPr>
            <w:tcW w:type="dxa" w:w="1349"/>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הליכה מהנקודה הרחוקה (חציון)</w:t>
            </w:r>
          </w:p>
        </w:tc>
        <w:tc>
          <w:tcPr>
            <w:tcW w:type="dxa" w:w="1157"/>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מרווח ממוצע בשיא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הקו החזק (חציון)</w:t>
            </w:r>
          </w:p>
        </w:tc>
        <w:tc>
          <w:tcPr>
            <w:tcW w:type="dxa" w:w="1060"/>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7"/>
                <w:szCs w:val="17"/>
                <w:rtl/>
              </w:rPr>
              <w:t xml:space="preserve">ציון משרד התחבורה</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1–3 (חלש)</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61</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68.9</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67%</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11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4.1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20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39.1</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4–7 (בינוני)</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234</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64.6</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10.8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33.5</w:t>
            </w:r>
          </w:p>
        </w:tc>
      </w:tr>
      <w:tr>
        <w:tc>
          <w:tcPr>
            <w:tcW w:type="dxa" w:w="1542"/>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7"/>
                <w:szCs w:val="17"/>
                <w:rtl/>
              </w:rPr>
              <w:t xml:space="preserve">אשכולות 8–10 (חזק)</w:t>
            </w:r>
          </w:p>
        </w:tc>
        <w:tc>
          <w:tcPr>
            <w:tcW w:type="dxa" w:w="771"/>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48</w:t>
            </w:r>
          </w:p>
        </w:tc>
        <w:tc>
          <w:tcPr>
            <w:tcW w:type="dxa" w:w="964"/>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7"/>
                <w:szCs w:val="17"/>
                <w:rtl/>
              </w:rPr>
              <w:t xml:space="preserve">63.5</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54%</w:t>
            </w:r>
          </w:p>
        </w:tc>
        <w:tc>
          <w:tcPr>
            <w:tcW w:type="dxa" w:w="86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21%</w:t>
            </w:r>
          </w:p>
        </w:tc>
        <w:tc>
          <w:tcPr>
            <w:tcW w:type="dxa" w:w="1349"/>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10.9 דק׳</w:t>
            </w:r>
          </w:p>
        </w:tc>
        <w:tc>
          <w:tcPr>
            <w:tcW w:type="dxa" w:w="1157"/>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6.6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25.7 דק׳</w:t>
            </w:r>
          </w:p>
        </w:tc>
        <w:tc>
          <w:tcPr>
            <w:tcW w:type="dxa" w:w="1060"/>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7"/>
                <w:szCs w:val="17"/>
                <w:rtl/>
              </w:rPr>
              <w:t xml:space="preserve">35.1</w:t>
            </w:r>
          </w:p>
        </w:tc>
      </w:tr>
    </w:tbl>
    <w:p>
      <w:pPr>
        <w:spacing w:after="120"/>
        <w:jc w:val="center"/>
      </w:pPr>
      <w:r>
        <w:drawing>
          <wp:inline distT="0" distB="0" distL="0" distR="0">
            <wp:extent cx="4762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431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האשכול לבדו מטעה: רשויות באשכול נמוך במרכז הארץ (בני ברק, למשל) משורתות היטב בזכות המיקום, ולכן הפער החברתי-כלכלי נראה כאן קטן מהפער הגאוגרפי.</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7. עשרת המשורתים ביותר מול עשרת הפחות משורתים</w:t>
      </w:r>
    </w:p>
    <w:p>
      <w:pPr>
        <w:bidi/>
        <w:spacing w:after="120" w:line="300"/>
        <w:jc w:val="right"/>
      </w:pPr>
      <w:r>
        <w:rPr>
          <w:rFonts w:ascii="Arial" w:cs="Arial" w:eastAsia="Arial" w:hAnsi="Arial"/>
          <w:b w:val="false"/>
          <w:bCs w:val="false"/>
          <w:i w:val="false"/>
          <w:iCs w:val="false"/>
          <w:color w:val="0F172A"/>
          <w:sz w:val="22"/>
          <w:szCs w:val="22"/>
          <w:rtl/>
        </w:rPr>
        <w:t xml:space="preserve">לפי הציון המשוקלל. נכללים אזורים בשטח 0.3 קמ"ר ומעלה, כי אזור זעיר מקבל את רכיבי ההליכה כמעט אוטומטית.</w:t>
      </w:r>
    </w:p>
    <w:p>
      <w:pPr>
        <w:pStyle w:val="Heading2"/>
        <w:bidi/>
        <w:spacing w:after="100" w:before="200"/>
        <w:jc w:val="right"/>
      </w:pPr>
      <w:r>
        <w:rPr>
          <w:rFonts w:ascii="Arial" w:cs="Arial" w:eastAsia="Arial" w:hAnsi="Arial"/>
          <w:b/>
          <w:bCs/>
          <w:i w:val="false"/>
          <w:iCs w:val="false"/>
          <w:color w:val="32318E"/>
          <w:sz w:val="26"/>
          <w:szCs w:val="26"/>
          <w:rtl/>
        </w:rPr>
        <w:t xml:space="preserve">המשורתים ביותר</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2"/>
        <w:gridCol w:w="2602"/>
        <w:gridCol w:w="1638"/>
        <w:gridCol w:w="964"/>
        <w:gridCol w:w="1157"/>
        <w:gridCol w:w="1446"/>
        <w:gridCol w:w="1349"/>
      </w:tblGrid>
      <w:tr>
        <w:trPr>
          <w:tblHeader/>
        </w:trPr>
        <w:tc>
          <w:tcPr>
            <w:tcW w:type="dxa" w:w="482"/>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w:t>
            </w:r>
          </w:p>
        </w:tc>
        <w:tc>
          <w:tcPr>
            <w:tcW w:type="dxa" w:w="2602"/>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האזור</w:t>
            </w:r>
          </w:p>
        </w:tc>
        <w:tc>
          <w:tcPr>
            <w:tcW w:type="dxa" w:w="163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 המקומית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הציון שלנו</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ציון משרד התחבורה</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בשיא</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 - תעשיה זעירה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93</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68</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~8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2</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 - א"ת על צומת הקריות</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39</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~1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12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3</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 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בת ים</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76</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4</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גב ים - קרקעות תעשיה " ג " עמ</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36</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5</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טכנולוגי ליד מת"מ</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חיפה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43</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6</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צור שלום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קרית ביאליק</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92</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38</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~5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7</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מע״ר באר שבע</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באר שבע</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57</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~9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10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8</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הרצליה</w:t>
            </w:r>
          </w:p>
        </w:tc>
        <w:tc>
          <w:tcPr>
            <w:tcW w:type="dxa" w:w="964"/>
            <w:shd w:fill="8CC63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90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53</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~9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8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9</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התעשייה קריית אריה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64</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9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10</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התעשייה רמת סיב</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פתח תקווה</w:t>
            </w:r>
          </w:p>
        </w:tc>
        <w:tc>
          <w:tcPr>
            <w:tcW w:type="dxa" w:w="964"/>
            <w:shd w:fill="CFD41F"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64</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כל ~7 דק׳</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7 דק׳ הליכה</w:t>
            </w:r>
          </w:p>
        </w:tc>
      </w:tr>
    </w:tbl>
    <w:p>
      <w:pPr>
        <w:pStyle w:val="Heading2"/>
        <w:bidi/>
        <w:spacing w:after="100" w:before="200"/>
        <w:jc w:val="right"/>
      </w:pPr>
      <w:r>
        <w:rPr>
          <w:rFonts w:ascii="Arial" w:cs="Arial" w:eastAsia="Arial" w:hAnsi="Arial"/>
          <w:b/>
          <w:bCs/>
          <w:i w:val="false"/>
          <w:iCs w:val="false"/>
          <w:color w:val="32318E"/>
          <w:sz w:val="26"/>
          <w:szCs w:val="26"/>
          <w:rtl/>
        </w:rPr>
        <w:t xml:space="preserve">הפחות משורתים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482"/>
        <w:gridCol w:w="2602"/>
        <w:gridCol w:w="1638"/>
        <w:gridCol w:w="964"/>
        <w:gridCol w:w="1157"/>
        <w:gridCol w:w="1446"/>
        <w:gridCol w:w="1349"/>
      </w:tblGrid>
      <w:tr>
        <w:trPr>
          <w:tblHeader/>
        </w:trPr>
        <w:tc>
          <w:tcPr>
            <w:tcW w:type="dxa" w:w="482"/>
            <w:shd w:fill="EEF2FB" w:color="auto" w:val="clear"/>
            <w:tcMar>
              <w:top w:type="dxa" w:w="30"/>
              <w:left w:type="dxa" w:w="60"/>
              <w:bottom w:type="dxa" w:w="30"/>
              <w:right w:type="dxa" w:w="60"/>
            </w:tcMar>
            <w:vAlign w:val="center"/>
          </w:tcPr>
          <w:p>
            <w:pPr>
              <w:bidi/>
              <w:spacing w:after="0"/>
              <w:jc w:val="right"/>
            </w:pPr>
            <w:r>
              <w:rPr>
                <w:rFonts w:ascii="Arial" w:cs="Arial" w:eastAsia="Arial" w:hAnsi="Arial"/>
                <w:b/>
                <w:bCs/>
                <w:i w:val="false"/>
                <w:iCs w:val="false"/>
                <w:color w:val="043E7E"/>
                <w:sz w:val="16"/>
                <w:szCs w:val="16"/>
                <w:rtl/>
              </w:rPr>
              <w:t xml:space="preserve">#</w:t>
            </w:r>
          </w:p>
        </w:tc>
        <w:tc>
          <w:tcPr>
            <w:tcW w:type="dxa" w:w="2602"/>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האזור</w:t>
            </w:r>
          </w:p>
        </w:tc>
        <w:tc>
          <w:tcPr>
            <w:tcW w:type="dxa" w:w="1638"/>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הרשות המקומית</w:t>
            </w:r>
          </w:p>
        </w:tc>
        <w:tc>
          <w:tcPr>
            <w:tcW w:type="dxa" w:w="964"/>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הציון שלנו</w:t>
            </w:r>
          </w:p>
        </w:tc>
        <w:tc>
          <w:tcPr>
            <w:tcW w:type="dxa" w:w="1157"/>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ציון משרד התחבורה</w:t>
            </w:r>
          </w:p>
        </w:tc>
        <w:tc>
          <w:tcPr>
            <w:tcW w:type="dxa" w:w="1446"/>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הקו החזק בשיא</w:t>
            </w:r>
          </w:p>
        </w:tc>
        <w:tc>
          <w:tcPr>
            <w:tcW w:type="dxa" w:w="1349"/>
            <w:shd w:fill="EEF2FB"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043E7E"/>
                <w:sz w:val="16"/>
                <w:szCs w:val="16"/>
                <w:rtl/>
              </w:rPr>
              <w:t xml:space="preserve">הנקודה הרחוקה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רמת בקע</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2</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אשדוד צפון חדש</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אשדוד</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12</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34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3</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אתר לסילוק פסולת דודאים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4</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ממ״ג שורק</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יבנה</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50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5</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מעלה-ירושלים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ירושלים</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0</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23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6</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בראון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קדומים</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7</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תעשיות ראם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בני עי''ש</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8</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חח"ן</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זכרון יעקב</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12</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57 דק׳ הליכה</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9</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עברונה</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r>
        <w:tc>
          <w:tcPr>
            <w:tcW w:type="dxa" w:w="482"/>
            <w:tcMar>
              <w:top w:type="dxa" w:w="30"/>
              <w:left w:type="dxa" w:w="60"/>
              <w:bottom w:type="dxa" w:w="30"/>
              <w:right w:type="dxa" w:w="60"/>
            </w:tcMar>
            <w:vAlign w:val="center"/>
          </w:tcPr>
          <w:p>
            <w:pPr>
              <w:bidi/>
              <w:spacing w:after="0"/>
              <w:jc w:val="right"/>
            </w:pPr>
            <w:r>
              <w:rPr>
                <w:rFonts w:ascii="Arial" w:cs="Arial" w:eastAsia="Arial" w:hAnsi="Arial"/>
                <w:b w:val="false"/>
                <w:bCs w:val="false"/>
                <w:i w:val="false"/>
                <w:iCs w:val="false"/>
                <w:color w:val="0F172A"/>
                <w:sz w:val="16"/>
                <w:szCs w:val="16"/>
                <w:rtl/>
              </w:rPr>
              <w:t xml:space="preserve">10</w:t>
            </w:r>
          </w:p>
        </w:tc>
        <w:tc>
          <w:tcPr>
            <w:tcW w:type="dxa" w:w="2602"/>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תעשיות צבאים</w:t>
            </w:r>
          </w:p>
        </w:tc>
        <w:tc>
          <w:tcPr>
            <w:tcW w:type="dxa" w:w="1638"/>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964"/>
            <w:shd w:fill="050505" w:color="auto" w:val="clear"/>
            <w:tcMar>
              <w:top w:type="dxa" w:w="30"/>
              <w:left w:type="dxa" w:w="60"/>
              <w:bottom w:type="dxa" w:w="30"/>
              <w:right w:type="dxa" w:w="6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1157"/>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w:t>
            </w:r>
          </w:p>
        </w:tc>
        <w:tc>
          <w:tcPr>
            <w:tcW w:type="dxa" w:w="1446"/>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קו בשיא</w:t>
            </w:r>
          </w:p>
        </w:tc>
        <w:tc>
          <w:tcPr>
            <w:tcW w:type="dxa" w:w="1349"/>
            <w:tcMar>
              <w:top w:type="dxa" w:w="30"/>
              <w:left w:type="dxa" w:w="60"/>
              <w:bottom w:type="dxa" w:w="30"/>
              <w:right w:type="dxa" w:w="60"/>
            </w:tcMar>
            <w:vAlign w:val="center"/>
          </w:tcPr>
          <w:p>
            <w:pPr>
              <w:bidi/>
              <w:spacing w:after="0"/>
              <w:jc w:val="center"/>
            </w:pPr>
            <w:r>
              <w:rPr>
                <w:rFonts w:ascii="Arial" w:cs="Arial" w:eastAsia="Arial" w:hAnsi="Arial"/>
                <w:b w:val="false"/>
                <w:bCs w:val="false"/>
                <w:i w:val="false"/>
                <w:iCs w:val="false"/>
                <w:color w:val="0F172A"/>
                <w:sz w:val="16"/>
                <w:szCs w:val="16"/>
                <w:rtl/>
              </w:rPr>
              <w:t xml:space="preserve">אין תחנות בטווח</w:t>
            </w:r>
          </w:p>
        </w:tc>
      </w:tr>
    </w:tbl>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8. פערים בתוך אותה רשות מקומית</w:t>
      </w:r>
    </w:p>
    <w:p>
      <w:pPr>
        <w:bidi/>
        <w:spacing w:after="120" w:line="300"/>
        <w:jc w:val="right"/>
      </w:pPr>
      <w:r>
        <w:rPr>
          <w:rFonts w:ascii="Arial" w:cs="Arial" w:eastAsia="Arial" w:hAnsi="Arial"/>
          <w:b w:val="false"/>
          <w:bCs w:val="false"/>
          <w:i w:val="false"/>
          <w:iCs w:val="false"/>
          <w:color w:val="0F172A"/>
          <w:sz w:val="22"/>
          <w:szCs w:val="22"/>
          <w:rtl/>
        </w:rPr>
        <w:t xml:space="preserve">רשויות שבהן אזור אחד משורת היטב ואזור אחר באותה רשות כמעט לא. העמודה האחרונה מזהה את הרכיב שפותח את רוב הפער.</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157"/>
        <w:gridCol w:w="1735"/>
        <w:gridCol w:w="675"/>
        <w:gridCol w:w="1735"/>
        <w:gridCol w:w="675"/>
        <w:gridCol w:w="675"/>
        <w:gridCol w:w="2988"/>
      </w:tblGrid>
      <w:tr>
        <w:trPr>
          <w:tblHeader/>
        </w:trPr>
        <w:tc>
          <w:tcPr>
            <w:tcW w:type="dxa" w:w="1157"/>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6"/>
                <w:szCs w:val="16"/>
                <w:rtl/>
              </w:rPr>
              <w:t xml:space="preserve">הרשות</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האזור המשורת</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ציון</w:t>
            </w:r>
          </w:p>
        </w:tc>
        <w:tc>
          <w:tcPr>
            <w:tcW w:type="dxa" w:w="173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האזור המנותק</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ציון</w:t>
            </w:r>
          </w:p>
        </w:tc>
        <w:tc>
          <w:tcPr>
            <w:tcW w:type="dxa" w:w="675"/>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פער</w:t>
            </w:r>
          </w:p>
        </w:tc>
        <w:tc>
          <w:tcPr>
            <w:tcW w:type="dxa" w:w="298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6"/>
                <w:szCs w:val="16"/>
                <w:rtl/>
              </w:rPr>
              <w:t xml:space="preserve">מה פותח את הפער</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ירושלים</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י-ם פסגת-זאב</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מעלה-ירושלים</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89</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~9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אשדוד</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פארק המאה מערב - תעשיה כבדה</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84</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אשדוד צפון חדש</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84</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~13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יבנה</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דרומי</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82</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ממ״ג שורק</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82</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4 דק׳ מול 50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זכרון יעקב</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זכרון יעקב מזרח</w:t>
            </w:r>
          </w:p>
        </w:tc>
        <w:tc>
          <w:tcPr>
            <w:tcW w:type="dxa" w:w="675"/>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76</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חח"ן</w:t>
            </w:r>
          </w:p>
        </w:tc>
        <w:tc>
          <w:tcPr>
            <w:tcW w:type="dxa" w:w="675"/>
            <w:shd w:fill="050505"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76</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~20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בני שמעון</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מרחבים</w:t>
            </w:r>
          </w:p>
        </w:tc>
        <w:tc>
          <w:tcPr>
            <w:tcW w:type="dxa" w:w="675"/>
            <w:shd w:fill="F8D420"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76</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דביר</w:t>
            </w:r>
          </w:p>
        </w:tc>
        <w:tc>
          <w:tcPr>
            <w:tcW w:type="dxa" w:w="675"/>
            <w:shd w:fill="8E0B1E"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24</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52</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~36 דק׳ מול אין קו בשיא</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אפרת</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אפרת</w:t>
            </w:r>
          </w:p>
        </w:tc>
        <w:tc>
          <w:tcPr>
            <w:tcW w:type="dxa" w:w="675"/>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67</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גוש עציון</w:t>
            </w:r>
          </w:p>
        </w:tc>
        <w:tc>
          <w:tcPr>
            <w:tcW w:type="dxa" w:w="675"/>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16</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51</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9 דק׳ מול 36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הגלבוע</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מפעלי חמוצים בית השיטה</w:t>
            </w:r>
          </w:p>
        </w:tc>
        <w:tc>
          <w:tcPr>
            <w:tcW w:type="dxa" w:w="675"/>
            <w:shd w:fill="F5A11A"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66</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אזור תעשייה חבר</w:t>
            </w:r>
          </w:p>
        </w:tc>
        <w:tc>
          <w:tcPr>
            <w:tcW w:type="dxa" w:w="675"/>
            <w:shd w:fill="3F0A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15</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51</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14 דק׳ מול 24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קרית אתא</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אושה</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85</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קרית אתא - מתאר כ/150</w:t>
            </w:r>
          </w:p>
        </w:tc>
        <w:tc>
          <w:tcPr>
            <w:tcW w:type="dxa" w:w="675"/>
            <w:shd w:fill="C00D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34</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51</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הליכת העובד המרוחק: 8 דק׳ מול 40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זבולון</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יגור 1</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89</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כפר המכבי</w:t>
            </w:r>
          </w:p>
        </w:tc>
        <w:tc>
          <w:tcPr>
            <w:tcW w:type="dxa" w:w="675"/>
            <w:shd w:fill="E63C14"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40</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49</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~10 דק׳ מול כל ~90 דק׳</w:t>
            </w:r>
          </w:p>
        </w:tc>
      </w:tr>
      <w:tr>
        <w:tc>
          <w:tcPr>
            <w:tcW w:type="dxa" w:w="1157"/>
            <w:tcMar>
              <w:top w:type="dxa" w:w="60"/>
              <w:left w:type="dxa" w:w="80"/>
              <w:bottom w:type="dxa" w:w="60"/>
              <w:right w:type="dxa" w:w="80"/>
            </w:tcMar>
            <w:vAlign w:val="center"/>
          </w:tcPr>
          <w:p>
            <w:pPr>
              <w:bidi/>
              <w:spacing w:after="0"/>
              <w:jc w:val="right"/>
            </w:pPr>
            <w:r>
              <w:rPr>
                <w:rFonts w:ascii="Arial" w:cs="Arial" w:eastAsia="Arial" w:hAnsi="Arial"/>
                <w:b w:val="false"/>
                <w:bCs w:val="false"/>
                <w:i w:val="false"/>
                <w:iCs w:val="false"/>
                <w:color w:val="0F172A"/>
                <w:sz w:val="16"/>
                <w:szCs w:val="16"/>
                <w:rtl/>
              </w:rPr>
              <w:t xml:space="preserve">חריש</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מצר</w:t>
            </w:r>
          </w:p>
        </w:tc>
        <w:tc>
          <w:tcPr>
            <w:tcW w:type="dxa" w:w="675"/>
            <w:shd w:fill="CFD41F"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F172A"/>
                <w:sz w:val="16"/>
                <w:szCs w:val="16"/>
                <w:rtl/>
              </w:rPr>
              <w:t xml:space="preserve">81</w:t>
            </w:r>
          </w:p>
        </w:tc>
        <w:tc>
          <w:tcPr>
            <w:tcW w:type="dxa" w:w="173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מענית</w:t>
            </w:r>
          </w:p>
        </w:tc>
        <w:tc>
          <w:tcPr>
            <w:tcW w:type="dxa" w:w="675"/>
            <w:shd w:fill="C00D18"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FFFFFF"/>
                <w:sz w:val="16"/>
                <w:szCs w:val="16"/>
                <w:rtl/>
              </w:rPr>
              <w:t xml:space="preserve">34</w:t>
            </w:r>
          </w:p>
        </w:tc>
        <w:tc>
          <w:tcPr>
            <w:tcW w:type="dxa" w:w="675"/>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47</w:t>
            </w:r>
          </w:p>
        </w:tc>
        <w:tc>
          <w:tcPr>
            <w:tcW w:type="dxa" w:w="298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6"/>
                <w:szCs w:val="16"/>
                <w:rtl/>
              </w:rPr>
              <w:t xml:space="preserve">הקו החזק: כל ~26 דק׳ מול כל ~180 דק׳</w:t>
            </w:r>
          </w:p>
        </w:tc>
      </w:tr>
    </w:tbl>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9. אזורים חריגים</w:t>
      </w:r>
    </w:p>
    <w:p>
      <w:pPr>
        <w:pStyle w:val="Heading2"/>
        <w:bidi/>
        <w:spacing w:after="100" w:before="200"/>
        <w:jc w:val="right"/>
      </w:pPr>
      <w:r>
        <w:rPr>
          <w:rFonts w:ascii="Arial" w:cs="Arial" w:eastAsia="Arial" w:hAnsi="Arial"/>
          <w:b/>
          <w:bCs/>
          <w:i w:val="false"/>
          <w:iCs w:val="false"/>
          <w:color w:val="32318E"/>
          <w:sz w:val="26"/>
          <w:szCs w:val="26"/>
          <w:rtl/>
        </w:rPr>
        <w:t xml:space="preserve">רמת בקע</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0</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14.29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קו בשיא</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תחנות</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14.29 קמ״ר, ציון 0. אין אף קו בשיא הבוקר.</w:t>
      </w:r>
    </w:p>
    <w:p>
      <w:pPr>
        <w:spacing w:after="120"/>
        <w:jc w:val="center"/>
      </w:pPr>
      <w:r>
        <w:drawing>
          <wp:inline distT="0" distB="0" distL="0" distR="0">
            <wp:extent cx="4953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52768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מישור אדומים · מעלה אדומים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8E0B1E"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27</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32</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3.37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כל ~90 דק׳</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36 דק׳</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3.37 קמ״ר, ציון 27. הקו החזק כל ~90 דק׳, העובד המרוחק הולך 36 דק׳.</w:t>
      </w:r>
    </w:p>
    <w:p>
      <w:pPr>
        <w:spacing w:after="120"/>
        <w:jc w:val="center"/>
      </w:pPr>
      <w:r>
        <w:drawing>
          <wp:inline distT="0" distB="0" distL="0" distR="0">
            <wp:extent cx="4953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40576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אזור תעשייה נאות חובב · נאות חובב</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3F0A18"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15</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3.28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כל ~90 דק׳</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 דק׳</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3.28 קמ״ר, ציון 15. הקו החזק כל ~90 דק׳, העובד המרוחק הולך 20 דק׳.</w:t>
      </w:r>
    </w:p>
    <w:p>
      <w:pPr>
        <w:spacing w:after="120"/>
        <w:jc w:val="center"/>
      </w:pPr>
      <w:r>
        <w:drawing>
          <wp:inline distT="0" distB="0" distL="0" distR="0">
            <wp:extent cx="4953000" cy="671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671512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אשדוד צפון חדש · אשדוד</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0</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12</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2.77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קו בשיא</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34 דק׳</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2.77 קמ״ר, ציון 0. אין אף קו בשיא הבוקר, העובד המרוחק הולך 34 דק׳.</w:t>
      </w:r>
    </w:p>
    <w:p>
      <w:pPr>
        <w:spacing w:after="120"/>
        <w:jc w:val="center"/>
      </w:pPr>
      <w:r>
        <w:drawing>
          <wp:inline distT="0" distB="0" distL="0" distR="0">
            <wp:extent cx="4953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50101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שדה תעופה עובדה · חבל אילות</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6</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2.5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קו בשיא</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39 דק׳</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2.5 קמ״ר, ציון 6. אין אף קו בשיא הבוקר, העובד המרוחק הולך 39 דק׳.</w:t>
      </w:r>
    </w:p>
    <w:p>
      <w:pPr>
        <w:spacing w:after="120"/>
        <w:jc w:val="center"/>
      </w:pPr>
      <w:r>
        <w:drawing>
          <wp:inline distT="0" distB="0" distL="0" distR="0">
            <wp:extent cx="4953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57721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אתר לסילוק פסולת דודאים</w:t>
      </w:r>
    </w:p>
    <w:tbl>
      <w:tblPr>
        <w:bidiVisual/>
        <w:tblW w:type="dxa" w:w="9638"/>
        <w:tblBorders>
          <w:top w:val="single" w:color="C7D2F0" w:sz="4"/>
          <w:left w:val="single" w:color="C7D2F0" w:sz="4"/>
          <w:bottom w:val="single" w:color="C7D2F0" w:sz="4"/>
          <w:right w:val="single" w:color="C7D2F0" w:sz="4"/>
          <w:insideH w:val="single" w:color="C7D2F0" w:sz="4"/>
          <w:insideV w:val="single" w:color="C7D2F0" w:sz="4"/>
        </w:tblBorders>
      </w:tblPr>
      <w:tblGrid>
        <w:gridCol w:w="1542"/>
        <w:gridCol w:w="1928"/>
        <w:gridCol w:w="1542"/>
        <w:gridCol w:w="2313"/>
        <w:gridCol w:w="2313"/>
      </w:tblGrid>
      <w:tr>
        <w:trPr>
          <w:tblHeader/>
        </w:trPr>
        <w:tc>
          <w:tcPr>
            <w:tcW w:type="dxa" w:w="1542"/>
            <w:shd w:fill="EEF2FB"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043E7E"/>
                <w:sz w:val="19"/>
                <w:szCs w:val="19"/>
                <w:rtl/>
              </w:rPr>
              <w:t xml:space="preserve">הציון שלנו</w:t>
            </w:r>
          </w:p>
        </w:tc>
        <w:tc>
          <w:tcPr>
            <w:tcW w:type="dxa" w:w="1928"/>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ציון משרד התחבורה</w:t>
            </w:r>
          </w:p>
        </w:tc>
        <w:tc>
          <w:tcPr>
            <w:tcW w:type="dxa" w:w="1542"/>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שטח</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הקו החזק בשיא</w:t>
            </w:r>
          </w:p>
        </w:tc>
        <w:tc>
          <w:tcPr>
            <w:tcW w:type="dxa" w:w="2313"/>
            <w:shd w:fill="EEF2FB" w:color="auto" w:val="clear"/>
            <w:tcMar>
              <w:top w:type="dxa" w:w="60"/>
              <w:left w:type="dxa" w:w="80"/>
              <w:bottom w:type="dxa" w:w="60"/>
              <w:right w:type="dxa" w:w="80"/>
            </w:tcMar>
            <w:vAlign w:val="center"/>
          </w:tcPr>
          <w:p>
            <w:pPr>
              <w:bidi/>
              <w:spacing w:after="0"/>
              <w:jc w:val="center"/>
            </w:pPr>
            <w:r>
              <w:rPr>
                <w:rFonts w:ascii="Arial" w:cs="Arial" w:eastAsia="Arial" w:hAnsi="Arial"/>
                <w:b/>
                <w:bCs/>
                <w:i w:val="false"/>
                <w:iCs w:val="false"/>
                <w:color w:val="043E7E"/>
                <w:sz w:val="19"/>
                <w:szCs w:val="19"/>
                <w:rtl/>
              </w:rPr>
              <w:t xml:space="preserve">הנקודה הרחוקה</w:t>
            </w:r>
          </w:p>
        </w:tc>
      </w:tr>
      <w:tr>
        <w:tc>
          <w:tcPr>
            <w:tcW w:type="dxa" w:w="1542"/>
            <w:shd w:fill="050505" w:color="auto" w:val="clear"/>
            <w:tcMar>
              <w:top w:type="dxa" w:w="60"/>
              <w:left w:type="dxa" w:w="80"/>
              <w:bottom w:type="dxa" w:w="60"/>
              <w:right w:type="dxa" w:w="80"/>
            </w:tcMar>
            <w:vAlign w:val="center"/>
          </w:tcPr>
          <w:p>
            <w:pPr>
              <w:bidi/>
              <w:spacing w:after="0"/>
              <w:jc w:val="right"/>
            </w:pPr>
            <w:r>
              <w:rPr>
                <w:rFonts w:ascii="Arial" w:cs="Arial" w:eastAsia="Arial" w:hAnsi="Arial"/>
                <w:b/>
                <w:bCs/>
                <w:i w:val="false"/>
                <w:iCs w:val="false"/>
                <w:color w:val="FFFFFF"/>
                <w:sz w:val="19"/>
                <w:szCs w:val="19"/>
                <w:rtl/>
              </w:rPr>
              <w:t xml:space="preserve">0</w:t>
            </w:r>
          </w:p>
        </w:tc>
        <w:tc>
          <w:tcPr>
            <w:tcW w:type="dxa" w:w="1928"/>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w:t>
            </w:r>
          </w:p>
        </w:tc>
        <w:tc>
          <w:tcPr>
            <w:tcW w:type="dxa" w:w="1542"/>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2.07 קמ"ר</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קו בשיא</w:t>
            </w:r>
          </w:p>
        </w:tc>
        <w:tc>
          <w:tcPr>
            <w:tcW w:type="dxa" w:w="2313"/>
            <w:tcMar>
              <w:top w:type="dxa" w:w="60"/>
              <w:left w:type="dxa" w:w="80"/>
              <w:bottom w:type="dxa" w:w="60"/>
              <w:right w:type="dxa" w:w="80"/>
            </w:tcMar>
            <w:vAlign w:val="center"/>
          </w:tcPr>
          <w:p>
            <w:pPr>
              <w:bidi/>
              <w:spacing w:after="0"/>
              <w:jc w:val="center"/>
            </w:pPr>
            <w:r>
              <w:rPr>
                <w:rFonts w:ascii="Arial" w:cs="Arial" w:eastAsia="Arial" w:hAnsi="Arial"/>
                <w:b w:val="false"/>
                <w:bCs w:val="false"/>
                <w:i w:val="false"/>
                <w:iCs w:val="false"/>
                <w:color w:val="0F172A"/>
                <w:sz w:val="19"/>
                <w:szCs w:val="19"/>
                <w:rtl/>
              </w:rPr>
              <w:t xml:space="preserve">אין תחנות</w:t>
            </w:r>
          </w:p>
        </w:tc>
      </w:tr>
    </w:tbl>
    <w:p>
      <w:pPr>
        <w:bidi/>
        <w:spacing w:after="120" w:line="300"/>
        <w:jc w:val="right"/>
      </w:pPr>
      <w:r>
        <w:rPr>
          <w:rFonts w:ascii="Arial" w:cs="Arial" w:eastAsia="Arial" w:hAnsi="Arial"/>
          <w:b/>
          <w:bCs/>
          <w:i w:val="false"/>
          <w:iCs w:val="false"/>
          <w:color w:val="0F172A"/>
          <w:sz w:val="22"/>
          <w:szCs w:val="22"/>
          <w:rtl/>
        </w:rPr>
        <w:t xml:space="preserve">ענק בלי שירות. </w:t>
      </w:r>
      <w:r>
        <w:rPr>
          <w:rFonts w:ascii="Arial" w:cs="Arial" w:eastAsia="Arial" w:hAnsi="Arial"/>
          <w:b w:val="false"/>
          <w:bCs w:val="false"/>
          <w:i w:val="false"/>
          <w:iCs w:val="false"/>
          <w:color w:val="0F172A"/>
          <w:sz w:val="22"/>
          <w:szCs w:val="22"/>
          <w:rtl/>
        </w:rPr>
        <w:t xml:space="preserve">2.07 קמ״ר, ציון 0. אין אף קו בשיא הבוקר.</w:t>
      </w:r>
    </w:p>
    <w:p>
      <w:pPr>
        <w:spacing w:after="120"/>
        <w:jc w:val="center"/>
      </w:pPr>
      <w:r>
        <w:drawing>
          <wp:inline distT="0" distB="0" distL="0" distR="0">
            <wp:extent cx="4953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431482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10. מפות של אזורים לדוגמה</w:t>
      </w:r>
    </w:p>
    <w:p>
      <w:pPr>
        <w:bidi/>
        <w:spacing w:after="120" w:line="300"/>
        <w:jc w:val="right"/>
      </w:pPr>
      <w:r>
        <w:rPr>
          <w:rFonts w:ascii="Arial" w:cs="Arial" w:eastAsia="Arial" w:hAnsi="Arial"/>
          <w:b w:val="false"/>
          <w:bCs w:val="false"/>
          <w:i w:val="false"/>
          <w:iCs w:val="false"/>
          <w:color w:val="0F172A"/>
          <w:sz w:val="22"/>
          <w:szCs w:val="22"/>
          <w:rtl/>
        </w:rPr>
        <w:t xml:space="preserve">ארבעה אזורים על רקע מפת רחובות (OpenStreetMap): גבול האזור, התחנות בצבעי הסיווג לפי מרחק ההליכה, ומרכז האזור.</w:t>
      </w:r>
    </w:p>
    <w:p>
      <w:pPr>
        <w:pStyle w:val="Heading2"/>
        <w:bidi/>
        <w:spacing w:after="100" w:before="200"/>
        <w:jc w:val="right"/>
      </w:pPr>
      <w:r>
        <w:rPr>
          <w:rFonts w:ascii="Arial" w:cs="Arial" w:eastAsia="Arial" w:hAnsi="Arial"/>
          <w:b/>
          <w:bCs/>
          <w:i w:val="false"/>
          <w:iCs w:val="false"/>
          <w:color w:val="32318E"/>
          <w:sz w:val="26"/>
          <w:szCs w:val="26"/>
          <w:rtl/>
        </w:rPr>
        <w:t xml:space="preserve">פתח תקווה - תעשיה זעירה · פתח תקווה · ציון 93</w:t>
      </w:r>
    </w:p>
    <w:p>
      <w:pPr>
        <w:spacing w:after="120"/>
        <w:jc w:val="center"/>
      </w:pPr>
      <w:r>
        <w:drawing>
          <wp:inline distT="0" distB="0" distL="0" distR="0">
            <wp:extent cx="5334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93395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pPr>
        <w:bidi/>
        <w:spacing w:after="120" w:line="300"/>
        <w:jc w:val="right"/>
      </w:pPr>
      <w:r>
        <w:rPr>
          <w:rFonts w:ascii="Arial" w:cs="Arial" w:eastAsia="Arial" w:hAnsi="Arial"/>
          <w:b w:val="false"/>
          <w:bCs w:val="false"/>
          <w:i w:val="false"/>
          <w:iCs w:val="false"/>
          <w:color w:val="0F172A"/>
          <w:sz w:val="22"/>
          <w:szCs w:val="22"/>
          <w:rtl/>
        </w:rPr>
        <w:t xml:space="preserve">שטח 0.35 קמ"ר · 193 קווים · הקו החזק כל ~8 דק׳ · הנקודה הרחוקה 5 דק׳ · ממרכז האזור לתחנה 2 דק׳</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אזור התעשייה קריית אריה · פתח תקווה · ציון 89</w:t>
      </w:r>
    </w:p>
    <w:p>
      <w:pPr>
        <w:spacing w:after="120"/>
        <w:jc w:val="center"/>
      </w:pPr>
      <w:r>
        <w:drawing>
          <wp:inline distT="0" distB="0" distL="0" distR="0">
            <wp:extent cx="5334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99110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pPr>
        <w:bidi/>
        <w:spacing w:after="120" w:line="300"/>
        <w:jc w:val="right"/>
      </w:pPr>
      <w:r>
        <w:rPr>
          <w:rFonts w:ascii="Arial" w:cs="Arial" w:eastAsia="Arial" w:hAnsi="Arial"/>
          <w:b w:val="false"/>
          <w:bCs w:val="false"/>
          <w:i w:val="false"/>
          <w:iCs w:val="false"/>
          <w:color w:val="0F172A"/>
          <w:sz w:val="22"/>
          <w:szCs w:val="22"/>
          <w:rtl/>
        </w:rPr>
        <w:t xml:space="preserve">שטח 2.43 קמ"ר · 212 קווים · הקו החזק כל ~7 דק׳ · הנקודה הרחוקה 9 דק׳ · ממרכז האזור לתחנה 3 דק׳</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שחק-שקד · שקד · ציון 20</w:t>
      </w:r>
    </w:p>
    <w:p>
      <w:pPr>
        <w:spacing w:after="120"/>
        <w:jc w:val="center"/>
      </w:pPr>
      <w:r>
        <w:drawing>
          <wp:inline distT="0" distB="0" distL="0" distR="0">
            <wp:extent cx="5334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5410200"/>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pPr>
        <w:bidi/>
        <w:spacing w:after="120" w:line="300"/>
        <w:jc w:val="right"/>
      </w:pPr>
      <w:r>
        <w:rPr>
          <w:rFonts w:ascii="Arial" w:cs="Arial" w:eastAsia="Arial" w:hAnsi="Arial"/>
          <w:b w:val="false"/>
          <w:bCs w:val="false"/>
          <w:i w:val="false"/>
          <w:iCs w:val="false"/>
          <w:color w:val="0F172A"/>
          <w:sz w:val="22"/>
          <w:szCs w:val="22"/>
          <w:rtl/>
        </w:rPr>
        <w:t xml:space="preserve">שטח 0.48 קמ"ר · 4 קווים · הקו החזק כל ~90 דק׳ · הנקודה הרחוקה 62 דק׳ · ממרכז האזור לתחנה 16 דק׳</w:t>
      </w:r>
    </w:p>
    <w:p>
      <w:r>
        <w:br w:type="page"/>
      </w:r>
    </w:p>
    <w:p>
      <w:pPr>
        <w:pStyle w:val="Heading2"/>
        <w:bidi/>
        <w:spacing w:after="100" w:before="200"/>
        <w:jc w:val="right"/>
      </w:pPr>
      <w:r>
        <w:rPr>
          <w:rFonts w:ascii="Arial" w:cs="Arial" w:eastAsia="Arial" w:hAnsi="Arial"/>
          <w:b/>
          <w:bCs/>
          <w:i w:val="false"/>
          <w:iCs w:val="false"/>
          <w:color w:val="32318E"/>
          <w:sz w:val="26"/>
          <w:szCs w:val="26"/>
          <w:rtl/>
        </w:rPr>
        <w:t xml:space="preserve">מישור אדומים · מעלה אדומים · ציון 27</w:t>
      </w:r>
    </w:p>
    <w:p>
      <w:pPr>
        <w:spacing w:after="120"/>
        <w:jc w:val="center"/>
      </w:pPr>
      <w:r>
        <w:drawing>
          <wp:inline distT="0" distB="0" distL="0" distR="0">
            <wp:extent cx="5334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371975"/>
                    </a:xfrm>
                    <a:prstGeom prst="rect">
                      <a:avLst/>
                    </a:prstGeom>
                  </pic:spPr>
                </pic:pic>
              </a:graphicData>
            </a:graphic>
          </wp:inline>
        </w:drawing>
      </w:r>
    </w:p>
    <w:p>
      <w:pPr>
        <w:bidi/>
        <w:spacing w:after="160" w:line="300"/>
        <w:jc w:val="right"/>
      </w:pPr>
      <w:r>
        <w:rPr>
          <w:rFonts w:ascii="Arial" w:cs="Arial" w:eastAsia="Arial" w:hAnsi="Arial"/>
          <w:b w:val="false"/>
          <w:bCs w:val="false"/>
          <w:i/>
          <w:iCs/>
          <w:color w:val="475569"/>
          <w:sz w:val="19"/>
          <w:szCs w:val="19"/>
          <w:rtl/>
        </w:rPr>
        <w:t xml:space="preserve">גבול כחול = האזור · ✚ = מרכז האזור · תחנות: ירוק = בתוך האזור, ירוק בהיר = עד 5 דק׳ הליכה, צהוב = 5–10, כתום = 10–20 · רקע: © OpenStreetMap contributors</w:t>
      </w:r>
    </w:p>
    <w:p>
      <w:pPr>
        <w:bidi/>
        <w:spacing w:after="120" w:line="300"/>
        <w:jc w:val="right"/>
      </w:pPr>
      <w:r>
        <w:rPr>
          <w:rFonts w:ascii="Arial" w:cs="Arial" w:eastAsia="Arial" w:hAnsi="Arial"/>
          <w:b w:val="false"/>
          <w:bCs w:val="false"/>
          <w:i w:val="false"/>
          <w:iCs w:val="false"/>
          <w:color w:val="0F172A"/>
          <w:sz w:val="22"/>
          <w:szCs w:val="22"/>
          <w:rtl/>
        </w:rPr>
        <w:t xml:space="preserve">שטח 3.37 קמ"ר · 7 קווים · הקו החזק כל ~90 דק׳ · הנקודה הרחוקה 36 דק׳ · ממרכז האזור לתחנה 2 דק׳</w:t>
      </w:r>
    </w:p>
    <w:p>
      <w:r>
        <w:br w:type="page"/>
      </w:r>
    </w:p>
    <w:p>
      <w:pPr>
        <w:pStyle w:val="Heading1"/>
        <w:bidi/>
        <w:spacing w:after="160" w:before="240"/>
        <w:jc w:val="right"/>
      </w:pPr>
      <w:r>
        <w:rPr>
          <w:rFonts w:ascii="Arial" w:cs="Arial" w:eastAsia="Arial" w:hAnsi="Arial"/>
          <w:b/>
          <w:bCs/>
          <w:i w:val="false"/>
          <w:iCs w:val="false"/>
          <w:color w:val="043E7E"/>
          <w:sz w:val="34"/>
          <w:szCs w:val="34"/>
          <w:rtl/>
        </w:rPr>
        <w:t xml:space="preserve">נספח: איך לאמת כל מספר</w:t>
      </w:r>
    </w:p>
    <w:p>
      <w:pPr>
        <w:bidi/>
        <w:spacing w:after="120" w:line="300"/>
        <w:jc w:val="right"/>
      </w:pPr>
      <w:r>
        <w:rPr>
          <w:rFonts w:ascii="Arial" w:cs="Arial" w:eastAsia="Arial" w:hAnsi="Arial"/>
          <w:b w:val="false"/>
          <w:bCs w:val="false"/>
          <w:i w:val="false"/>
          <w:iCs w:val="false"/>
          <w:color w:val="0F172A"/>
          <w:sz w:val="22"/>
          <w:szCs w:val="22"/>
          <w:rtl/>
        </w:rPr>
        <w:t xml:space="preserve">כל אזור שמופיע בדו"ח ניתן לפתיחה באתר: הציון, רכיביו, רשימת הקווים המלאה עם לוחות הזמנים, והמפה. הדו"ח נבנה אוטומטית מאותם קבצים שהאתר קורא.</w:t>
      </w:r>
    </w:p>
    <w:p>
      <w:pPr>
        <w:bidi/>
        <w:spacing w:after="120" w:line="300"/>
        <w:jc w:val="right"/>
      </w:pPr>
      <w:r>
        <w:rPr>
          <w:rFonts w:ascii="Arial" w:cs="Arial" w:eastAsia="Arial" w:hAnsi="Arial"/>
          <w:b w:val="false"/>
          <w:bCs w:val="false"/>
          <w:i w:val="false"/>
          <w:iCs w:val="false"/>
          <w:color w:val="0F172A"/>
          <w:sz w:val="22"/>
          <w:szCs w:val="22"/>
          <w:rtl/>
        </w:rPr>
        <w:t xml:space="preserve">נוסחה 02.09.2026 · GTFS 2026-09-02 · הדו"ח חושב 02.09.2026 12:06 (שעון ישראל)</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עמוד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0"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961aa077be618e0d6ab553295ecf9e038d7d9a.png"/><Relationship Id="rId9" Type="http://schemas.openxmlformats.org/officeDocument/2006/relationships/image" Target="media/00363cc70453f101a7e3c69f0f07a258f4611759.png"/><Relationship Id="rId10" Type="http://schemas.openxmlformats.org/officeDocument/2006/relationships/image" Target="media/bad0635194cbfa0a803e742afe863c26fa645ffd.png"/><Relationship Id="rId11" Type="http://schemas.openxmlformats.org/officeDocument/2006/relationships/image" Target="media/e9e83c3af652eed34a5974a25e9b006f16c51c00.png"/><Relationship Id="rId12" Type="http://schemas.openxmlformats.org/officeDocument/2006/relationships/image" Target="media/bf315eeb58c7b270ab23c53aa0b2f5229247747d.png"/><Relationship Id="rId13" Type="http://schemas.openxmlformats.org/officeDocument/2006/relationships/image" Target="media/ab353e435cc9dc9b002b18a61223964031962996.png"/><Relationship Id="rId14" Type="http://schemas.openxmlformats.org/officeDocument/2006/relationships/image" Target="media/b8338924ae2286cd28053375c9cae90ed277fe9e.png"/><Relationship Id="rId15" Type="http://schemas.openxmlformats.org/officeDocument/2006/relationships/image" Target="media/04b170fed954798fc5c7ca41529260948652a737.png"/><Relationship Id="rId16" Type="http://schemas.openxmlformats.org/officeDocument/2006/relationships/image" Target="media/4b03afa09ddb190869fbbb660609eddeab5c39cb.png"/><Relationship Id="rId17" Type="http://schemas.openxmlformats.org/officeDocument/2006/relationships/image" Target="media/cfa919fbebdff121c868cd56bb90e9e5209976ab.png"/><Relationship Id="rId18" Type="http://schemas.openxmlformats.org/officeDocument/2006/relationships/image" Target="media/c48d99b51645170549526a2670b6a74c3521a941.png"/><Relationship Id="rId19" Type="http://schemas.openxmlformats.org/officeDocument/2006/relationships/image" Target="media/e3f328f3ed725e2f66c6412560db3ccf8fa0e750.png"/><Relationship Id="rId20" Type="http://schemas.openxmlformats.org/officeDocument/2006/relationships/image" Target="media/a0f4682e20820cab7adb086030511049cdf2bd1d.png"/><Relationship Id="rId21" Type="http://schemas.openxmlformats.org/officeDocument/2006/relationships/image" Target="media/13adc46b7f021498df6441aa5b90596abd49a00b.png"/><Relationship Id="rId22" Type="http://schemas.openxmlformats.org/officeDocument/2006/relationships/image" Target="media/4d66a8487f6062a56cf41357b21b695f08ebb6db.png"/><Relationship Id="rId23" Type="http://schemas.openxmlformats.org/officeDocument/2006/relationships/image" Target="media/fd9beb4f96c7db8267d825fc5b85b4217ada9c7f.png"/><Relationship Id="rId24" Type="http://schemas.openxmlformats.org/officeDocument/2006/relationships/image" Target="media/3f4e5024b8872e0535ab0d13f1919075fa808c2e.png"/><Relationship Id="rId25" Type="http://schemas.openxmlformats.org/officeDocument/2006/relationships/image" Target="media/1b151b022383250a1172e314cd540f3826d73309.png"/><Relationship Id="rId26" Type="http://schemas.openxmlformats.org/officeDocument/2006/relationships/image" Target="media/302418a6fb96038d3302d71c742d885bb034ec5e.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נגישות אזורי התעשייה בישראל לתחבורה ציבורית</dc:title>
  <dc:creator>הקו הבוחן</dc:creator>
  <cp:lastModifiedBy>Un-named</cp:lastModifiedBy>
  <cp:revision>1</cp:revision>
  <dcterms:created xsi:type="dcterms:W3CDTF">2026-09-02T09:06:53.941Z</dcterms:created>
  <dcterms:modified xsi:type="dcterms:W3CDTF">2026-09-02T09:06:53.941Z</dcterms:modified>
</cp:coreProperties>
</file>

<file path=docProps/custom.xml><?xml version="1.0" encoding="utf-8"?>
<Properties xmlns="http://schemas.openxmlformats.org/officeDocument/2006/custom-properties" xmlns:vt="http://schemas.openxmlformats.org/officeDocument/2006/docPropsVTypes"/>
</file>