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363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14:10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46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363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67.3.</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11</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215</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59%</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75</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62</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17%</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5 אזורים (1%)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53% מכל יציאות האוטובוס בשעות השיא בארץ, ו-5% המובילים מקבלים 36%. האזור החציוני מקבל 72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10.1 דק׳; ב-10%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וב-26%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אותן עובדות, בתרשימים</w:t>
      </w:r>
    </w:p>
    <w:p>
      <w:pPr>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spacing w:after="12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81375"/>
                    </a:xfrm>
                    <a:prstGeom prst="rect">
                      <a:avLst/>
                    </a:prstGeom>
                  </pic:spPr>
                </pic:pic>
              </a:graphicData>
            </a:graphic>
          </wp:inline>
        </w:drawing>
      </w:r>
    </w:p>
    <w:p>
      <w:pPr>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(130 אזורים) · "פריפריה" = כל השאר (233).</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130</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34.8</w:t>
            </w:r>
          </w:p>
        </w:tc>
      </w:tr>
    </w:tbl>
    <w:p>
      <w:pPr>
        <w:bidi/>
        <w:spacing w:after="60"/>
        <w:jc w:val="right"/>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(359 מתוך 363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154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95</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9.4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59.3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82</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56.9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pPr>
        <w:bidi/>
        <w:spacing w:after="60"/>
        <w:jc w:val="right"/>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146</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25.4</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51 אזורים מתויגים כמגזר מיעוטים, מול 312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44.4</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72.7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63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71.2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210</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43.8</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למה הפערים קטנים ממה שמצפים — פירוק הציון לרכיבים</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130</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73.5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63.8 (25.5)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71.3 (21.4)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87.1 (17.4)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91.6 (9.2)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63.8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50.5 (20.2)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67.9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71.8 (14.4)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88.7 (8.9)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154</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68.5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56.2 (22.5)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72.1 (21.6)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76.6 (15.3)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95</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76.9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67.8 (27.1)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73.9 (22.2)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91.6 (18.3)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92.2 (9.2)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43.4 (17.4)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64.7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68.1 (13.6)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88.8 (8.9)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58.3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56.9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43.6 (17.4)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59.8 (17.9)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65.5 (13.1)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84.9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312</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66.9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55.1 (22)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68.4 (20.5)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76.6 (15.3)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89.7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61.3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48.5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65.4 (19.6)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68.8 (13.8)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85.4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27.9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72.7</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60.6 (24.2)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73.5 (22.1)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86.3 (17.3)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bidi/>
        <w:spacing w:after="120" w:line="300"/>
        <w:jc w:val="right"/>
      </w:pPr>
      <w:r>
        <w:rPr>
          <w:rFonts w:ascii="Arial" w:cs="Arial" w:eastAsia="Arial" w:hAnsi="Arial"/>
          <w:b w:val="false"/>
          <w:bCs w:val="false"/>
          <w:i w:val="false"/>
          <w:iCs w:val="false"/>
          <w:color w:val="0F172A"/>
          <w:sz w:val="22"/>
          <w:szCs w:val="22"/>
          <w:rtl/>
        </w:rPr>
        <w:t xml:space="preserve">מה רואים: כמעט כל הפער בין הקבוצות נמצא בשני רכיבי התדירות (הקו החזק והתדירות הממוצעת). שני רכיבי ההליכה, שהם 40% מהציון, כמעט זהים בכל הקבוצות — כי רוב אזורי התעשייה בישראל קטנים, ובאזור קטן כל תחנה קרובה לכל נקודה. אזור של 0.2 קמ"ר עם תחנה אחת מקבל 80–100 בשני רכיבי ההליכה בלי קשר לשירות בתחנה. ולכן שתי קבוצות שנבדלות מאוד בתדירות נבדלות בציון פחות ממה שנראה בשטח.</w:t>
      </w:r>
    </w:p>
    <w:p>
      <w:pPr>
        <w:bidi/>
        <w:spacing w:after="120" w:line="300"/>
        <w:jc w:val="right"/>
      </w:pPr>
      <w:r>
        <w:rPr>
          <w:rFonts w:ascii="Arial" w:cs="Arial" w:eastAsia="Arial" w:hAnsi="Arial"/>
          <w:b w:val="false"/>
          <w:bCs w:val="false"/>
          <w:i w:val="false"/>
          <w:iCs w:val="false"/>
          <w:color w:val="0F172A"/>
          <w:sz w:val="22"/>
          <w:szCs w:val="22"/>
          <w:rtl/>
        </w:rPr>
        <w:t xml:space="preserve">בחתך המגזרי מצטרף גורם שני: השוואה בין אזורים, לא בין אוכלוסיות. אזורי התעשייה ביישובים הבדואיים הם קבוצה קטנה, ורובם יושבים על כביש ראשי שעובר בו קו בין-עירוני; מה שאין ביישוב עצמו לא נמדד כאן. הפער האמיתי בין הקבוצות נראה בעמודות התדירות הגולמיות (הקו החזק, חציון בדקות) ולא רק בציון.</w:t>
      </w:r>
    </w:p>
    <w:p>
      <w:pPr>
        <w:bidi/>
        <w:spacing w:after="160" w:line="300"/>
        <w:jc w:val="right"/>
      </w:pPr>
      <w:r>
        <w:rPr>
          <w:rFonts w:ascii="Arial" w:cs="Arial" w:eastAsia="Arial" w:hAnsi="Arial"/>
          <w:b w:val="false"/>
          <w:bCs w:val="false"/>
          <w:i/>
          <w:iCs/>
          <w:color w:val="475569"/>
          <w:sz w:val="19"/>
          <w:szCs w:val="19"/>
          <w:rtl/>
        </w:rPr>
        <w:t xml:space="preserve">הפרשנות של הצוות; המספרים כפי שהם. מי שרוצה פערים חדים יותר יכול לשקול משקל גבוה יותר לתדירות — זו החלטה של הדו"ח, לא של הנתונים.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עתידים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אביב יפו</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~6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התעשיה פולג</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נתניה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הנגב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~180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נאות חובב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נאות חובב</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הגלבוע</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שחק-שקד</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שקד</w:t>
            </w:r>
          </w:p>
        </w:tc>
        <w:tc>
          <w:tcPr>
            <w:tcW w:type="dxa" w:w="964"/>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20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בטין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אריאל מערב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ברקן</w:t>
            </w:r>
          </w:p>
        </w:tc>
        <w:tc>
          <w:tcPr>
            <w:tcW w:type="dxa" w:w="964"/>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28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~180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דלתון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מרום הגליל</w:t>
            </w:r>
          </w:p>
        </w:tc>
        <w:tc>
          <w:tcPr>
            <w:tcW w:type="dxa" w:w="964"/>
            <w:shd w:fill="C00D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13 דק׳ הליכה</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הנגב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טללים</w:t>
            </w:r>
          </w:p>
        </w:tc>
        <w:tc>
          <w:tcPr>
            <w:tcW w:type="dxa" w:w="675"/>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58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סיד</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יפתח</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תראבין א צאנע</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33</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הגליל העליון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מחניים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שמיר</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38</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התדירות הממוצעת בשיא: כל ~6 דק׳ מול כל ~105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מרום הגליל</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אור הגנוז</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דלתון</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כל ~90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כשהציון שלנו וציון משרד התחבורה חולקים</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אינו מודד את אותו הדבר. הוא ניתן לאזור סטטיסטי של הלמ"ס (לא לאזור התעשייה), והוא ממוצע של ארבעה מדדים לתושבי האזור: זמינות, נגישות, תחרותיות, אמינות. "תחרותיות" משווה את זמן הנסיעה באוטובוס ליעדים מול הנסיעה ברכב; "נגישות" סופרת לכמה יעדים מגיעים בזמן נתון. הדו"ח הזה מודד דבר אחד: האם עובד מגיע לאזור בשעות השיא, ברגל מהתחנה.</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46 מתוך 363 אזורים. ל-264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46 האזורים שיש להם ציון ישיר: מתאם 0.69 בין שני הציונים — אותו כיוון, לא אותו סרגל.</w:t>
      </w:r>
    </w:p>
    <w:p>
      <w:pPr>
        <w:pStyle w:val="Heading2"/>
        <w:bidi/>
        <w:spacing w:after="100" w:before="200"/>
        <w:jc w:val="right"/>
      </w:pPr>
      <w:r>
        <w:rPr>
          <w:rFonts w:ascii="Arial" w:cs="Arial" w:eastAsia="Arial" w:hAnsi="Arial"/>
          <w:b/>
          <w:bCs/>
          <w:i w:val="false"/>
          <w:iCs w:val="false"/>
          <w:color w:val="32318E"/>
          <w:sz w:val="26"/>
          <w:szCs w:val="26"/>
          <w:rtl/>
        </w:rPr>
        <w:t xml:space="preserve">הדוגמאות שנשאלו: צומת הקריות, גב ים, צור שלום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גב ים - קרקעות תעשיה " ג " עמ</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הציון המסומן בכוכבית הוא של האזור הסטטיסטי הסובב, להקשר בלבד. אצלנו שלושתן 92: הקו החזק כל 5–7 דקות, תחנה בתוך האזור, והעובד המרוחק בטווח 5–12 דקות הליכה.</w:t>
      </w:r>
    </w:p>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2"/>
        <w:bidi/>
        <w:spacing w:after="100" w:before="200"/>
        <w:jc w:val="right"/>
      </w:pPr>
      <w:r>
        <w:rPr>
          <w:rFonts w:ascii="Arial" w:cs="Arial" w:eastAsia="Arial" w:hAnsi="Arial"/>
          <w:b/>
          <w:bCs/>
          <w:i w:val="false"/>
          <w:iCs w:val="false"/>
          <w:color w:val="32318E"/>
          <w:sz w:val="26"/>
          <w:szCs w:val="26"/>
          <w:rtl/>
        </w:rPr>
        <w:t xml:space="preserve">הפערים הגדולים ביותר לשני הכיוונים</w:t>
      </w:r>
    </w:p>
    <w:p>
      <w:pPr>
        <w:bidi/>
        <w:spacing w:after="120" w:line="300"/>
        <w:jc w:val="right"/>
      </w:pPr>
      <w:r>
        <w:rPr>
          <w:rFonts w:ascii="Arial" w:cs="Arial" w:eastAsia="Arial" w:hAnsi="Arial"/>
          <w:b w:val="false"/>
          <w:bCs w:val="false"/>
          <w:i w:val="false"/>
          <w:iCs w:val="false"/>
          <w:color w:val="0F172A"/>
          <w:sz w:val="22"/>
          <w:szCs w:val="22"/>
          <w:rtl/>
        </w:rPr>
        <w:t xml:space="preserve">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יהוד מונוסון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יהוד מונוסון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~14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במשרד גבוה, אצלנו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רמת נגב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רמת הנגב</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רמת סיב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קרית המלאכה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תל אביב יפו</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באר שבע צפון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באר שבע</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קריית אריה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פארק המדע</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נס ציונה</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 דק׳</w:t>
            </w:r>
          </w:p>
        </w:tc>
      </w:tr>
    </w:tbl>
    <w:p>
      <w:pPr>
        <w:bidi/>
        <w:spacing w:after="160" w:line="300"/>
        <w:jc w:val="right"/>
      </w:pPr>
      <w:r>
        <w:rPr>
          <w:rFonts w:ascii="Arial" w:cs="Arial" w:eastAsia="Arial" w:hAnsi="Arial"/>
          <w:b w:val="false"/>
          <w:bCs w:val="false"/>
          <w:i/>
          <w:iCs/>
          <w:color w:val="475569"/>
          <w:sz w:val="19"/>
          <w:szCs w:val="19"/>
          <w:rtl/>
        </w:rPr>
        <w:t xml:space="preserve">הכיוון השני (המשרד גבוה, אנחנו נמוכים) הוא לרוב אזור בתוך עיר משורתת שהתחנות סביבו קרובות לשכונות אבל לא לאזור עצמו, או אזור גדול שהקצה שלו רחוק מכל תחנה.</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ל-310 מתוך 363 אזורים; ממוצע ארצי 35.2. ציון ישיר, של אזור סטטיסטי שבתוך אזור התעשייה, יש רק ל-46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130</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73.5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39.1 (113)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49.4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32.9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34.8 (15)</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154</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(136)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36.5 (10)</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76.9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40.9 (89)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51.1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59.3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38.1 (18)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56.9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28.9 (67)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28.7 (7)</w:t>
            </w:r>
          </w:p>
        </w:tc>
      </w:tr>
    </w:tbl>
    <w:p>
      <w:pPr>
        <w:bidi/>
        <w:spacing w:after="60"/>
        <w:jc w:val="right"/>
      </w:pPr>
    </w:p>
    <w:p>
      <w:pPr>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36.5 (10)</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28.8 (61)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25.4 (4)</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36.5 (48)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312</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 (262)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44.4 (44)</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29.7 (13)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39.8 (8)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72.7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37.6 (24)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71.2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40.3 (47)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210</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(179)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47.4 (24)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35.9 (33)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43.8 (5)</w:t>
            </w:r>
          </w:p>
        </w:tc>
      </w:tr>
    </w:tbl>
    <w:p>
      <w:pPr>
        <w:bidi/>
        <w:spacing w:after="60"/>
        <w:jc w:val="right"/>
      </w:pPr>
    </w:p>
    <w:p>
      <w:pPr>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r>
        <w:br w:type="page"/>
      </w:r>
    </w:p>
    <w:p>
      <w:pPr>
        <w:bidi/>
        <w:spacing w:after="120" w:line="300"/>
        <w:jc w:val="right"/>
      </w:pPr>
      <w:r>
        <w:rPr>
          <w:rFonts w:ascii="Arial" w:cs="Arial" w:eastAsia="Arial" w:hAnsi="Arial"/>
          <w:b w:val="false"/>
          <w:bCs w:val="false"/>
          <w:i w:val="false"/>
          <w:iCs w:val="false"/>
          <w:color w:val="0F172A"/>
          <w:sz w:val="22"/>
          <w:szCs w:val="22"/>
          <w:rtl/>
        </w:rPr>
        <w:t xml:space="preserve">מה רואים בהשוואה לסעיף 6: המדד של המשרד מודד את מה שקורה לתושבים סביב האזור, ולכן הפערים בו הם פערי מקום — מרכז מול פריפריה — ופחות פערי אזור תעשייה. במקומות שבהם שני המדדים מסכימים, הממצא חזק. במקומות שבהם הם חולקים, סעיף 9 מסביר למה.</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כל דוגמה על רקע מפת רחובות: גבול האזור, התחנות בצבעי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הגרועים ביותר</w:t>
      </w:r>
    </w:p>
    <w:p>
      <w:pPr>
        <w:bidi/>
        <w:spacing w:after="120" w:line="300"/>
        <w:jc w:val="right"/>
      </w:pPr>
      <w:r>
        <w:rPr>
          <w:rFonts w:ascii="Arial" w:cs="Arial" w:eastAsia="Arial" w:hAnsi="Arial"/>
          <w:b/>
          <w:bCs/>
          <w:i w:val="false"/>
          <w:iCs w:val="false"/>
          <w:color w:val="32318E"/>
          <w:sz w:val="26"/>
          <w:szCs w:val="26"/>
          <w:rtl/>
        </w:rPr>
        <w:t xml:space="preserve">פארק תעשיות ראם · בני עי''ש</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spacing w:after="120"/>
        <w:jc w:val="center"/>
      </w:pPr>
      <w:r>
        <w:drawing>
          <wp:inline distT="0" distB="0" distL="0" distR="0">
            <wp:extent cx="49530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62960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bidi/>
        <w:spacing w:after="120" w:line="300"/>
        <w:jc w:val="right"/>
      </w:pPr>
      <w:r>
        <w:rPr>
          <w:rFonts w:ascii="Arial" w:cs="Arial" w:eastAsia="Arial" w:hAnsi="Arial"/>
          <w:b/>
          <w:bCs/>
          <w:i w:val="false"/>
          <w:iCs w:val="false"/>
          <w:color w:val="32318E"/>
          <w:sz w:val="26"/>
          <w:szCs w:val="26"/>
          <w:rtl/>
        </w:rPr>
        <w:t xml:space="preserve">פארק תעשיות צבאים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0.63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spacing w:after="120"/>
        <w:jc w:val="center"/>
      </w:pPr>
      <w:r>
        <w:drawing>
          <wp:inline distT="0" distB="0" distL="0" distR="0">
            <wp:extent cx="4953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533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המצטיינים</w:t>
      </w:r>
    </w:p>
    <w:p>
      <w:pPr>
        <w:bidi/>
        <w:spacing w:after="120" w:line="300"/>
        <w:jc w:val="right"/>
      </w:pPr>
      <w:r>
        <w:rPr>
          <w:rFonts w:ascii="Arial" w:cs="Arial" w:eastAsia="Arial" w:hAnsi="Arial"/>
          <w:b/>
          <w:bCs/>
          <w:i w:val="false"/>
          <w:iCs w:val="false"/>
          <w:color w:val="32318E"/>
          <w:sz w:val="26"/>
          <w:szCs w:val="26"/>
          <w:rtl/>
        </w:rPr>
        <w:t xml:space="preserve">פתח תקווה - תעשיה זעירה · פתח תקווה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0.35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~8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מסוף משה ארנס/אבשלום גיסין · משה סנה/איסר הראל · משה סנה/ איסר הראל · קונסרבטוריון/מבצע יפתח</w:t>
      </w:r>
    </w:p>
    <w:p>
      <w:pPr>
        <w:spacing w:after="120"/>
        <w:jc w:val="center"/>
      </w:pPr>
      <w:r>
        <w:drawing>
          <wp:inline distT="0" distB="0" distL="0" distR="0">
            <wp:extent cx="4953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5815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bidi/>
        <w:spacing w:after="120" w:line="300"/>
        <w:jc w:val="right"/>
      </w:pPr>
      <w:r>
        <w:rPr>
          <w:rFonts w:ascii="Arial" w:cs="Arial" w:eastAsia="Arial" w:hAnsi="Arial"/>
          <w:b/>
          <w:bCs/>
          <w:i w:val="false"/>
          <w:iCs w:val="false"/>
          <w:color w:val="32318E"/>
          <w:sz w:val="26"/>
          <w:szCs w:val="26"/>
          <w:rtl/>
        </w:rPr>
        <w:t xml:space="preserve">בת ים · בת 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92</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76</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~7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ת.רק''ל כ''ט בנובמבר/הרב ניסנבאום · בית ספר שזר/הרב ניסנבאום · הקוממיות/הנביאים · ת.רק''ל הקוממיות/דרך בגין</w:t>
      </w:r>
    </w:p>
    <w:p>
      <w:pPr>
        <w:spacing w:after="120"/>
        <w:jc w:val="center"/>
      </w:pPr>
      <w:r>
        <w:drawing>
          <wp:inline distT="0" distB="0" distL="0" distR="0">
            <wp:extent cx="4953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55530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line="30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spacing w:after="120"/>
        <w:jc w:val="center"/>
      </w:pPr>
      <w:r>
        <w:drawing>
          <wp:inline distT="0" distB="0" distL="0" distR="0">
            <wp:extent cx="49530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54768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bidi/>
        <w:spacing w:after="120" w:line="30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spacing w:after="120"/>
        <w:jc w:val="center"/>
      </w:pPr>
      <w:r>
        <w:drawing>
          <wp:inline distT="0" distB="0" distL="0" distR="0">
            <wp:extent cx="4953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8291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ב: רשימות מלאות</w:t>
      </w:r>
    </w:p>
    <w:p>
      <w:pPr>
        <w:pStyle w:val="Heading2"/>
        <w:bidi/>
        <w:spacing w:after="100" w:before="200"/>
        <w:jc w:val="right"/>
      </w:pPr>
      <w:r>
        <w:rPr>
          <w:rFonts w:ascii="Arial" w:cs="Arial" w:eastAsia="Arial" w:hAnsi="Arial"/>
          <w:b/>
          <w:bCs/>
          <w:i w:val="false"/>
          <w:iCs w:val="false"/>
          <w:color w:val="32318E"/>
          <w:sz w:val="26"/>
          <w:szCs w:val="26"/>
          <w:rtl/>
        </w:rPr>
        <w:t xml:space="preserve">אזורים בלי אף תחנה בטווח 20 דקות הליכה (4)</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20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אזורים בלי אף יציאת אוטובוס שימושית בשעות השיא (5)</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("בהקמה"/"טרם נבנה"): 59 אזורים.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תע"ש רמת השרון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29</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נשר רמלה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3.06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מודיעים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שוהם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2.97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2.77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 הנגב דרום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להבים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ירוחם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ירוחם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מתחם מ-7 - אשקלון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אשקלון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רהט - אזור תעסוקה צפוני</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רהט</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0.92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פרדס חנה-כרכור</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פרדס חנה כרכור</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0.84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עומר</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עומר</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0.8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משהד</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כנא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 - מתאר כ/150</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בנימינה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בנימינה גבעת עדה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קריית מלאכי</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מלאכי</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הרחבה כרמיאל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כרמיאל</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אזור תעשיה שקד (בהקמה)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אופקים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0.62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13</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נעמן - מילואות דרום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עסקים - יער חדרה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חדרה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טייבה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טייבה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עכו מזרח -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שגב-שלום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שגב שלום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טירה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כוכב יאיר</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עלית</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0.48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אופקים חדשים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אופקים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טכנולוגי ליד מת"מ</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0.46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חיפה - א"ת על צומת הקריות</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לוטן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לוטן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13</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טבעון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טבעון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אזור התעשייה רהט</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רהט</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0.42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תמ"ל 1046</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אור יהודה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ספיר</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הערבה התיכונה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בארות יצחק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נחלים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טמרה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טמרה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0.38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סכנין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סח'נין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0.38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דביר</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שמעון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0.36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אבו קרינאת</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ערערה בנגב</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0.36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מחלף אשדוד</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אבשלום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אשכול</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מתחם בזק - צומת מסובים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גן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בחן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חפר</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נווה ימין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סבא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פלמחים</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פלמחים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כפר כנא</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כנא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0.31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גן שמואל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פרדס חנה כרכור</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0.31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מגן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אשכול</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גדרה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גדרה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כסרא-סמיע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כיסרא סומיע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אזור תעשייה שער נעמן</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בנוי חלקית</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14:10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16f7b88bfe4c7b4b076f1e853e83939dcbc7ad.png"/><Relationship Id="rId9" Type="http://schemas.openxmlformats.org/officeDocument/2006/relationships/image" Target="media/3e60d4c04eb46a2f91f4151ce66faef7d9308000.png"/><Relationship Id="rId10" Type="http://schemas.openxmlformats.org/officeDocument/2006/relationships/image" Target="media/de11b69113384bcd7b13f3d8271c88e4d0eaac96.png"/><Relationship Id="rId11" Type="http://schemas.openxmlformats.org/officeDocument/2006/relationships/image" Target="media/89b3d1080e2ebd900df1d91ddd926d575a758c19.png"/><Relationship Id="rId12" Type="http://schemas.openxmlformats.org/officeDocument/2006/relationships/image" Target="media/b8305988aa5f6e02f230ae72e2eadee3263f7d37.png"/><Relationship Id="rId13" Type="http://schemas.openxmlformats.org/officeDocument/2006/relationships/image" Target="media/579eb6a6a46fe0041163dbd2e9b8e1835de6bd54.png"/><Relationship Id="rId14" Type="http://schemas.openxmlformats.org/officeDocument/2006/relationships/image" Target="media/73ee91f5418967e7f8aeb2518a5342b2345b1a05.png"/><Relationship Id="rId15" Type="http://schemas.openxmlformats.org/officeDocument/2006/relationships/image" Target="media/54e7f956a5fffa7f1819f38a7dc4087fefd1050e.png"/><Relationship Id="rId16" Type="http://schemas.openxmlformats.org/officeDocument/2006/relationships/image" Target="media/4e1dfd7852983b9a326ec4625b2f30138f370bf8.png"/><Relationship Id="rId17" Type="http://schemas.openxmlformats.org/officeDocument/2006/relationships/image" Target="media/42da36d4ab901dc9090b576944b230d8a14a1802.png"/><Relationship Id="rId18" Type="http://schemas.openxmlformats.org/officeDocument/2006/relationships/image" Target="media/7969c0fa1800bf8b62317cb16e2dabd8be3a76f5.png"/><Relationship Id="rId19" Type="http://schemas.openxmlformats.org/officeDocument/2006/relationships/image" Target="media/3d52a087e6e866406dddef2915abc18340da90eb.png"/><Relationship Id="rId20" Type="http://schemas.openxmlformats.org/officeDocument/2006/relationships/image" Target="media/ec91cecf1226be0d02bdc0355b18f9770ed7f17e.png"/><Relationship Id="rId21" Type="http://schemas.openxmlformats.org/officeDocument/2006/relationships/image" Target="media/547bb9d80ac4fc97f39eb834186848b49f06a1c1.png"/><Relationship Id="rId22" Type="http://schemas.openxmlformats.org/officeDocument/2006/relationships/image" Target="media/23db21cfd74fde62da2b6b46b53d7427a890edb7.png"/><Relationship Id="rId23" Type="http://schemas.openxmlformats.org/officeDocument/2006/relationships/image" Target="media/78cd4662ba37a8912abb04d19c6074929827a1fe.png"/><Relationship Id="rId24" Type="http://schemas.openxmlformats.org/officeDocument/2006/relationships/image" Target="media/159fcf4728b3631dcd894aef13ec4b14017f3df0.png"/><Relationship Id="rId25" Type="http://schemas.openxmlformats.org/officeDocument/2006/relationships/image" Target="media/26da644c002fa9619a53b889069afba720e4c9f3.png"/><Relationship Id="rId26" Type="http://schemas.openxmlformats.org/officeDocument/2006/relationships/image" Target="media/2d9a25c3ecbbf29a9e02c393cc4363c8082297c1.png"/><Relationship Id="rId27" Type="http://schemas.openxmlformats.org/officeDocument/2006/relationships/image" Target="media/f32b06cd84f32236e218a3d72d39203050349408.png"/><Relationship Id="rId28" Type="http://schemas.openxmlformats.org/officeDocument/2006/relationships/image" Target="media/18a4ae2dbaedac4522b2245b144a56ddddad2847.png"/><Relationship Id="rId29" Type="http://schemas.openxmlformats.org/officeDocument/2006/relationships/image" Target="media/e8020b195bdcca8f1443382fa781ef404c71d410.png"/><Relationship Id="rId30" Type="http://schemas.openxmlformats.org/officeDocument/2006/relationships/image" Target="media/0506bbca659d9a1a74b2e778712554fcae12ad9d.png"/><Relationship Id="rId31" Type="http://schemas.openxmlformats.org/officeDocument/2006/relationships/image" Target="media/5d6710f7b63a55acf8300c7f627429833e66137f.png"/><Relationship Id="rId32" Type="http://schemas.openxmlformats.org/officeDocument/2006/relationships/image" Target="media/8d81cb3bf32df7649d3d8db4c51302d24270e4a5.png"/><Relationship Id="rId33" Type="http://schemas.openxmlformats.org/officeDocument/2006/relationships/image" Target="media/84a4879e32d171719a25d58b84d2ca250ab496d8.png"/><Relationship Id="rId34" Type="http://schemas.openxmlformats.org/officeDocument/2006/relationships/image" Target="media/2d1161aaed80d17468badd65bedfe533d12a47e4.png"/><Relationship Id="rId35" Type="http://schemas.openxmlformats.org/officeDocument/2006/relationships/image" Target="media/ab8f285e018be7c6ec87c7acdf400890d34b870a.png"/><Relationship Id="rId36" Type="http://schemas.openxmlformats.org/officeDocument/2006/relationships/image" Target="media/3f4e5024b8872e0535ab0d13f1919075fa808c2e.png"/><Relationship Id="rId37" Type="http://schemas.openxmlformats.org/officeDocument/2006/relationships/image" Target="media/e94096026a1c34382b23119cfb4cfd319203e9cb.png"/><Relationship Id="rId38" Type="http://schemas.openxmlformats.org/officeDocument/2006/relationships/image" Target="media/b01b2249eee462faab5f8b76eb64083a9f1d1190.png"/><Relationship Id="rId39" Type="http://schemas.openxmlformats.org/officeDocument/2006/relationships/image" Target="media/7cfc0c613b7b0e9bc80c09de589d45beb1ec4b43.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2026-09-02T11:10:55.391Z</dcterms:created>
  <dcterms:modified xsi:type="dcterms:W3CDTF">2026-09-02T11:10:55.391Z</dcterms:modified>
</cp:coreProperties>
</file>

<file path=docProps/custom.xml><?xml version="1.0" encoding="utf-8"?>
<Properties xmlns="http://schemas.openxmlformats.org/officeDocument/2006/custom-properties" xmlns:vt="http://schemas.openxmlformats.org/officeDocument/2006/docPropsVTypes"/>
</file>