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04" w:rsidRDefault="005B7EDD" w:rsidP="005B7EDD">
      <w:pPr>
        <w:pStyle w:val="Titre"/>
      </w:pPr>
      <w:r>
        <w:rPr>
          <w:noProof/>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7">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1C04">
        <w:t>Alignement-</w:t>
      </w:r>
      <w:proofErr w:type="spellStart"/>
      <w:r w:rsidR="00601C04">
        <w:t>donnees</w:t>
      </w:r>
      <w:proofErr w:type="spellEnd"/>
      <w:r w:rsidR="00601C04">
        <w:t>-</w:t>
      </w:r>
      <w:proofErr w:type="spellStart"/>
      <w:r w:rsidR="00601C04">
        <w:t>bnf</w:t>
      </w:r>
      <w:proofErr w:type="spellEnd"/>
      <w:r w:rsidR="00601C04">
        <w:t> : spécifications techniques</w:t>
      </w:r>
    </w:p>
    <w:p w:rsidR="00601C04" w:rsidRDefault="00601C04" w:rsidP="005B7EDD">
      <w:pPr>
        <w:pStyle w:val="Sous-titre"/>
      </w:pPr>
      <w:r>
        <w:t xml:space="preserve">Description technique des mécanismes en œuvre dans les différents modules du logiciel </w:t>
      </w:r>
      <w:r>
        <w:rPr>
          <w:b/>
        </w:rPr>
        <w:t>alignements-</w:t>
      </w:r>
      <w:proofErr w:type="spellStart"/>
      <w:r>
        <w:rPr>
          <w:b/>
        </w:rPr>
        <w:t>donnees</w:t>
      </w:r>
      <w:proofErr w:type="spellEnd"/>
      <w:r>
        <w:rPr>
          <w:b/>
        </w:rPr>
        <w:t>-</w:t>
      </w:r>
      <w:proofErr w:type="spellStart"/>
      <w:r>
        <w:rPr>
          <w:b/>
        </w:rPr>
        <w:t>bnf</w:t>
      </w:r>
      <w:proofErr w:type="spellEnd"/>
    </w:p>
    <w:p w:rsidR="00601C04" w:rsidRDefault="00601C04" w:rsidP="00601C04"/>
    <w:p w:rsidR="00601C04" w:rsidRDefault="00601C04" w:rsidP="00601C04">
      <w:pPr>
        <w:pStyle w:val="Titre1"/>
      </w:pPr>
      <w:r>
        <w:t xml:space="preserve">Module </w:t>
      </w:r>
      <w:r w:rsidR="00D21E66">
        <w:t>d’a</w:t>
      </w:r>
      <w:r>
        <w:t>lignements</w:t>
      </w:r>
      <w:r w:rsidR="00D21E66">
        <w:t xml:space="preserve"> – notices bibliographiques</w:t>
      </w:r>
    </w:p>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2C64C2" w:rsidRDefault="00340548" w:rsidP="00340548">
      <w:pPr>
        <w:pStyle w:val="Titre2"/>
      </w:pPr>
      <w:r>
        <w:t>Fichier en entrée : format</w:t>
      </w:r>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r>
        <w:t>Monographies imprimées</w:t>
      </w:r>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r>
        <w:t>CD, DVD (son, vidéo)</w:t>
      </w:r>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r>
        <w:t>Périodiques</w:t>
      </w:r>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lastRenderedPageBreak/>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r>
        <w:t>Processus d’alignements</w:t>
      </w:r>
    </w:p>
    <w:p w:rsidR="0077353E" w:rsidRDefault="0077353E" w:rsidP="0077353E">
      <w:pPr>
        <w:pStyle w:val="Titre3"/>
      </w:pPr>
      <w:r>
        <w:t>Erreurs les plus fréquentes</w:t>
      </w:r>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drawing>
          <wp:inline distT="0" distB="0" distL="0" distR="0" wp14:anchorId="1B4CC78B" wp14:editId="0AE1E680">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9519F8" w:rsidP="00457084">
      <w:bookmarkStart w:id="0" w:name="_GoBack"/>
      <w:bookmarkEnd w:id="0"/>
    </w:p>
    <w:p w:rsidR="00340548" w:rsidRPr="00340548" w:rsidRDefault="00340548" w:rsidP="00340548">
      <w:pPr>
        <w:pStyle w:val="Titre2"/>
      </w:pPr>
      <w:r>
        <w:t>Fichiers en sortie</w:t>
      </w:r>
    </w:p>
    <w:p w:rsidR="00340548" w:rsidRPr="00340548" w:rsidRDefault="00340548" w:rsidP="00340548"/>
    <w:p w:rsidR="00601C04" w:rsidRDefault="00601C04" w:rsidP="00601C04">
      <w:pPr>
        <w:pStyle w:val="Titre1"/>
      </w:pPr>
      <w:r>
        <w:t xml:space="preserve">Module de conversion de fichier de notices en fichiers </w:t>
      </w:r>
      <w:proofErr w:type="gramStart"/>
      <w:r>
        <w:t>tabulés</w:t>
      </w:r>
      <w:proofErr w:type="gramEnd"/>
    </w:p>
    <w:p w:rsidR="00D21E66" w:rsidRDefault="00D21E66" w:rsidP="00D21E66">
      <w:pPr>
        <w:pStyle w:val="Titre2"/>
      </w:pPr>
      <w:r>
        <w:t>Principes</w:t>
      </w:r>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lastRenderedPageBreak/>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D21E66" w:rsidP="00D21E66">
      <w:pPr>
        <w:pStyle w:val="Titre2"/>
      </w:pPr>
      <w:r>
        <w:t xml:space="preserve">Zones utilisées pour </w:t>
      </w:r>
      <w:r w:rsidR="00A12C35">
        <w:t xml:space="preserve">générer </w:t>
      </w:r>
      <w:r>
        <w:t>chaque élément d’information</w:t>
      </w:r>
    </w:p>
    <w:p w:rsidR="00B41800" w:rsidRPr="00B41800" w:rsidRDefault="00B41800" w:rsidP="00B41800">
      <w:r>
        <w:t>La description du contenu de chaque zone peut être trouvée notamment sur le site de l’</w:t>
      </w:r>
      <w:proofErr w:type="spellStart"/>
      <w:r>
        <w:t>Abes</w:t>
      </w:r>
      <w:proofErr w:type="spellEnd"/>
      <w:r>
        <w:t xml:space="preserve"> : </w:t>
      </w:r>
      <w:hyperlink r:id="rId9" w:history="1">
        <w:r w:rsidRPr="00593052">
          <w:rPr>
            <w:rStyle w:val="Lienhypertexte"/>
          </w:rPr>
          <w:t>http://documentation.abes.fr/</w:t>
        </w:r>
      </w:hyperlink>
      <w:r>
        <w:t xml:space="preserve"> </w:t>
      </w:r>
    </w:p>
    <w:p w:rsidR="005832C9" w:rsidRDefault="005832C9" w:rsidP="005832C9">
      <w:pPr>
        <w:pStyle w:val="Titre3"/>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5832C9">
      <w:pPr>
        <w:pStyle w:val="Titre3"/>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Default="005832C9" w:rsidP="005832C9">
      <w:pPr>
        <w:pStyle w:val="Titre3"/>
      </w:pPr>
      <w:r>
        <w:t>Numéro ISBN</w:t>
      </w:r>
    </w:p>
    <w:p w:rsidR="005832C9" w:rsidRPr="00D21E66" w:rsidRDefault="005832C9" w:rsidP="005832C9">
      <w:r w:rsidRPr="0057007A">
        <w:rPr>
          <w:rStyle w:val="Code"/>
        </w:rPr>
        <w:t>010$a</w:t>
      </w:r>
    </w:p>
    <w:p w:rsidR="005832C9" w:rsidRDefault="005832C9" w:rsidP="005832C9">
      <w:pPr>
        <w:pStyle w:val="Titre3"/>
      </w:pPr>
      <w:r>
        <w:t>Numéro EAN</w:t>
      </w:r>
    </w:p>
    <w:p w:rsidR="005832C9" w:rsidRPr="005832C9" w:rsidRDefault="005832C9" w:rsidP="005832C9">
      <w:r w:rsidRPr="0057007A">
        <w:rPr>
          <w:rStyle w:val="Code"/>
        </w:rPr>
        <w:t>073$a</w:t>
      </w:r>
    </w:p>
    <w:p w:rsidR="005832C9" w:rsidRDefault="005832C9" w:rsidP="005832C9">
      <w:pPr>
        <w:pStyle w:val="Titre3"/>
      </w:pPr>
      <w:r>
        <w:t>Numéro ISSN</w:t>
      </w:r>
    </w:p>
    <w:p w:rsidR="005832C9" w:rsidRPr="00D21E66" w:rsidRDefault="005832C9" w:rsidP="005832C9">
      <w:r w:rsidRPr="0057007A">
        <w:rPr>
          <w:rStyle w:val="Code"/>
        </w:rPr>
        <w:t>011$a</w:t>
      </w:r>
    </w:p>
    <w:p w:rsidR="005832C9" w:rsidRDefault="005832C9" w:rsidP="005832C9">
      <w:pPr>
        <w:pStyle w:val="Titre3"/>
      </w:pPr>
      <w:r>
        <w:t>Numéro commercial éditeur (documents sonores et vidéos)</w:t>
      </w:r>
    </w:p>
    <w:p w:rsidR="005832C9" w:rsidRPr="00D21E66" w:rsidRDefault="005832C9" w:rsidP="005832C9">
      <w:r w:rsidRPr="0057007A">
        <w:rPr>
          <w:rStyle w:val="Code"/>
        </w:rPr>
        <w:t>071$a</w:t>
      </w:r>
    </w:p>
    <w:p w:rsidR="00D21E66" w:rsidRDefault="00D21E66" w:rsidP="00D21E66">
      <w:pPr>
        <w:pStyle w:val="Titre3"/>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Default="00D21E66" w:rsidP="00D21E66">
      <w:pPr>
        <w:pStyle w:val="Titre3"/>
      </w:pPr>
      <w:r>
        <w:t>Auteur</w:t>
      </w:r>
    </w:p>
    <w:p w:rsidR="00B41800" w:rsidRDefault="00B41800" w:rsidP="00D21E66">
      <w:r w:rsidRPr="0057007A">
        <w:rPr>
          <w:rStyle w:val="Code"/>
        </w:rPr>
        <w:t>700$a</w:t>
      </w:r>
      <w:r>
        <w:t xml:space="preserve"> + </w:t>
      </w:r>
      <w:r w:rsidRPr="0057007A">
        <w:rPr>
          <w:rStyle w:val="Code"/>
        </w:rPr>
        <w:t>700$b</w:t>
      </w:r>
      <w:r>
        <w:t xml:space="preserve"> + </w:t>
      </w:r>
      <w:r w:rsidRPr="0057007A">
        <w:rPr>
          <w:rStyle w:val="Code"/>
        </w:rPr>
        <w:t>710$a</w:t>
      </w:r>
      <w:r>
        <w:t xml:space="preserve"> + </w:t>
      </w:r>
      <w:r w:rsidRPr="0057007A">
        <w:rPr>
          <w:rStyle w:val="Code"/>
        </w:rPr>
        <w:t>710$b</w:t>
      </w:r>
      <w:r>
        <w:t xml:space="preserve"> + </w:t>
      </w:r>
      <w:r w:rsidRPr="0057007A">
        <w:rPr>
          <w:rStyle w:val="Code"/>
        </w:rPr>
        <w:t>701$a</w:t>
      </w:r>
      <w:r>
        <w:t xml:space="preserve"> + </w:t>
      </w:r>
      <w:r w:rsidRPr="0057007A">
        <w:rPr>
          <w:rStyle w:val="Code"/>
        </w:rPr>
        <w:t>701$b</w:t>
      </w:r>
      <w:r>
        <w:t xml:space="preserve"> + </w:t>
      </w:r>
      <w:r w:rsidRPr="0057007A">
        <w:rPr>
          <w:rStyle w:val="Code"/>
        </w:rPr>
        <w:t>711$a</w:t>
      </w:r>
      <w:r>
        <w:t xml:space="preserve"> + </w:t>
      </w:r>
      <w:r w:rsidRPr="0057007A">
        <w:rPr>
          <w:rStyle w:val="Code"/>
        </w:rPr>
        <w:t>711$b</w:t>
      </w:r>
      <w:r>
        <w:t xml:space="preserve"> + </w:t>
      </w:r>
      <w:r w:rsidRPr="0057007A">
        <w:rPr>
          <w:rStyle w:val="Code"/>
        </w:rPr>
        <w:t>702$a</w:t>
      </w:r>
      <w:r>
        <w:t xml:space="preserve"> + </w:t>
      </w:r>
      <w:r w:rsidRPr="0057007A">
        <w:rPr>
          <w:rStyle w:val="Code"/>
        </w:rPr>
        <w:t>702$b</w:t>
      </w:r>
      <w:r>
        <w:t xml:space="preserve"> + </w:t>
      </w:r>
      <w:r w:rsidRPr="0057007A">
        <w:rPr>
          <w:rStyle w:val="Code"/>
        </w:rPr>
        <w:t>712$a</w:t>
      </w:r>
      <w:r>
        <w:t xml:space="preserve"> + </w:t>
      </w:r>
      <w:r w:rsidRPr="0057007A">
        <w:rPr>
          <w:rStyle w:val="Code"/>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lastRenderedPageBreak/>
        <w:t>Les accents et signes de ponctuation sont nettoyés ; les mots sont passés en minuscules, leurs diacritiques (accents, cédilles, etc.) supprimés, et ils sont ensuite dédoublonnés</w:t>
      </w:r>
    </w:p>
    <w:p w:rsidR="00D21E66" w:rsidRDefault="00D21E66" w:rsidP="00D21E66">
      <w:pPr>
        <w:pStyle w:val="Titre3"/>
      </w:pPr>
      <w:r>
        <w:t>Editeur</w:t>
      </w:r>
    </w:p>
    <w:p w:rsidR="00D21E66" w:rsidRPr="00D21E66" w:rsidRDefault="00E813CB" w:rsidP="00D21E66">
      <w:r w:rsidRPr="0057007A">
        <w:rPr>
          <w:rStyle w:val="Code"/>
        </w:rPr>
        <w:t>210$c</w:t>
      </w:r>
    </w:p>
    <w:p w:rsidR="00D21E66" w:rsidRDefault="00D21E66" w:rsidP="00D21E66">
      <w:pPr>
        <w:pStyle w:val="Titre3"/>
      </w:pPr>
      <w:r>
        <w:t>Lieu de publication</w:t>
      </w:r>
    </w:p>
    <w:p w:rsidR="00D21E66" w:rsidRPr="00D21E66" w:rsidRDefault="00E813CB" w:rsidP="00D21E66">
      <w:r w:rsidRPr="0057007A">
        <w:rPr>
          <w:rStyle w:val="Code"/>
        </w:rPr>
        <w:t>210$a</w:t>
      </w:r>
    </w:p>
    <w:p w:rsidR="00D21E66" w:rsidRDefault="00D21E66" w:rsidP="00D21E66">
      <w:pPr>
        <w:pStyle w:val="Titre3"/>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774A25">
      <w:pPr>
        <w:pStyle w:val="Titre3"/>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A12C35" w:rsidP="00A12C35">
      <w:pPr>
        <w:pStyle w:val="Titre2"/>
      </w:pPr>
      <w:r>
        <w:t>Zones exportées dans les fichiers en sortie</w:t>
      </w:r>
    </w:p>
    <w:p w:rsidR="00A12C35" w:rsidRDefault="00A12C35" w:rsidP="00A12C35">
      <w:pPr>
        <w:pStyle w:val="Titre3"/>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A12C35">
      <w:pPr>
        <w:pStyle w:val="Titre3"/>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A12C35">
      <w:pPr>
        <w:pStyle w:val="Titre3"/>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A12C35">
      <w:pPr>
        <w:pStyle w:val="Titre3"/>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lastRenderedPageBreak/>
        <w:t>Titre</w:t>
      </w:r>
    </w:p>
    <w:p w:rsidR="00A95DB3" w:rsidRDefault="00A95DB3" w:rsidP="00A12C35">
      <w:r>
        <w:t>Auteurs</w:t>
      </w:r>
    </w:p>
    <w:p w:rsidR="00A12C35" w:rsidRDefault="00A95DB3" w:rsidP="00A12C35">
      <w:r>
        <w:t>Date de publication</w:t>
      </w:r>
    </w:p>
    <w:p w:rsidR="00A12C35" w:rsidRDefault="005864C6" w:rsidP="005864C6">
      <w:pPr>
        <w:pStyle w:val="Titre1"/>
      </w:pPr>
      <w:r>
        <w:t>Module d’export de notices BnF</w:t>
      </w:r>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45304F">
      <w:pPr>
        <w:pStyle w:val="Titre2"/>
      </w:pPr>
      <w:r>
        <w:t>Option « Données d’autorité liées »</w:t>
      </w:r>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w:t>
      </w:r>
      <w:r>
        <w:t xml:space="preserve">, </w:t>
      </w:r>
      <w:r>
        <w:t>141</w:t>
      </w:r>
      <w:r>
        <w:t xml:space="preserve">, </w:t>
      </w:r>
      <w:r>
        <w:t>143</w:t>
      </w:r>
      <w:r>
        <w:t xml:space="preserve">, </w:t>
      </w:r>
      <w:r>
        <w:t>144</w:t>
      </w:r>
      <w:r>
        <w:t xml:space="preserve">, </w:t>
      </w:r>
      <w:r>
        <w:t>145</w:t>
      </w:r>
      <w:r>
        <w:t xml:space="preserve">, </w:t>
      </w:r>
      <w:r>
        <w:t>600</w:t>
      </w:r>
      <w:r>
        <w:t xml:space="preserve">, </w:t>
      </w:r>
      <w:r>
        <w:t>603</w:t>
      </w:r>
      <w:r>
        <w:t xml:space="preserve">, </w:t>
      </w:r>
      <w:r>
        <w:t>606</w:t>
      </w:r>
      <w:r>
        <w:t xml:space="preserve">, </w:t>
      </w:r>
      <w:r>
        <w:t>607</w:t>
      </w:r>
      <w:r>
        <w:t xml:space="preserve">, </w:t>
      </w:r>
      <w:r>
        <w:t>609</w:t>
      </w:r>
      <w:r>
        <w:t xml:space="preserve">, </w:t>
      </w:r>
      <w:r>
        <w:t>610</w:t>
      </w:r>
      <w:r>
        <w:t xml:space="preserve">, </w:t>
      </w:r>
      <w:r>
        <w:t>616</w:t>
      </w:r>
      <w:r>
        <w:t xml:space="preserve">, </w:t>
      </w:r>
      <w:r>
        <w:t>617</w:t>
      </w:r>
      <w:r>
        <w:t xml:space="preserve">, </w:t>
      </w:r>
      <w:r>
        <w:t>700</w:t>
      </w:r>
      <w:r>
        <w:t xml:space="preserve">, </w:t>
      </w:r>
      <w:r>
        <w:t>702</w:t>
      </w:r>
      <w:r>
        <w:t xml:space="preserve">, </w:t>
      </w:r>
      <w:r>
        <w:t>703</w:t>
      </w:r>
      <w:r>
        <w:t xml:space="preserve">, </w:t>
      </w:r>
      <w:r>
        <w:t>709</w:t>
      </w:r>
      <w:r>
        <w:t xml:space="preserve">, </w:t>
      </w:r>
      <w:r>
        <w:t>710</w:t>
      </w:r>
      <w:r>
        <w:t xml:space="preserve">, </w:t>
      </w:r>
      <w:r>
        <w:t>712</w:t>
      </w:r>
      <w:r>
        <w:t xml:space="preserve">, </w:t>
      </w:r>
      <w:r>
        <w:t>713</w:t>
      </w:r>
      <w:r>
        <w:t xml:space="preserve">, </w:t>
      </w:r>
      <w:r>
        <w:t>719</w:t>
      </w:r>
      <w:r>
        <w:t xml:space="preserve">, </w:t>
      </w:r>
      <w:r>
        <w:t>731</w:t>
      </w:r>
    </w:p>
    <w:p w:rsidR="0045304F" w:rsidRDefault="0045304F" w:rsidP="0045304F">
      <w:r>
        <w:t>Il identifie le $3 (qui fournit l’identifiant de la notice d’autorité) et va chercher la notice correspondante pour l’agréger dans le fichier d’autorités en sortie.</w:t>
      </w:r>
    </w:p>
    <w:p w:rsidR="0045304F" w:rsidRPr="0045304F" w:rsidRDefault="0045304F" w:rsidP="0045304F">
      <w:r>
        <w:t>Une même autorité n’est exportée qu’une seule fois.</w:t>
      </w:r>
    </w:p>
    <w:sectPr w:rsidR="0045304F" w:rsidRPr="0045304F" w:rsidSect="005B7EDD">
      <w:headerReference w:type="default" r:id="rId10"/>
      <w:footerReference w:type="default" r:id="rId11"/>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6FB" w:rsidRDefault="008C46FB" w:rsidP="0044159F">
      <w:pPr>
        <w:spacing w:line="240" w:lineRule="auto"/>
      </w:pPr>
      <w:r>
        <w:separator/>
      </w:r>
    </w:p>
  </w:endnote>
  <w:endnote w:type="continuationSeparator" w:id="0">
    <w:p w:rsidR="008C46FB" w:rsidRDefault="008C46FB"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59F" w:rsidRDefault="0044159F">
    <w:pPr>
      <w:pStyle w:val="Pieddepage"/>
    </w:pPr>
    <w:r>
      <w:t>Transition bibliographique / Groupe Systèmes &amp; Données. Logiciel alignement</w:t>
    </w:r>
    <w:r w:rsidR="00A12C35">
      <w:t>-</w:t>
    </w:r>
    <w:proofErr w:type="spellStart"/>
    <w:r w:rsidR="00A12C35">
      <w:t>donnees</w:t>
    </w:r>
    <w:proofErr w:type="spellEnd"/>
    <w:r w:rsidR="00A12C35">
      <w:t>-</w:t>
    </w:r>
    <w:proofErr w:type="spellStart"/>
    <w:r w:rsidR="00A12C35">
      <w:t>bnf</w:t>
    </w:r>
    <w:proofErr w:type="spellEnd"/>
    <w:r>
      <w:t>. Spécifications</w:t>
    </w:r>
    <w:r w:rsidR="00A12C35">
      <w:t xml:space="preserve"> techniques</w:t>
    </w:r>
    <w:r w:rsidRPr="0044159F">
      <w:t xml:space="preserve"> </w:t>
    </w:r>
    <w:r w:rsidRPr="0044159F">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6FB" w:rsidRDefault="008C46FB" w:rsidP="0044159F">
      <w:pPr>
        <w:spacing w:line="240" w:lineRule="auto"/>
      </w:pPr>
      <w:r>
        <w:separator/>
      </w:r>
    </w:p>
  </w:footnote>
  <w:footnote w:type="continuationSeparator" w:id="0">
    <w:p w:rsidR="008C46FB" w:rsidRDefault="008C46FB" w:rsidP="00441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345849"/>
      <w:docPartObj>
        <w:docPartGallery w:val="Page Numbers (Top of Page)"/>
        <w:docPartUnique/>
      </w:docPartObj>
    </w:sdtPr>
    <w:sdtContent>
      <w:p w:rsidR="005B7EDD" w:rsidRDefault="005B7EDD" w:rsidP="005B7EDD">
        <w:pPr>
          <w:pStyle w:val="En-tte"/>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04"/>
    <w:rsid w:val="002C64C2"/>
    <w:rsid w:val="00340548"/>
    <w:rsid w:val="00357AC1"/>
    <w:rsid w:val="003D7BDD"/>
    <w:rsid w:val="0044159F"/>
    <w:rsid w:val="0045304F"/>
    <w:rsid w:val="00457084"/>
    <w:rsid w:val="00465F7C"/>
    <w:rsid w:val="0057007A"/>
    <w:rsid w:val="005832C9"/>
    <w:rsid w:val="005864C6"/>
    <w:rsid w:val="005B7EDD"/>
    <w:rsid w:val="00601C04"/>
    <w:rsid w:val="0077353E"/>
    <w:rsid w:val="00774A25"/>
    <w:rsid w:val="008C46FB"/>
    <w:rsid w:val="009519F8"/>
    <w:rsid w:val="009F21C9"/>
    <w:rsid w:val="00A12C35"/>
    <w:rsid w:val="00A95DB3"/>
    <w:rsid w:val="00B41800"/>
    <w:rsid w:val="00C0395E"/>
    <w:rsid w:val="00D21E66"/>
    <w:rsid w:val="00DB6942"/>
    <w:rsid w:val="00E132F7"/>
    <w:rsid w:val="00E15EDC"/>
    <w:rsid w:val="00E813CB"/>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5E22D"/>
  <w15:chartTrackingRefBased/>
  <w15:docId w15:val="{B866AC80-124D-4CF7-87F8-6F332FCA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styleId="Mentionnonrsolue">
    <w:name w:val="Unresolved Mention"/>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ocumentation.abes.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860</Words>
  <Characters>4734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Lully</dc:creator>
  <cp:keywords/>
  <dc:description/>
  <cp:lastModifiedBy>Lully</cp:lastModifiedBy>
  <cp:revision>24</cp:revision>
  <dcterms:created xsi:type="dcterms:W3CDTF">2018-03-20T10:39:00Z</dcterms:created>
  <dcterms:modified xsi:type="dcterms:W3CDTF">2018-03-20T11:37:00Z</dcterms:modified>
</cp:coreProperties>
</file>