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4mn93iklkk1" w:id="0"/>
      <w:bookmarkEnd w:id="0"/>
      <w:r w:rsidDel="00000000" w:rsidR="00000000" w:rsidRPr="00000000">
        <w:rPr>
          <w:b w:val="1"/>
          <w:bCs w:val="1"/>
          <w:sz w:val="34"/>
          <w:szCs w:val="34"/>
          <w:rtl w:val="0"/>
        </w:rPr>
        <w:t xml:space="preserve">Governance &amp; Structure</w:t>
      </w:r>
    </w:p>
    <w:p w:rsidR="00000000" w:rsidDel="00000000" w:rsidP="00000000" w:rsidRDefault="00000000" w:rsidRPr="00000000" w14:paraId="00000002">
      <w:pPr>
        <w:spacing w:after="240" w:before="240" w:lineRule="auto"/>
        <w:rPr/>
      </w:pPr>
      <w:r w:rsidDel="00000000" w:rsidR="00000000" w:rsidRPr="00000000">
        <w:rPr>
          <w:rtl w:val="0"/>
        </w:rPr>
        <w:t xml:space="preserve">Votist is independently organized and operated by its founder as a private civic initiative. It is not a program of the City of San Rafael or any other government agency, and it is not commissioned, funded, directed, or controlled by any public institution. Votist is also not owned or operated by a corporation, political party, advocacy group, developer, or real estate organization.</w:t>
      </w:r>
    </w:p>
    <w:p w:rsidR="00000000" w:rsidDel="00000000" w:rsidP="00000000" w:rsidRDefault="00000000" w:rsidRPr="00000000" w14:paraId="00000003">
      <w:pPr>
        <w:spacing w:after="240" w:before="240" w:lineRule="auto"/>
        <w:rPr/>
      </w:pPr>
      <w:r w:rsidDel="00000000" w:rsidR="00000000" w:rsidRPr="00000000">
        <w:rPr>
          <w:rtl w:val="0"/>
        </w:rPr>
        <w:t xml:space="preserve">Votist does not produce binding decisions, statistical representations, or policy directives. It functions as an experimental civic engagement tool designed to surface how participants think after reviewing shared context. All results are published in aggregated form, and participation does not confer regulatory authority or replace official public processes.</w:t>
      </w:r>
    </w:p>
    <w:p w:rsidR="00000000" w:rsidDel="00000000" w:rsidP="00000000" w:rsidRDefault="00000000" w:rsidRPr="00000000" w14:paraId="00000004">
      <w:pPr>
        <w:spacing w:after="240" w:before="240" w:lineRule="auto"/>
        <w:rPr/>
      </w:pPr>
      <w:r w:rsidDel="00000000" w:rsidR="00000000" w:rsidRPr="00000000">
        <w:rPr>
          <w:rtl w:val="0"/>
        </w:rPr>
        <w:t xml:space="preserve">Governance decisions regarding the platform’s structure, content framing, and development are made independently and are not subject to outside institutional control.</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