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CHECKLIST BẢO TRÌ THIẾT BỊ Y TẾ - KHOA TAI MŨI HỌNG</w:t>
      </w:r>
    </w:p>
    <w:p>
      <w:pPr>
        <w:pStyle w:val="Heading1"/>
        <w:jc w:val="center"/>
      </w:pPr>
      <w:r>
        <w:t>Tháng 7/2026</w:t>
      </w:r>
    </w:p>
    <w:p>
      <w:pPr>
        <w:jc w:val="left"/>
      </w:pPr>
      <w:r>
        <w:t>Ngày: ______    Kỹ thuật viên: ______    Người kiểm tra: 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76"/>
        <w:gridCol w:w="1152"/>
        <w:gridCol w:w="1440"/>
        <w:gridCol w:w="2880"/>
        <w:gridCol w:w="1728"/>
        <w:gridCol w:w="1440"/>
        <w:gridCol w:w="576"/>
        <w:gridCol w:w="864"/>
        <w:gridCol w:w="1728"/>
        <w:gridCol w:w="1728"/>
        <w:gridCol w:w="1440"/>
        <w:gridCol w:w="1152"/>
      </w:tblGrid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STT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Ngày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Kỹ thuật viên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Thiết bị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SN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SL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Loại BT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Tìm thấy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Xử lý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Phụ tùng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Tình trạng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Hệ thống ghi và phân tích phản xạ tiền đình mắt vHIT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VisualEyes EyeSeeCam vHIT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1053507, 1053508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