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t xml:space="preserve">TARTU ÜLIKOOL</w:t>
      </w:r>
    </w:p>
    <w:p>
      <w:pPr>
        <w:spacing w:after="0" w:before="0"/>
        <w:jc w:val="center"/>
      </w:pPr>
      <w:r>
        <w:t xml:space="preserve">Pärnu kolledž</w:t>
      </w:r>
    </w:p>
    <w:p>
      <w:pPr>
        <w:spacing w:after="0" w:before="3200"/>
        <w:jc w:val="center"/>
      </w:pPr>
      <w:r>
        <w:t xml:space="preserve">Herman Ra Truvek, Robi Mustsaar</w:t>
      </w:r>
    </w:p>
    <w:p>
      <w:pPr>
        <w:spacing w:after="0" w:before="0"/>
        <w:jc w:val="center"/>
      </w:pPr>
      <w:r>
        <w:t xml:space="preserve">Hugo-Christopher Saar, Ragnar Dietrich</w:t>
      </w:r>
    </w:p>
    <w:p>
      <w:pPr>
        <w:spacing w:after="0" w:before="0"/>
        <w:jc w:val="center"/>
      </w:pPr>
      <w:r>
        <w:t xml:space="preserve">DDSÕ2 (bakalaureuseõpe)</w:t>
      </w:r>
    </w:p>
    <w:p>
      <w:pPr>
        <w:spacing w:after="0" w:before="1000" w:line="360"/>
        <w:jc w:val="center"/>
      </w:pPr>
      <w:r>
        <w:rPr>
          <w:b/>
          <w:bCs/>
          <w:sz w:val="36"/>
          <w:szCs w:val="36"/>
        </w:rPr>
        <w:t xml:space="preserve">„JUVENTUS UUESTI JA PAREMINI“: JUVENTUS FC REBRÄNDIMISE PROJEKT</w:t>
      </w:r>
    </w:p>
    <w:p>
      <w:pPr>
        <w:spacing w:after="0" w:before="360"/>
        <w:jc w:val="center"/>
      </w:pPr>
      <w:r>
        <w:t xml:space="preserve">Rühmatöö</w:t>
      </w:r>
    </w:p>
    <w:p>
      <w:pPr>
        <w:spacing w:after="0" w:before="2000"/>
        <w:jc w:val="center"/>
      </w:pPr>
      <w:r>
        <w:t xml:space="preserve">Õppejõud: T. Tamberg, [kraad]</w:t>
      </w:r>
    </w:p>
    <w:p>
      <w:pPr>
        <w:spacing w:after="0" w:before="2400"/>
        <w:jc w:val="center"/>
      </w:pPr>
      <w:r>
        <w:t xml:space="preserve">Pärnu 2026</w:t>
      </w:r>
    </w:p>
    <w:p>
      <w:pPr>
        <w:pStyle w:val="TocHeading"/>
        <w:pageBreakBefore/>
      </w:pPr>
      <w:r>
        <w:t xml:space="preserve">SISUKORD</w:t>
      </w:r>
    </w:p>
    <w:sdt>
      <w:sdtPr>
        <w:alias w:val="Sisukord"/>
      </w:sdtPr>
      <w:sdtContent>
        <w:p>
          <w:r>
            <w:fldChar w:fldCharType="begin" w:dirty="true"/>
            <w:instrText xml:space="preserve">TOC \h \o "1-3" \u</w:instrText>
            <w:fldChar w:fldCharType="separate"/>
          </w:r>
        </w:p>
        <w:p>
          <w:r>
            <w:fldChar w:fldCharType="end"/>
          </w:r>
        </w:p>
      </w:sdtContent>
    </w:sdt>
    <w:p>
      <w:pPr>
        <w:pStyle w:val="Heading1"/>
        <w:pageBreakBefore/>
      </w:pPr>
      <w:r>
        <w:t xml:space="preserve">SISSEJUHATUS</w:t>
      </w:r>
    </w:p>
    <w:p>
      <w:r>
        <w:t xml:space="preserve">Jaanuaris 2017 esitles Itaalia jalgpalliklubi Juventus FC agentuuriga Interbrand loodud uut visuaalset identiteeti, mille keskmes on minimalistlik „J“-logo. Ajalooline ovaalne vapp koos triipude ja Torino härjaga asendati, et klubi saaks kasvada globaalseks elustiilibrändiks ja jõuda ka „laste, naiste ja millenniumlasteni“ (Football Italia, 2017; Design Week, 2017). Fännide reaktsioon oli suures osas eitav: uut logo peeti liiga anonüümseks ja korporatiivseks (Dezeen, 2017; The Drum, 2017). Rühma hinnangul on rebrändingu järel fännibaas killustunud.</w:t>
      </w:r>
    </w:p>
    <w:p>
      <w:r>
        <w:t xml:space="preserve">Käesoleva rühmatöö eesmärk on projektijuhi vaatest välja selgitada, </w:t>
      </w:r>
      <w:r>
        <w:rPr>
          <w:b/>
          <w:bCs/>
        </w:rPr>
        <w:t xml:space="preserve">miks</w:t>
      </w:r>
      <w:r>
        <w:t xml:space="preserve"> projekti „Juventus uuesti ja paremini“ vaja on, millist püsivat seisundit see peaks looma ning milline lahendus ühendab fännid uuesti nii, et see sobiks kõigile osapooltele. Projekti teostusfaas kestab 3 kuud ja eelarve on ligikaudu 96 800 eurot.</w:t>
      </w:r>
    </w:p>
    <w:p>
      <w:r>
        <w:t xml:space="preserve">Töö on üles ehitatud projekti määratluse loogikas: esimene peatükk määratleb projekti, teine kirjeldab planeerimist ning kolmas elluviimist ja lõpetamist (Tamberg, 2022; AXELOS, 2017). Käesolevas ülesandes on terviklikult koostatud alapeatükk 1.2: metoodika, probleemipuu, eesmärgipuu, huvipoolte analüüs ja kaasamise strateegia ning lahendusalternatiivide võrdlus. Teiste peatükkide eeldatav sisu on esitatud kursiivis või esialgsete andmetena. Iga joonise ja tabeli juures on märgitud vastutaja; tööjaotus ja vahetähtajad on lisas 1, õppetunnid lisas 2 ja vestlus tehisaruga lisas 3.</w:t>
      </w:r>
    </w:p>
    <w:p>
      <w:r>
        <w:t xml:space="preserve">Projekt on õppejuhtum: see ei ole seotud Juventus FC-ga ega esinda klubi seisukohti. Omaniku rolli täidab rühmas Ragnar Dietrich.</w:t>
      </w:r>
    </w:p>
    <w:p>
      <w:pPr>
        <w:pStyle w:val="Heading1"/>
        <w:pageBreakBefore/>
      </w:pPr>
      <w:r>
        <w:t xml:space="preserve">1. PROJEKTI MÄÄRATLEMINE</w:t>
      </w:r>
    </w:p>
    <w:p>
      <w:pPr>
        <w:pStyle w:val="Heading2"/>
      </w:pPr>
      <w:r>
        <w:t xml:space="preserve">1.1. Projekti idee ja taust</w:t>
      </w:r>
    </w:p>
    <w:p>
      <w:r>
        <w:t xml:space="preserve">Projekti idee on rebrändida Juventus FC nii, et 2017. aasta identiteedimuutuse järel killustunud fännibaas saaks uuesti ühendatud. Projekti aluseks on klubi 2017. aasta rebränding „Black and White and More“, mille eesmärk oli laiendada klubi tegevust jalgpallist kaugemale – moe, meedia ja merchandise’i valdkonda (Design Week, 2017; It’s Nice That, 2017).</w:t>
      </w:r>
    </w:p>
    <w:p>
      <w:pPr>
        <w:pStyle w:val="Planned"/>
      </w:pPr>
      <w:r>
        <w:t xml:space="preserve">[Täiendatakse: ärijuhtumi esialgne kirjeldus – strateegiline sobivus, valikute hindamine, ärisuhted, tasuvus ja teostatavus (Tamberg, 2022, slaid 8–9). Vastutaja: Herman Ra Truvek.]</w:t>
      </w:r>
    </w:p>
    <w:p>
      <w:pPr>
        <w:pStyle w:val="Heading2"/>
      </w:pPr>
      <w:r>
        <w:t xml:space="preserve">1.2. Probleemide, eesmärkide ja huvipoolte analüüs</w:t>
      </w:r>
    </w:p>
    <w:p>
      <w:pPr>
        <w:pStyle w:val="Heading3"/>
      </w:pPr>
      <w:r>
        <w:t xml:space="preserve">1.2.1. Metoodika ja kasutatud tehnikad</w:t>
      </w:r>
    </w:p>
    <w:p>
      <w:r>
        <w:t xml:space="preserve">Alapeatüki eesmärk on enne planeerimist veenduda, et valitakse õige projekt. Omanikul võib olla idee „teeme uue logo“, kuid projektijuht peab kindlaks tegema, kas see on eesmärgi saavutamiseks mõistlik ja efektiivne. Probleemiks loetakse lahknevust soovitava ja olemasoleva seisundi vahel </w:t>
      </w:r>
      <w:r>
        <w:rPr>
          <w:b/>
          <w:bCs/>
        </w:rPr>
        <w:t xml:space="preserve">enne projekti</w:t>
      </w:r>
      <w:r>
        <w:t xml:space="preserve">, mitte projekti käigus tekkida võivaid riske (Tamberg, 2022, slaid 11–12). Analüüs liigub järjekorras probleem → põhjuste analüüs → eesmärgid → huvipooled → lahendusideed → lahenduse valik (Tamberg, 2022, slaid 10).</w:t>
      </w:r>
    </w:p>
    <w:p>
      <w:r>
        <w:t xml:space="preserve">Analüüsi aluseks on loogilise raamistiku lähenemine (</w:t>
      </w:r>
      <w:r>
        <w:rPr>
          <w:i/>
          <w:iCs/>
        </w:rPr>
        <w:t xml:space="preserve">Logical Framework Approach</w:t>
      </w:r>
      <w:r>
        <w:t xml:space="preserve">, LFA), mille järgi koostatakse esmalt probleemipuu, see teisendatakse eesmärgipuuks ja valitakse eesmärgipuust projekti ulatusse kuuluvad harud (European Commission, 2004). Rühm kasutas järgmisi tehnikaid:</w:t>
      </w:r>
    </w:p>
    <w:p>
      <w:pPr>
        <w:pStyle w:val="ListParagraph"/>
        <w:numPr>
          <w:ilvl w:val="0"/>
          <w:numId w:val="2"/>
        </w:numPr>
        <w:spacing w:before="0"/>
      </w:pPr>
      <w:r>
        <w:rPr>
          <w:b/>
          <w:bCs/>
        </w:rPr>
        <w:t xml:space="preserve">Dokumendi- ja meediaanalüüs</w:t>
      </w:r>
      <w:r>
        <w:t xml:space="preserve"> – 2017. aasta rebrändingu eesmärkide ja fännide reaktsiooni kaardistamine erialameedia ja klubi teadaannete põhjal (Football Italia, 2017; Dezeen, 2017). Kvantitatiivsed näitajad (näitarvude tehnika) kogub projekti esimesel kuul turu-uuringu analüütik (Tamberg, 2022, slaid 13).</w:t>
      </w:r>
    </w:p>
    <w:p>
      <w:pPr>
        <w:pStyle w:val="ListParagraph"/>
        <w:numPr>
          <w:ilvl w:val="0"/>
          <w:numId w:val="2"/>
        </w:numPr>
        <w:spacing w:before="0"/>
      </w:pPr>
      <w:r>
        <w:rPr>
          <w:b/>
          <w:bCs/>
        </w:rPr>
        <w:t xml:space="preserve">Ajurünnak ja 635-meetod</w:t>
      </w:r>
      <w:r>
        <w:t xml:space="preserve"> probleemide, põhjuste ja lahendusideede kogumiseks; kalasaba-diagrammi kategooriaid (sümboolika, protsess, strateegia, kommunikatsioon, tooted) kasutati kontrollnimekirjana (Ishikawa, 1990; Tamberg, 2022, slaid 18 ja 35).</w:t>
      </w:r>
    </w:p>
    <w:p>
      <w:pPr>
        <w:pStyle w:val="ListParagraph"/>
        <w:numPr>
          <w:ilvl w:val="0"/>
          <w:numId w:val="2"/>
        </w:numPr>
        <w:spacing w:before="0"/>
      </w:pPr>
      <w:r>
        <w:rPr>
          <w:b/>
          <w:bCs/>
        </w:rPr>
        <w:t xml:space="preserve">Probleemipuu</w:t>
      </w:r>
      <w:r>
        <w:t xml:space="preserve"> põhjus–tagajärg seoste kaardistamiseks ja </w:t>
      </w:r>
      <w:r>
        <w:rPr>
          <w:b/>
          <w:bCs/>
        </w:rPr>
        <w:t xml:space="preserve">probleemi lause</w:t>
      </w:r>
      <w:r>
        <w:t xml:space="preserve"> sõnastamiseks (Tamberg, 2022, slaid 16–20).</w:t>
      </w:r>
    </w:p>
    <w:p>
      <w:pPr>
        <w:pStyle w:val="ListParagraph"/>
        <w:numPr>
          <w:ilvl w:val="0"/>
          <w:numId w:val="2"/>
        </w:numPr>
        <w:spacing w:before="0"/>
      </w:pPr>
      <w:r>
        <w:rPr>
          <w:b/>
          <w:bCs/>
        </w:rPr>
        <w:t xml:space="preserve">5 korda miks</w:t>
      </w:r>
      <w:r>
        <w:t xml:space="preserve"> üksikute algpõhjuste sügavuse kontrolliks (Ohno, 1988).</w:t>
      </w:r>
    </w:p>
    <w:p>
      <w:pPr>
        <w:pStyle w:val="ListParagraph"/>
        <w:numPr>
          <w:ilvl w:val="0"/>
          <w:numId w:val="2"/>
        </w:numPr>
        <w:spacing w:before="0"/>
      </w:pPr>
      <w:r>
        <w:rPr>
          <w:b/>
          <w:bCs/>
        </w:rPr>
        <w:t xml:space="preserve">Eesmärgipuu</w:t>
      </w:r>
      <w:r>
        <w:t xml:space="preserve">, milles negatiivsed seisundid sõnastati soovitud püsiseisunditeks ja märgiti projekti ulatus (Tamberg, 2022, slaid 31–34).</w:t>
      </w:r>
    </w:p>
    <w:p>
      <w:pPr>
        <w:pStyle w:val="ListParagraph"/>
        <w:numPr>
          <w:ilvl w:val="0"/>
          <w:numId w:val="2"/>
        </w:numPr>
        <w:spacing w:before="0"/>
      </w:pPr>
      <w:r>
        <w:rPr>
          <w:b/>
          <w:bCs/>
        </w:rPr>
        <w:t xml:space="preserve">Huvipoolte analüüs</w:t>
      </w:r>
      <w:r>
        <w:t xml:space="preserve">: kontrollküsimused huvipoolte leidmiseks, huvi- ja mõjuhinnangud skaalal 1–5, mõju-huvi maatriks ning kaasamise tasemed (Mendelow, 1981; Bryson, 2004; IAP2, 2018; Tamberg, 2022, slaid 22–30).</w:t>
      </w:r>
    </w:p>
    <w:p>
      <w:pPr>
        <w:pStyle w:val="ListParagraph"/>
        <w:numPr>
          <w:ilvl w:val="0"/>
          <w:numId w:val="2"/>
        </w:numPr>
        <w:spacing w:before="0"/>
      </w:pPr>
      <w:r>
        <w:rPr>
          <w:b/>
          <w:bCs/>
        </w:rPr>
        <w:t xml:space="preserve">Benchmarking ja kaalutud mitmekriteeriumiline võrdlus</w:t>
      </w:r>
      <w:r>
        <w:t xml:space="preserve"> koos tundlikkusanalüüsiga lahendusalternatiivide hindamiseks (Tamberg, 2022, slaid 35–36).</w:t>
      </w:r>
    </w:p>
    <w:p>
      <w:r>
        <w:rPr>
          <w:b/>
          <w:bCs/>
        </w:rPr>
        <w:t xml:space="preserve">Probleemianalüüsi tehnika valik.</w:t>
      </w:r>
      <w:r>
        <w:t xml:space="preserve"> Rühm võrdles tehnikaid (tabel 1) ja arutles, milline neist aitab kõige paremini vastata küsimusele, miks projekti vaja on. Kalasaba-diagramm ja „5 korda miks“ sobivad protsessi- või kvaliteediprobleemi põhjuste leidmiseks, kuid ei näita probleemi tagajärgi ega teisene otse eesmärkideks (Learn Lean Sigma, s.a.; LinkedIn, s.a.). SWOT kirjeldab organisatsiooni sise- ja väliskeskkonda, mitte põhjuslikke seoseid. Fännibaasi killustumine on mitme põhjusega probleem, mis puudutab väga erinevate huvidega osapooli (omanik, sponsorid, kohalikud ja globaalsed fännid). Seetõttu valis rühm </w:t>
      </w:r>
      <w:r>
        <w:rPr>
          <w:b/>
          <w:bCs/>
        </w:rPr>
        <w:t xml:space="preserve">põhitehnikaks probleemipuu</w:t>
      </w:r>
      <w:r>
        <w:t xml:space="preserve">: see näitab nii põhjuseid kui ka tagajärgi (sh ärilisi), seob eri huvipoolte probleemid ühiste algpõhjuste kaudu ja teiseneb otse eesmärgipuuks (European Commission, 2004; Tamberg, 2022, slaid 16–17).</w:t>
      </w:r>
    </w:p>
    <w:p>
      <w:pPr>
        <w:pStyle w:val="Caption"/>
        <w:keepNext/>
        <w:spacing w:after="240" w:before="240"/>
      </w:pPr>
      <w:r>
        <w:rPr>
          <w:b/>
          <w:bCs/>
        </w:rPr>
        <w:t xml:space="preserve">Tabel </w:t>
      </w:r>
      <w:fldSimple w:instr=" SEQ Tabel \* ARABIC ">
        <w:r>
          <w:rPr>
            <w:b/>
            <w:bCs/>
          </w:rPr>
          <w:t>1</w:t>
        </w:r>
      </w:fldSimple>
      <w:r>
        <w:rPr>
          <w:b/>
          <w:bCs/>
        </w:rPr>
        <w:t xml:space="preserve">. </w:t>
      </w:r>
      <w:r>
        <w:t xml:space="preserve">Probleemianalüüsi tehnikate võrdlus</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1594"/>
        <w:gridCol w:w="2391"/>
        <w:gridCol w:w="2391"/>
        <w:gridCol w:w="2128"/>
      </w:tblGrid>
      <w:tr>
        <w:trPr>
          <w:cantSplit/>
          <w:tblHeader/>
        </w:trPr>
        <w:tc>
          <w:tcPr>
            <w:tcW w:type="dxa" w:w="159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Tehnika</w:t>
            </w:r>
          </w:p>
        </w:tc>
        <w:tc>
          <w:tcPr>
            <w:tcW w:type="dxa" w:w="239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Tugevused</w:t>
            </w:r>
          </w:p>
        </w:tc>
        <w:tc>
          <w:tcPr>
            <w:tcW w:type="dxa" w:w="239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Nõrkused</w:t>
            </w:r>
          </w:p>
        </w:tc>
        <w:tc>
          <w:tcPr>
            <w:tcW w:type="dxa" w:w="212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Kasutus käesolevas töös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bCs/>
              </w:rPr>
              <w:t xml:space="preserve">Probleemipuu</w:t>
            </w:r>
            <w:r>
              <w:rPr>
                <w:b w:val="false"/>
                <w:bCs w:val="false"/>
              </w:rPr>
              <w:t xml:space="preserve"> (LFA)</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Näitab põhjusi ja tagajärgi; teiseneb eesmärgipuuks; sobib mitme huvipoolega probleemile</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Võib lihtsustada vastastikmõjusid; sõltub osalejate teadmistest</w:t>
            </w:r>
          </w:p>
        </w:tc>
        <w:tc>
          <w:tcPr>
            <w:tcW w:type="dxa" w:w="2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Põhitehnika (joonis 1)</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Kalasaba-diagramm (Ishikawa)</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Süstemaatilised põhjuste kategooriad; hea ajurünnaku struktuur</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Ainult põhjused, tagajärjed puuduvad; ei teisene eesmärkideks</w:t>
            </w:r>
          </w:p>
        </w:tc>
        <w:tc>
          <w:tcPr>
            <w:tcW w:type="dxa" w:w="2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Kategooriad kontrollnimekirjana ajurünnakul</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5 korda miks</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Lihtne ja kiire; viib sümptomist algpõhjuseni</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Lineaarne, üks põhjusahel; oht peatuda liiga vara</w:t>
            </w:r>
          </w:p>
        </w:tc>
        <w:tc>
          <w:tcPr>
            <w:tcW w:type="dxa" w:w="2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Algpõhjuste sügavuse kontroll (nt P1b)</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SWOT</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Ülevaade sise- ja väliskeskkonnast</w:t>
            </w:r>
          </w:p>
        </w:tc>
        <w:tc>
          <w:tcPr>
            <w:tcW w:type="dxa" w:w="23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Ei näita põhjuslikke seoseid</w:t>
            </w:r>
          </w:p>
        </w:tc>
        <w:tc>
          <w:tcPr>
            <w:tcW w:type="dxa" w:w="21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Keskkonna analüüs alapeatükis 1.3</w:t>
            </w:r>
          </w:p>
        </w:tc>
      </w:tr>
      <w:tr>
        <w:trPr>
          <w:cantSplit/>
        </w:trPr>
        <w:tc>
          <w:tcPr>
            <w:tcW w:type="dxa" w:w="8504"/>
            <w:gridSpan w:val="4"/>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Allikas: European Commission, 2004; Ishikawa, 1990; Ohno, 1988; Learn Lean Sigma, s.a.; LinkedIn, s.a. Vastutaja: Herman Ra Truvek.</w:t>
            </w:r>
          </w:p>
        </w:tc>
      </w:tr>
    </w:tbl>
    <w:p>
      <w:r>
        <w:rPr>
          <w:b/>
          <w:bCs/>
        </w:rPr>
        <w:t xml:space="preserve">Tehisaru kasutamine.</w:t>
      </w:r>
      <w:r>
        <w:t xml:space="preserve"> Töö koostamisel kasutati 4. oktoobril 2026 keelemudelit Claude (Anthropic, 2026): allikate otsimiseks, töö struktuuri ja tekstikavandi, jooniste ja tabelite koostamiseks ning tagasiside saamiseks. Rühm andis projekti lähteandmed (meeskond, huvipooled, eelarve, ajakava), päringud koostas ja väljundi vaatas üle Robi Mustsaar. Huvi- ja mõjuhinnangud ning alternatiivide hinded on esialgsed ja rühm valideerib need. Rühm vastutab töö sisu eest; vestluse kokkuvõte on lisas 3.</w:t>
      </w:r>
    </w:p>
    <w:p>
      <w:r>
        <w:t xml:space="preserve">Spordiklubi brändi ja fännide samastumise mõistmiseks kasutati teaduskirjandust brändiväärtusest (Keller, 1993) ja spordifännide samastumisest klubiga (Wann &amp; Branscombe, 1993).</w:t>
      </w:r>
    </w:p>
    <w:p>
      <w:pPr>
        <w:pStyle w:val="Heading3"/>
      </w:pPr>
      <w:r>
        <w:t xml:space="preserve">1.2.2. Probleemipuu ja probleemi lause</w:t>
      </w:r>
    </w:p>
    <w:p>
      <w:r>
        <w:t xml:space="preserve">Põhiprobleem määratleti esmalt erinevate huvipoolte vaatest (Tamberg, 2022, slaid 17): traditsiooniliste fännide jaoks on probleemiks klubi ajaloolise sümboolika kadumine, omaniku ja turundusosakonna jaoks brändi negatiivne vastuvõtt ning kasutamata müügipotentsiaal, sponsorite jaoks ebastabiilne meediapilt. Ühine nimetaja on see, et </w:t>
      </w:r>
      <w:r>
        <w:rPr>
          <w:b/>
          <w:bCs/>
        </w:rPr>
        <w:t xml:space="preserve">2017. aasta rebrändingu järel on fännibaas killustunud ega samastu ühtse identiteediga</w:t>
      </w:r>
      <w:r>
        <w:t xml:space="preserve">. Probleemipuus (joonis 1) on põhiprobleemi all kolm otsest põhjust ja kuus algpõhjust ning selle kohal tagajärjed.</w:t>
      </w:r>
    </w:p>
    <w:p>
      <w:pPr>
        <w:keepNext/>
        <w:spacing w:before="120" w:after="0" w:line="240" w:lineRule="auto"/>
        <w:ind w:firstLine="0"/>
        <w:jc w:val="center"/>
      </w:pPr>
      <w:r>
        <w:rPr>
          <w:noProof/>
        </w:rPr>
        <w:drawing>
          <wp:inline distT="0" distB="0" distL="0" distR="0">
            <wp:extent cx="5400000" cy="4623750"/>
            <wp:effectExtent l="0" t="0" r="0" b="0"/>
            <wp:docPr id="1001" name="Probleemipuu"/>
            <wp:cNvGraphicFramePr/>
            <a:graphic xmlns:a="http://schemas.openxmlformats.org/drawingml/2006/main">
              <a:graphicData uri="http://schemas.microsoft.com/office/word/2010/wordprocessingCanvas">
                <wpc:wpc>
                  <wpc:bg/>
                  <wpc:whole/>
                  <wps:wsp>
                    <wps:cNvPr id="2" name="T4"/>
                    <wps:cNvSpPr/>
                    <wps:spPr>
                      <a:xfrm>
                        <a:off x="472500" y="0"/>
                        <a:ext cx="2092500" cy="573750"/>
                      </a:xfrm>
                      <a:prstGeom prst="rect">
                        <a:avLst/>
                      </a:prstGeom>
                      <a:solidFill>
                        <a:srgbClr val="FFFFFF"/>
                      </a:solidFill>
                      <a:ln w="12700">
                        <a:solidFill>
                          <a:srgbClr val="C55A11"/>
                        </a:solidFill>
                      </a:ln>
                    </wps:spPr>
                    <wps:txbx>
                      <w:txbxContent>
                        <w:p>
                          <w:pPr>
                            <w:spacing w:before="0" w:after="0" w:line="240" w:lineRule="auto"/>
                            <w:jc w:val="center"/>
                          </w:pPr>
                          <w:r>
                            <w:rPr>
                              <w:rFonts w:ascii="Times New Roman" w:hAnsi="Times New Roman" w:cs="Times New Roman"/>
                              <w:color w:val="000000"/>
                              <w:sz w:val="22"/>
                              <w:szCs w:val="22"/>
                            </w:rPr>
                            <w:t xml:space="preserve">T4. Merchandise'i ja piletimüügi potentsiaal jääb osaliselt kasutamata</w:t>
                          </w:r>
                        </w:p>
                      </w:txbxContent>
                    </wps:txbx>
                    <wps:bodyPr rot="0" vert="horz" wrap="square" lIns="18000" tIns="18000" rIns="18000" bIns="18000" anchor="ctr" anchorCtr="0">
                      <a:noAutofit/>
                    </wps:bodyPr>
                  </wps:wsp>
                  <wps:wsp>
                    <wps:cNvPr id="3" name="T5"/>
                    <wps:cNvSpPr/>
                    <wps:spPr>
                      <a:xfrm>
                        <a:off x="2835000" y="0"/>
                        <a:ext cx="2092500" cy="573750"/>
                      </a:xfrm>
                      <a:prstGeom prst="rect">
                        <a:avLst/>
                      </a:prstGeom>
                      <a:solidFill>
                        <a:srgbClr val="FFFFFF"/>
                      </a:solidFill>
                      <a:ln w="12700">
                        <a:solidFill>
                          <a:srgbClr val="C55A11"/>
                        </a:solidFill>
                      </a:ln>
                    </wps:spPr>
                    <wps:txbx>
                      <w:txbxContent>
                        <w:p>
                          <w:pPr>
                            <w:spacing w:before="0" w:after="0" w:line="240" w:lineRule="auto"/>
                            <w:jc w:val="center"/>
                          </w:pPr>
                          <w:r>
                            <w:rPr>
                              <w:rFonts w:ascii="Times New Roman" w:hAnsi="Times New Roman" w:cs="Times New Roman"/>
                              <w:color w:val="000000"/>
                              <w:sz w:val="22"/>
                              <w:szCs w:val="22"/>
                            </w:rPr>
                            <w:t xml:space="preserve">T5. Klubi maine ja brändi väärtus kahanevad pikas plaanis</w:t>
                          </w:r>
                        </w:p>
                      </w:txbxContent>
                    </wps:txbx>
                    <wps:bodyPr rot="0" vert="horz" wrap="square" lIns="18000" tIns="18000" rIns="18000" bIns="18000" anchor="ctr" anchorCtr="0">
                      <a:noAutofit/>
                    </wps:bodyPr>
                  </wps:wsp>
                  <wps:wsp>
                    <wps:cNvPr id="4" name="T1"/>
                    <wps:cNvSpPr/>
                    <wps:spPr>
                      <a:xfrm>
                        <a:off x="118125" y="826875"/>
                        <a:ext cx="1586250" cy="607500"/>
                      </a:xfrm>
                      <a:prstGeom prst="rect">
                        <a:avLst/>
                      </a:prstGeom>
                      <a:solidFill>
                        <a:srgbClr val="FFFFFF"/>
                      </a:solidFill>
                      <a:ln w="12700">
                        <a:solidFill>
                          <a:srgbClr val="C55A11"/>
                        </a:solidFill>
                      </a:ln>
                    </wps:spPr>
                    <wps:txbx>
                      <w:txbxContent>
                        <w:p>
                          <w:pPr>
                            <w:spacing w:before="0" w:after="0" w:line="240" w:lineRule="auto"/>
                            <w:jc w:val="center"/>
                          </w:pPr>
                          <w:r>
                            <w:rPr>
                              <w:rFonts w:ascii="Times New Roman" w:hAnsi="Times New Roman" w:cs="Times New Roman"/>
                              <w:color w:val="000000"/>
                              <w:sz w:val="22"/>
                              <w:szCs w:val="22"/>
                            </w:rPr>
                            <w:t xml:space="preserve">T1. Traditsioonilised fännid kritiseerivad brändi ega samastu sellega</w:t>
                          </w:r>
                        </w:p>
                      </w:txbxContent>
                    </wps:txbx>
                    <wps:bodyPr rot="0" vert="horz" wrap="square" lIns="18000" tIns="18000" rIns="18000" bIns="18000" anchor="ctr" anchorCtr="0">
                      <a:noAutofit/>
                    </wps:bodyPr>
                  </wps:wsp>
                  <wps:wsp>
                    <wps:cNvPr id="5" name="T2"/>
                    <wps:cNvSpPr/>
                    <wps:spPr>
                      <a:xfrm>
                        <a:off x="1906875" y="826875"/>
                        <a:ext cx="1586250" cy="607500"/>
                      </a:xfrm>
                      <a:prstGeom prst="rect">
                        <a:avLst/>
                      </a:prstGeom>
                      <a:solidFill>
                        <a:srgbClr val="FFFFFF"/>
                      </a:solidFill>
                      <a:ln w="12700">
                        <a:solidFill>
                          <a:srgbClr val="C55A11"/>
                        </a:solidFill>
                      </a:ln>
                    </wps:spPr>
                    <wps:txbx>
                      <w:txbxContent>
                        <w:p>
                          <w:pPr>
                            <w:spacing w:before="0" w:after="0" w:line="240" w:lineRule="auto"/>
                            <w:jc w:val="center"/>
                          </w:pPr>
                          <w:r>
                            <w:rPr>
                              <w:rFonts w:ascii="Times New Roman" w:hAnsi="Times New Roman" w:cs="Times New Roman"/>
                              <w:color w:val="000000"/>
                              <w:sz w:val="22"/>
                              <w:szCs w:val="22"/>
                            </w:rPr>
                            <w:t xml:space="preserve">T2. Fännibaas jaguneb „vanaks“ ja „uueks“ kogukonnaks</w:t>
                          </w:r>
                        </w:p>
                      </w:txbxContent>
                    </wps:txbx>
                    <wps:bodyPr rot="0" vert="horz" wrap="square" lIns="18000" tIns="18000" rIns="18000" bIns="18000" anchor="ctr" anchorCtr="0">
                      <a:noAutofit/>
                    </wps:bodyPr>
                  </wps:wsp>
                  <wps:wsp>
                    <wps:cNvPr id="6" name="T3"/>
                    <wps:cNvSpPr/>
                    <wps:spPr>
                      <a:xfrm>
                        <a:off x="3695625" y="826875"/>
                        <a:ext cx="1586250" cy="607500"/>
                      </a:xfrm>
                      <a:prstGeom prst="rect">
                        <a:avLst/>
                      </a:prstGeom>
                      <a:solidFill>
                        <a:srgbClr val="FFFFFF"/>
                      </a:solidFill>
                      <a:ln w="12700">
                        <a:solidFill>
                          <a:srgbClr val="C55A11"/>
                        </a:solidFill>
                      </a:ln>
                    </wps:spPr>
                    <wps:txbx>
                      <w:txbxContent>
                        <w:p>
                          <w:pPr>
                            <w:spacing w:before="0" w:after="0" w:line="240" w:lineRule="auto"/>
                            <w:jc w:val="center"/>
                          </w:pPr>
                          <w:r>
                            <w:rPr>
                              <w:rFonts w:ascii="Times New Roman" w:hAnsi="Times New Roman" w:cs="Times New Roman"/>
                              <w:color w:val="000000"/>
                              <w:sz w:val="22"/>
                              <w:szCs w:val="22"/>
                            </w:rPr>
                            <w:t xml:space="preserve">T3. Emotsionaalne side ja lojaalsus klubiga nõrgenevad</w:t>
                          </w:r>
                        </w:p>
                      </w:txbxContent>
                    </wps:txbx>
                    <wps:bodyPr rot="0" vert="horz" wrap="square" lIns="18000" tIns="18000" rIns="18000" bIns="18000" anchor="ctr" anchorCtr="0">
                      <a:noAutofit/>
                    </wps:bodyPr>
                  </wps:wsp>
                  <wps:wsp>
                    <wps:cNvPr id="7" name="CORE"/>
                    <wps:cNvSpPr/>
                    <wps:spPr>
                      <a:xfrm>
                        <a:off x="573750" y="1687500"/>
                        <a:ext cx="4252500" cy="472500"/>
                      </a:xfrm>
                      <a:prstGeom prst="rect">
                        <a:avLst/>
                      </a:prstGeom>
                      <a:solidFill>
                        <a:srgbClr val="FFFFFF"/>
                      </a:solidFill>
                      <a:ln w="28575">
                        <a:solidFill>
                          <a:srgbClr val="843C0C"/>
                        </a:solidFill>
                      </a:ln>
                    </wps:spPr>
                    <wps:txbx>
                      <w:txbxContent>
                        <w:p>
                          <w:pPr>
                            <w:spacing w:before="0" w:after="0" w:line="240" w:lineRule="auto"/>
                            <w:jc w:val="center"/>
                          </w:pPr>
                          <w:r>
                            <w:rPr>
                              <w:rFonts w:ascii="Times New Roman" w:hAnsi="Times New Roman" w:cs="Times New Roman"/>
                              <w:b/>
                              <w:bCs/>
                              <w:color w:val="000000"/>
                              <w:sz w:val="22"/>
                              <w:szCs w:val="22"/>
                            </w:rPr>
                            <w:t xml:space="preserve">PÕHIPROBLEEM: 2017. aasta rebrändingu järel on Juventuse fännibaas killustunud ega samastu ühtse identiteediga</w:t>
                          </w:r>
                        </w:p>
                      </w:txbxContent>
                    </wps:txbx>
                    <wps:bodyPr rot="0" vert="horz" wrap="square" lIns="18000" tIns="18000" rIns="18000" bIns="18000" anchor="ctr" anchorCtr="0">
                      <a:noAutofit/>
                    </wps:bodyPr>
                  </wps:wsp>
                  <wps:wsp>
                    <wps:cNvPr id="8" name="P1"/>
                    <wps:cNvSpPr/>
                    <wps:spPr>
                      <a:xfrm>
                        <a:off x="118125" y="2413125"/>
                        <a:ext cx="1586250" cy="607500"/>
                      </a:xfrm>
                      <a:prstGeom prst="rect">
                        <a:avLst/>
                      </a:prstGeom>
                      <a:solidFill>
                        <a:srgbClr val="FFFFFF"/>
                      </a:solidFill>
                      <a:ln w="12700">
                        <a:solidFill>
                          <a:srgbClr val="2F5496"/>
                        </a:solidFill>
                      </a:ln>
                    </wps:spPr>
                    <wps:txbx>
                      <w:txbxContent>
                        <w:p>
                          <w:pPr>
                            <w:spacing w:before="0" w:after="0" w:line="240" w:lineRule="auto"/>
                            <w:jc w:val="center"/>
                          </w:pPr>
                          <w:r>
                            <w:rPr>
                              <w:rFonts w:ascii="Times New Roman" w:hAnsi="Times New Roman" w:cs="Times New Roman"/>
                              <w:color w:val="000000"/>
                              <w:sz w:val="22"/>
                              <w:szCs w:val="22"/>
                            </w:rPr>
                            <w:t xml:space="preserve">P1. Uus identiteet katkestas sideme klubi ajaloo ja sümboolikaga</w:t>
                          </w:r>
                        </w:p>
                      </w:txbxContent>
                    </wps:txbx>
                    <wps:bodyPr rot="0" vert="horz" wrap="square" lIns="18000" tIns="18000" rIns="18000" bIns="18000" anchor="ctr" anchorCtr="0">
                      <a:noAutofit/>
                    </wps:bodyPr>
                  </wps:wsp>
                  <wps:wsp>
                    <wps:cNvPr id="9" name="P2"/>
                    <wps:cNvSpPr/>
                    <wps:spPr>
                      <a:xfrm>
                        <a:off x="1906875" y="2413125"/>
                        <a:ext cx="1586250" cy="607500"/>
                      </a:xfrm>
                      <a:prstGeom prst="rect">
                        <a:avLst/>
                      </a:prstGeom>
                      <a:solidFill>
                        <a:srgbClr val="FFFFFF"/>
                      </a:solidFill>
                      <a:ln w="12700">
                        <a:solidFill>
                          <a:srgbClr val="2F5496"/>
                        </a:solidFill>
                      </a:ln>
                    </wps:spPr>
                    <wps:txbx>
                      <w:txbxContent>
                        <w:p>
                          <w:pPr>
                            <w:spacing w:before="0" w:after="0" w:line="240" w:lineRule="auto"/>
                            <w:jc w:val="center"/>
                          </w:pPr>
                          <w:r>
                            <w:rPr>
                              <w:rFonts w:ascii="Times New Roman" w:hAnsi="Times New Roman" w:cs="Times New Roman"/>
                              <w:color w:val="000000"/>
                              <w:sz w:val="22"/>
                              <w:szCs w:val="22"/>
                            </w:rPr>
                            <w:t xml:space="preserve">P2. Fänne ei kaasatud rebrändingu protsessi</w:t>
                          </w:r>
                        </w:p>
                      </w:txbxContent>
                    </wps:txbx>
                    <wps:bodyPr rot="0" vert="horz" wrap="square" lIns="18000" tIns="18000" rIns="18000" bIns="18000" anchor="ctr" anchorCtr="0">
                      <a:noAutofit/>
                    </wps:bodyPr>
                  </wps:wsp>
                  <wps:wsp>
                    <wps:cNvPr id="10" name="P3"/>
                    <wps:cNvSpPr/>
                    <wps:spPr>
                      <a:xfrm>
                        <a:off x="3695625" y="2413125"/>
                        <a:ext cx="1586250" cy="607500"/>
                      </a:xfrm>
                      <a:prstGeom prst="rect">
                        <a:avLst/>
                      </a:prstGeom>
                      <a:solidFill>
                        <a:srgbClr val="FFFFFF"/>
                      </a:solidFill>
                      <a:ln w="12700">
                        <a:solidFill>
                          <a:srgbClr val="2F5496"/>
                        </a:solidFill>
                      </a:ln>
                    </wps:spPr>
                    <wps:txbx>
                      <w:txbxContent>
                        <w:p>
                          <w:pPr>
                            <w:spacing w:before="0" w:after="0" w:line="240" w:lineRule="auto"/>
                            <w:jc w:val="center"/>
                          </w:pPr>
                          <w:r>
                            <w:rPr>
                              <w:rFonts w:ascii="Times New Roman" w:hAnsi="Times New Roman" w:cs="Times New Roman"/>
                              <w:color w:val="000000"/>
                              <w:sz w:val="22"/>
                              <w:szCs w:val="22"/>
                            </w:rPr>
                            <w:t xml:space="preserve">P3. Brändistrateegia eelistab globaalset ärilist sihtrühma</w:t>
                          </w:r>
                        </w:p>
                      </w:txbxContent>
                    </wps:txbx>
                    <wps:bodyPr rot="0" vert="horz" wrap="square" lIns="18000" tIns="18000" rIns="18000" bIns="18000" anchor="ctr" anchorCtr="0">
                      <a:noAutofit/>
                    </wps:bodyPr>
                  </wps:wsp>
                  <wps:wsp>
                    <wps:cNvPr id="11" name="P1a"/>
                    <wps:cNvSpPr/>
                    <wps:spPr>
                      <a:xfrm>
                        <a:off x="33750" y="3290625"/>
                        <a:ext cx="843750" cy="928125"/>
                      </a:xfrm>
                      <a:prstGeom prst="rect">
                        <a:avLst/>
                      </a:prstGeom>
                      <a:solidFill>
                        <a:srgbClr val="FFFFFF"/>
                      </a:solidFill>
                      <a:ln w="12700">
                        <a:solidFill>
                          <a:srgbClr val="595959"/>
                        </a:solidFill>
                      </a:ln>
                    </wps:spPr>
                    <wps:txbx>
                      <w:txbxContent>
                        <w:p>
                          <w:pPr>
                            <w:spacing w:before="0" w:after="0" w:line="240" w:lineRule="auto"/>
                            <w:jc w:val="center"/>
                          </w:pPr>
                          <w:r>
                            <w:rPr>
                              <w:rFonts w:ascii="Times New Roman" w:hAnsi="Times New Roman" w:cs="Times New Roman"/>
                              <w:color w:val="000000"/>
                              <w:sz w:val="22"/>
                              <w:szCs w:val="22"/>
                            </w:rPr>
                            <w:t xml:space="preserve">P1a. Ovaalne vapp ja Torino härg kadusid</w:t>
                          </w:r>
                        </w:p>
                      </w:txbxContent>
                    </wps:txbx>
                    <wps:bodyPr rot="0" vert="horz" wrap="square" lIns="18000" tIns="18000" rIns="18000" bIns="18000" anchor="ctr" anchorCtr="0">
                      <a:noAutofit/>
                    </wps:bodyPr>
                  </wps:wsp>
                  <wps:wsp>
                    <wps:cNvPr id="12" name="P1b"/>
                    <wps:cNvSpPr/>
                    <wps:spPr>
                      <a:xfrm>
                        <a:off x="945000" y="3290625"/>
                        <a:ext cx="843750" cy="928125"/>
                      </a:xfrm>
                      <a:prstGeom prst="rect">
                        <a:avLst/>
                      </a:prstGeom>
                      <a:solidFill>
                        <a:srgbClr val="FFFFFF"/>
                      </a:solidFill>
                      <a:ln w="12700">
                        <a:solidFill>
                          <a:srgbClr val="595959"/>
                        </a:solidFill>
                      </a:ln>
                    </wps:spPr>
                    <wps:txbx>
                      <w:txbxContent>
                        <w:p>
                          <w:pPr>
                            <w:spacing w:before="0" w:after="0" w:line="240" w:lineRule="auto"/>
                            <w:jc w:val="center"/>
                          </w:pPr>
                          <w:r>
                            <w:rPr>
                              <w:rFonts w:ascii="Times New Roman" w:hAnsi="Times New Roman" w:cs="Times New Roman"/>
                              <w:color w:val="000000"/>
                              <w:sz w:val="22"/>
                              <w:szCs w:val="22"/>
                            </w:rPr>
                            <w:t xml:space="preserve">P1b. „J“-logo tundub fännidele korporatiivne</w:t>
                          </w:r>
                        </w:p>
                      </w:txbxContent>
                    </wps:txbx>
                    <wps:bodyPr rot="0" vert="horz" wrap="square" lIns="18000" tIns="18000" rIns="18000" bIns="18000" anchor="ctr" anchorCtr="0">
                      <a:noAutofit/>
                    </wps:bodyPr>
                  </wps:wsp>
                  <wps:wsp>
                    <wps:cNvPr id="13" name="P2a"/>
                    <wps:cNvSpPr/>
                    <wps:spPr>
                      <a:xfrm>
                        <a:off x="1822500" y="3290625"/>
                        <a:ext cx="843750" cy="928125"/>
                      </a:xfrm>
                      <a:prstGeom prst="rect">
                        <a:avLst/>
                      </a:prstGeom>
                      <a:solidFill>
                        <a:srgbClr val="FFFFFF"/>
                      </a:solidFill>
                      <a:ln w="12700">
                        <a:solidFill>
                          <a:srgbClr val="595959"/>
                        </a:solidFill>
                      </a:ln>
                    </wps:spPr>
                    <wps:txbx>
                      <w:txbxContent>
                        <w:p>
                          <w:pPr>
                            <w:spacing w:before="0" w:after="0" w:line="240" w:lineRule="auto"/>
                            <w:jc w:val="center"/>
                          </w:pPr>
                          <w:r>
                            <w:rPr>
                              <w:rFonts w:ascii="Times New Roman" w:hAnsi="Times New Roman" w:cs="Times New Roman"/>
                              <w:color w:val="000000"/>
                              <w:sz w:val="22"/>
                              <w:szCs w:val="22"/>
                            </w:rPr>
                            <w:t xml:space="preserve">P2a. Muudatus esitleti valmis lahendusena</w:t>
                          </w:r>
                        </w:p>
                      </w:txbxContent>
                    </wps:txbx>
                    <wps:bodyPr rot="0" vert="horz" wrap="square" lIns="18000" tIns="18000" rIns="18000" bIns="18000" anchor="ctr" anchorCtr="0">
                      <a:noAutofit/>
                    </wps:bodyPr>
                  </wps:wsp>
                  <wps:wsp>
                    <wps:cNvPr id="14" name="P2b"/>
                    <wps:cNvSpPr/>
                    <wps:spPr>
                      <a:xfrm>
                        <a:off x="2733750" y="3290625"/>
                        <a:ext cx="843750" cy="928125"/>
                      </a:xfrm>
                      <a:prstGeom prst="rect">
                        <a:avLst/>
                      </a:prstGeom>
                      <a:solidFill>
                        <a:srgbClr val="FFFFFF"/>
                      </a:solidFill>
                      <a:ln w="12700">
                        <a:solidFill>
                          <a:srgbClr val="595959"/>
                        </a:solidFill>
                      </a:ln>
                    </wps:spPr>
                    <wps:txbx>
                      <w:txbxContent>
                        <w:p>
                          <w:pPr>
                            <w:spacing w:before="0" w:after="0" w:line="240" w:lineRule="auto"/>
                            <w:jc w:val="center"/>
                          </w:pPr>
                          <w:r>
                            <w:rPr>
                              <w:rFonts w:ascii="Times New Roman" w:hAnsi="Times New Roman" w:cs="Times New Roman"/>
                              <w:color w:val="000000"/>
                              <w:sz w:val="22"/>
                              <w:szCs w:val="22"/>
                            </w:rPr>
                            <w:t xml:space="preserve">P2b. Puudub fännide alaline tagasiside­kanal</w:t>
                          </w:r>
                        </w:p>
                      </w:txbxContent>
                    </wps:txbx>
                    <wps:bodyPr rot="0" vert="horz" wrap="square" lIns="18000" tIns="18000" rIns="18000" bIns="18000" anchor="ctr" anchorCtr="0">
                      <a:noAutofit/>
                    </wps:bodyPr>
                  </wps:wsp>
                  <wps:wsp>
                    <wps:cNvPr id="15" name="P3a"/>
                    <wps:cNvSpPr/>
                    <wps:spPr>
                      <a:xfrm>
                        <a:off x="3611250" y="3290625"/>
                        <a:ext cx="843750" cy="928125"/>
                      </a:xfrm>
                      <a:prstGeom prst="rect">
                        <a:avLst/>
                      </a:prstGeom>
                      <a:solidFill>
                        <a:srgbClr val="FFFFFF"/>
                      </a:solidFill>
                      <a:ln w="12700">
                        <a:solidFill>
                          <a:srgbClr val="595959"/>
                        </a:solidFill>
                      </a:ln>
                    </wps:spPr>
                    <wps:txbx>
                      <w:txbxContent>
                        <w:p>
                          <w:pPr>
                            <w:spacing w:before="0" w:after="0" w:line="240" w:lineRule="auto"/>
                            <w:jc w:val="center"/>
                          </w:pPr>
                          <w:r>
                            <w:rPr>
                              <w:rFonts w:ascii="Times New Roman" w:hAnsi="Times New Roman" w:cs="Times New Roman"/>
                              <w:color w:val="000000"/>
                              <w:sz w:val="22"/>
                              <w:szCs w:val="22"/>
                            </w:rPr>
                            <w:t xml:space="preserve">P3a. Fookus elustiili- ja moe­toodetel</w:t>
                          </w:r>
                        </w:p>
                      </w:txbxContent>
                    </wps:txbx>
                    <wps:bodyPr rot="0" vert="horz" wrap="square" lIns="18000" tIns="18000" rIns="18000" bIns="18000" anchor="ctr" anchorCtr="0">
                      <a:noAutofit/>
                    </wps:bodyPr>
                  </wps:wsp>
                  <wps:wsp>
                    <wps:cNvPr id="16" name="P3b"/>
                    <wps:cNvSpPr/>
                    <wps:spPr>
                      <a:xfrm>
                        <a:off x="4522500" y="3290625"/>
                        <a:ext cx="843750" cy="928125"/>
                      </a:xfrm>
                      <a:prstGeom prst="rect">
                        <a:avLst/>
                      </a:prstGeom>
                      <a:solidFill>
                        <a:srgbClr val="FFFFFF"/>
                      </a:solidFill>
                      <a:ln w="12700">
                        <a:solidFill>
                          <a:srgbClr val="595959"/>
                        </a:solidFill>
                      </a:ln>
                    </wps:spPr>
                    <wps:txbx>
                      <w:txbxContent>
                        <w:p>
                          <w:pPr>
                            <w:spacing w:before="0" w:after="0" w:line="240" w:lineRule="auto"/>
                            <w:jc w:val="center"/>
                          </w:pPr>
                          <w:r>
                            <w:rPr>
                              <w:rFonts w:ascii="Times New Roman" w:hAnsi="Times New Roman" w:cs="Times New Roman"/>
                              <w:color w:val="000000"/>
                              <w:sz w:val="22"/>
                              <w:szCs w:val="22"/>
                            </w:rPr>
                            <w:t xml:space="preserve">P3b. Sõnumid ei väärtusta klubi pärandit</w:t>
                          </w:r>
                        </w:p>
                      </w:txbxContent>
                    </wps:txbx>
                    <wps:bodyPr rot="0" vert="horz" wrap="square" lIns="18000" tIns="18000" rIns="18000" bIns="18000" anchor="ctr" anchorCtr="0">
                      <a:noAutofit/>
                    </wps:bodyPr>
                  </wps:wsp>
                  <wps:wsp>
                    <wps:cNvPr id="17" name="Ühendaja 17"/>
                    <wps:cNvCnPr>
                      <a:stCxn id="11" idx="0"/>
                      <a:endCxn id="8" idx="2"/>
                    </wps:cNvCnPr>
                    <wps:spPr>
                      <a:xfrm rot="16200000">
                        <a:off x="548438" y="2927813"/>
                        <a:ext cx="270000" cy="455625"/>
                      </a:xfrm>
                      <a:prstGeom prst="bentConnector3">
                        <a:avLst>
                          <a:gd name="adj1" fmla="val 50000"/>
                        </a:avLst>
                      </a:prstGeom>
                      <a:ln w="12700">
                        <a:solidFill>
                          <a:srgbClr val="404040"/>
                        </a:solidFill>
                        <a:tailEnd type="triangle" w="med" len="med"/>
                      </a:ln>
                    </wps:spPr>
                    <wps:bodyPr/>
                  </wps:wsp>
                  <wps:wsp>
                    <wps:cNvPr id="18" name="Ühendaja 18"/>
                    <wps:cNvCnPr>
                      <a:stCxn id="12" idx="0"/>
                      <a:endCxn id="8" idx="2"/>
                    </wps:cNvCnPr>
                    <wps:spPr>
                      <a:xfrm rot="16200000" flipV="1">
                        <a:off x="1004063" y="2927813"/>
                        <a:ext cx="270000" cy="455625"/>
                      </a:xfrm>
                      <a:prstGeom prst="bentConnector3">
                        <a:avLst>
                          <a:gd name="adj1" fmla="val 50000"/>
                        </a:avLst>
                      </a:prstGeom>
                      <a:ln w="12700">
                        <a:solidFill>
                          <a:srgbClr val="404040"/>
                        </a:solidFill>
                        <a:tailEnd type="triangle" w="med" len="med"/>
                      </a:ln>
                    </wps:spPr>
                    <wps:bodyPr/>
                  </wps:wsp>
                  <wps:wsp>
                    <wps:cNvPr id="19" name="Ühendaja 19"/>
                    <wps:cNvCnPr>
                      <a:stCxn id="13" idx="0"/>
                      <a:endCxn id="9" idx="2"/>
                    </wps:cNvCnPr>
                    <wps:spPr>
                      <a:xfrm rot="16200000">
                        <a:off x="2337188" y="2927813"/>
                        <a:ext cx="270000" cy="455625"/>
                      </a:xfrm>
                      <a:prstGeom prst="bentConnector3">
                        <a:avLst>
                          <a:gd name="adj1" fmla="val 50000"/>
                        </a:avLst>
                      </a:prstGeom>
                      <a:ln w="12700">
                        <a:solidFill>
                          <a:srgbClr val="404040"/>
                        </a:solidFill>
                        <a:tailEnd type="triangle" w="med" len="med"/>
                      </a:ln>
                    </wps:spPr>
                    <wps:bodyPr/>
                  </wps:wsp>
                  <wps:wsp>
                    <wps:cNvPr id="20" name="Ühendaja 20"/>
                    <wps:cNvCnPr>
                      <a:stCxn id="14" idx="0"/>
                      <a:endCxn id="9" idx="2"/>
                    </wps:cNvCnPr>
                    <wps:spPr>
                      <a:xfrm rot="16200000" flipV="1">
                        <a:off x="2792813" y="2927813"/>
                        <a:ext cx="270000" cy="455625"/>
                      </a:xfrm>
                      <a:prstGeom prst="bentConnector3">
                        <a:avLst>
                          <a:gd name="adj1" fmla="val 50000"/>
                        </a:avLst>
                      </a:prstGeom>
                      <a:ln w="12700">
                        <a:solidFill>
                          <a:srgbClr val="404040"/>
                        </a:solidFill>
                        <a:tailEnd type="triangle" w="med" len="med"/>
                      </a:ln>
                    </wps:spPr>
                    <wps:bodyPr/>
                  </wps:wsp>
                  <wps:wsp>
                    <wps:cNvPr id="21" name="Ühendaja 21"/>
                    <wps:cNvCnPr>
                      <a:stCxn id="15" idx="0"/>
                      <a:endCxn id="10" idx="2"/>
                    </wps:cNvCnPr>
                    <wps:spPr>
                      <a:xfrm rot="16200000">
                        <a:off x="4125938" y="2927813"/>
                        <a:ext cx="270000" cy="455625"/>
                      </a:xfrm>
                      <a:prstGeom prst="bentConnector3">
                        <a:avLst>
                          <a:gd name="adj1" fmla="val 50000"/>
                        </a:avLst>
                      </a:prstGeom>
                      <a:ln w="12700">
                        <a:solidFill>
                          <a:srgbClr val="404040"/>
                        </a:solidFill>
                        <a:tailEnd type="triangle" w="med" len="med"/>
                      </a:ln>
                    </wps:spPr>
                    <wps:bodyPr/>
                  </wps:wsp>
                  <wps:wsp>
                    <wps:cNvPr id="22" name="Ühendaja 22"/>
                    <wps:cNvCnPr>
                      <a:stCxn id="16" idx="0"/>
                      <a:endCxn id="10" idx="2"/>
                    </wps:cNvCnPr>
                    <wps:spPr>
                      <a:xfrm rot="16200000" flipV="1">
                        <a:off x="4581563" y="2927813"/>
                        <a:ext cx="270000" cy="455625"/>
                      </a:xfrm>
                      <a:prstGeom prst="bentConnector3">
                        <a:avLst>
                          <a:gd name="adj1" fmla="val 50000"/>
                        </a:avLst>
                      </a:prstGeom>
                      <a:ln w="12700">
                        <a:solidFill>
                          <a:srgbClr val="404040"/>
                        </a:solidFill>
                        <a:tailEnd type="triangle" w="med" len="med"/>
                      </a:ln>
                    </wps:spPr>
                    <wps:bodyPr/>
                  </wps:wsp>
                  <wps:wsp>
                    <wps:cNvPr id="23" name="Ühendaja 23"/>
                    <wps:cNvCnPr>
                      <a:stCxn id="8" idx="0"/>
                      <a:endCxn id="7" idx="2"/>
                    </wps:cNvCnPr>
                    <wps:spPr>
                      <a:xfrm rot="16200000">
                        <a:off x="1679062" y="1392188"/>
                        <a:ext cx="253125" cy="1788750"/>
                      </a:xfrm>
                      <a:prstGeom prst="bentConnector3">
                        <a:avLst>
                          <a:gd name="adj1" fmla="val 50000"/>
                        </a:avLst>
                      </a:prstGeom>
                      <a:ln w="12700">
                        <a:solidFill>
                          <a:srgbClr val="404040"/>
                        </a:solidFill>
                        <a:tailEnd type="triangle" w="med" len="med"/>
                      </a:ln>
                    </wps:spPr>
                    <wps:bodyPr/>
                  </wps:wsp>
                  <wps:wsp>
                    <wps:cNvPr id="24" name="Ühendaja 24"/>
                    <wps:cNvCnPr>
                      <a:stCxn id="9" idx="0"/>
                      <a:endCxn id="7" idx="2"/>
                    </wps:cNvCnPr>
                    <wps:spPr>
                      <a:xfrm flipV="1">
                        <a:off x="2700000" y="2160000"/>
                        <a:ext cx="0" cy="253125"/>
                      </a:xfrm>
                      <a:prstGeom prst="straightConnector1">
                        <a:avLst/>
                      </a:prstGeom>
                      <a:ln w="12700">
                        <a:solidFill>
                          <a:srgbClr val="404040"/>
                        </a:solidFill>
                        <a:tailEnd type="triangle" w="med" len="med"/>
                      </a:ln>
                    </wps:spPr>
                    <wps:bodyPr/>
                  </wps:wsp>
                  <wps:wsp>
                    <wps:cNvPr id="25" name="Ühendaja 25"/>
                    <wps:cNvCnPr>
                      <a:stCxn id="10" idx="0"/>
                      <a:endCxn id="7" idx="2"/>
                    </wps:cNvCnPr>
                    <wps:spPr>
                      <a:xfrm rot="16200000" flipV="1">
                        <a:off x="3467812" y="1392188"/>
                        <a:ext cx="253125" cy="1788750"/>
                      </a:xfrm>
                      <a:prstGeom prst="bentConnector3">
                        <a:avLst>
                          <a:gd name="adj1" fmla="val 50000"/>
                        </a:avLst>
                      </a:prstGeom>
                      <a:ln w="12700">
                        <a:solidFill>
                          <a:srgbClr val="404040"/>
                        </a:solidFill>
                        <a:tailEnd type="triangle" w="med" len="med"/>
                      </a:ln>
                    </wps:spPr>
                    <wps:bodyPr/>
                  </wps:wsp>
                  <wps:wsp>
                    <wps:cNvPr id="26" name="Ühendaja 26"/>
                    <wps:cNvCnPr>
                      <a:stCxn id="7" idx="0"/>
                      <a:endCxn id="4" idx="2"/>
                    </wps:cNvCnPr>
                    <wps:spPr>
                      <a:xfrm rot="16200000" flipV="1">
                        <a:off x="1679062" y="666562"/>
                        <a:ext cx="253125" cy="1788750"/>
                      </a:xfrm>
                      <a:prstGeom prst="bentConnector3">
                        <a:avLst>
                          <a:gd name="adj1" fmla="val 50000"/>
                        </a:avLst>
                      </a:prstGeom>
                      <a:ln w="12700">
                        <a:solidFill>
                          <a:srgbClr val="404040"/>
                        </a:solidFill>
                        <a:tailEnd type="triangle" w="med" len="med"/>
                      </a:ln>
                    </wps:spPr>
                    <wps:bodyPr/>
                  </wps:wsp>
                  <wps:wsp>
                    <wps:cNvPr id="27" name="Ühendaja 27"/>
                    <wps:cNvCnPr>
                      <a:stCxn id="7" idx="0"/>
                      <a:endCxn id="5" idx="2"/>
                    </wps:cNvCnPr>
                    <wps:spPr>
                      <a:xfrm flipV="1">
                        <a:off x="2700000" y="1434375"/>
                        <a:ext cx="0" cy="253125"/>
                      </a:xfrm>
                      <a:prstGeom prst="straightConnector1">
                        <a:avLst/>
                      </a:prstGeom>
                      <a:ln w="12700">
                        <a:solidFill>
                          <a:srgbClr val="404040"/>
                        </a:solidFill>
                        <a:tailEnd type="triangle" w="med" len="med"/>
                      </a:ln>
                    </wps:spPr>
                    <wps:bodyPr/>
                  </wps:wsp>
                  <wps:wsp>
                    <wps:cNvPr id="28" name="Ühendaja 28"/>
                    <wps:cNvCnPr>
                      <a:stCxn id="7" idx="0"/>
                      <a:endCxn id="6" idx="2"/>
                    </wps:cNvCnPr>
                    <wps:spPr>
                      <a:xfrm rot="16200000">
                        <a:off x="3467812" y="666562"/>
                        <a:ext cx="253125" cy="1788750"/>
                      </a:xfrm>
                      <a:prstGeom prst="bentConnector3">
                        <a:avLst>
                          <a:gd name="adj1" fmla="val 50000"/>
                        </a:avLst>
                      </a:prstGeom>
                      <a:ln w="12700">
                        <a:solidFill>
                          <a:srgbClr val="404040"/>
                        </a:solidFill>
                        <a:tailEnd type="triangle" w="med" len="med"/>
                      </a:ln>
                    </wps:spPr>
                    <wps:bodyPr/>
                  </wps:wsp>
                  <wps:wsp>
                    <wps:cNvPr id="29" name="Ühendaja 29"/>
                    <wps:cNvCnPr>
                      <a:stCxn id="4" idx="0"/>
                      <a:endCxn id="2" idx="2"/>
                    </wps:cNvCnPr>
                    <wps:spPr>
                      <a:xfrm rot="16200000">
                        <a:off x="1088438" y="396563"/>
                        <a:ext cx="253125" cy="607500"/>
                      </a:xfrm>
                      <a:prstGeom prst="bentConnector3">
                        <a:avLst>
                          <a:gd name="adj1" fmla="val 50000"/>
                        </a:avLst>
                      </a:prstGeom>
                      <a:ln w="12700">
                        <a:solidFill>
                          <a:srgbClr val="404040"/>
                        </a:solidFill>
                        <a:tailEnd type="triangle" w="med" len="med"/>
                      </a:ln>
                    </wps:spPr>
                    <wps:bodyPr/>
                  </wps:wsp>
                  <wps:wsp>
                    <wps:cNvPr id="30" name="Ühendaja 30"/>
                    <wps:cNvCnPr>
                      <a:stCxn id="5" idx="0"/>
                      <a:endCxn id="2" idx="2"/>
                    </wps:cNvCnPr>
                    <wps:spPr>
                      <a:xfrm rot="16200000" flipV="1">
                        <a:off x="1982812" y="109688"/>
                        <a:ext cx="253125" cy="1181250"/>
                      </a:xfrm>
                      <a:prstGeom prst="bentConnector3">
                        <a:avLst>
                          <a:gd name="adj1" fmla="val 50000"/>
                        </a:avLst>
                      </a:prstGeom>
                      <a:ln w="12700">
                        <a:solidFill>
                          <a:srgbClr val="404040"/>
                        </a:solidFill>
                        <a:tailEnd type="triangle" w="med" len="med"/>
                      </a:ln>
                    </wps:spPr>
                    <wps:bodyPr/>
                  </wps:wsp>
                  <wps:wsp>
                    <wps:cNvPr id="31" name="Ühendaja 31"/>
                    <wps:cNvCnPr>
                      <a:stCxn id="5" idx="0"/>
                      <a:endCxn id="3" idx="2"/>
                    </wps:cNvCnPr>
                    <wps:spPr>
                      <a:xfrm rot="16200000">
                        <a:off x="3164062" y="109688"/>
                        <a:ext cx="253125" cy="1181250"/>
                      </a:xfrm>
                      <a:prstGeom prst="bentConnector3">
                        <a:avLst>
                          <a:gd name="adj1" fmla="val 50000"/>
                        </a:avLst>
                      </a:prstGeom>
                      <a:ln w="12700">
                        <a:solidFill>
                          <a:srgbClr val="404040"/>
                        </a:solidFill>
                        <a:tailEnd type="triangle" w="med" len="med"/>
                      </a:ln>
                    </wps:spPr>
                    <wps:bodyPr/>
                  </wps:wsp>
                  <wps:wsp>
                    <wps:cNvPr id="32" name="Ühendaja 32"/>
                    <wps:cNvCnPr>
                      <a:stCxn id="6" idx="0"/>
                      <a:endCxn id="3" idx="2"/>
                    </wps:cNvCnPr>
                    <wps:spPr>
                      <a:xfrm rot="16200000" flipV="1">
                        <a:off x="4058438" y="396562"/>
                        <a:ext cx="253125" cy="607500"/>
                      </a:xfrm>
                      <a:prstGeom prst="bentConnector3">
                        <a:avLst>
                          <a:gd name="adj1" fmla="val 50000"/>
                        </a:avLst>
                      </a:prstGeom>
                      <a:ln w="12700">
                        <a:solidFill>
                          <a:srgbClr val="404040"/>
                        </a:solidFill>
                        <a:tailEnd type="triangle" w="med" len="med"/>
                      </a:ln>
                    </wps:spPr>
                    <wps:bodyPr/>
                  </wps:wsp>
                  <wps:wsp>
                    <wps:cNvPr id="33" name="lg"/>
                    <wps:cNvSpPr/>
                    <wps:spPr>
                      <a:xfrm>
                        <a:off x="0" y="4286250"/>
                        <a:ext cx="5400000" cy="303750"/>
                      </a:xfrm>
                      <a:prstGeom prst="rect">
                        <a:avLst/>
                      </a:prstGeom>
                      <a:noFill/>
                      <a:ln>
                        <a:noFill/>
                      </a:ln>
                    </wps:spPr>
                    <wps:txbx>
                      <w:txbxContent>
                        <w:p>
                          <w:pPr>
                            <w:spacing w:before="0" w:after="0" w:line="240" w:lineRule="auto"/>
                            <w:jc w:val="center"/>
                          </w:pPr>
                          <w:r>
                            <w:rPr>
                              <w:rFonts w:ascii="Times New Roman" w:hAnsi="Times New Roman" w:cs="Times New Roman"/>
                              <w:color w:val="404040"/>
                              <w:sz w:val="20"/>
                              <w:szCs w:val="20"/>
                            </w:rPr>
                            <w:t xml:space="preserve">Oranž raam – tagajärjed; paks raam – põhiprobleem; sinine raam – otsesed põhjused; hall raam – algpõhjused. Nool: põhjus → tagajärg.</w:t>
                          </w:r>
                        </w:p>
                      </w:txbxContent>
                    </wps:txbx>
                    <wps:bodyPr rot="0" vert="horz" wrap="square" lIns="18000" tIns="18000" rIns="18000" bIns="18000" anchor="ctr" anchorCtr="0">
                      <a:noAutofit/>
                    </wps:bodyPr>
                  </wps:wsp>
                </wpc:wpc>
              </a:graphicData>
            </a:graphic>
          </wp:inline>
        </w:drawing>
      </w:r>
    </w:p>
    <w:p>
      <w:pPr>
        <w:pStyle w:val="Caption"/>
        <w:keepNext w:val="false"/>
        <w:spacing w:after="0" w:before="120"/>
      </w:pPr>
      <w:r>
        <w:rPr>
          <w:b/>
          <w:bCs/>
        </w:rPr>
        <w:t xml:space="preserve">Joonis </w:t>
      </w:r>
      <w:fldSimple w:instr=" SEQ Joonis \* ARABIC ">
        <w:r>
          <w:rPr>
            <w:b/>
            <w:bCs/>
          </w:rPr>
          <w:t>1</w:t>
        </w:r>
      </w:fldSimple>
      <w:r>
        <w:rPr>
          <w:b/>
          <w:bCs/>
        </w:rPr>
        <w:t xml:space="preserve">. </w:t>
      </w:r>
      <w:r>
        <w:t xml:space="preserve">Juventuse fännibaasi killustumise probleemipuu. Allikas: Dezeen, 2017; Football Italia, 2017 põhjal. Vastutaja: Hugo-Christopher Saar</w:t>
      </w:r>
    </w:p>
    <w:p>
      <w:r>
        <w:t xml:space="preserve">Algpõhjuste sügavust kontrolliti tehnikaga „5 korda miks“. Näiteks: </w:t>
      </w:r>
      <w:r>
        <w:rPr>
          <w:i/>
          <w:iCs/>
        </w:rPr>
        <w:t xml:space="preserve">Miks ei samastu traditsioonilised fännid brändiga?</w:t>
      </w:r>
      <w:r>
        <w:t xml:space="preserve"> – Logo tundub neile anonüümne ja korporatiivne. </w:t>
      </w:r>
      <w:r>
        <w:rPr>
          <w:i/>
          <w:iCs/>
        </w:rPr>
        <w:t xml:space="preserve">Miks?</w:t>
      </w:r>
      <w:r>
        <w:t xml:space="preserve"> – Ovaalne vapp ja Torino härg, mis olid klubi vappides aastakümneid, eemaldati (Dezeen, 2017). </w:t>
      </w:r>
      <w:r>
        <w:rPr>
          <w:i/>
          <w:iCs/>
        </w:rPr>
        <w:t xml:space="preserve">Miks need eemaldati?</w:t>
      </w:r>
      <w:r>
        <w:t xml:space="preserve"> – Identiteet loodi eelkõige globaalse elustiilibrändi vajadustest, mitte fännide väärtustest lähtudes (Design Week, 2017). Ahel näitas, et probleem ei ole ainult logo kujundus, vaid </w:t>
      </w:r>
      <w:r>
        <w:rPr>
          <w:b/>
          <w:bCs/>
        </w:rPr>
        <w:t xml:space="preserve">ajaloolise sideme ja kaasamise puudumine</w:t>
      </w:r>
      <w:r>
        <w:t xml:space="preserve">. Seega ei lahendaks probleemi järjekordne „uus logo“ ilma fännide kaasamiseta.</w:t>
      </w:r>
    </w:p>
    <w:p>
      <w:r>
        <w:t xml:space="preserve">Rühm märgib, et fännibaasi killustumise ulatust tuleb mõõta. Projekti esimesel kuul viib turu-uuringu analüütik läbi fännide küsitluse ja sotsiaalmeedia analüüsi, mis annab lähtetaseme eesmärgipuu näitajatele.</w:t>
      </w:r>
    </w:p>
    <w:p>
      <w:r>
        <w:rPr>
          <w:b/>
          <w:bCs/>
        </w:rPr>
        <w:t xml:space="preserve">Probleemi lause.</w:t>
      </w:r>
      <w:r>
        <w:t xml:space="preserve"> Ilma selle projektita ei saa Juventus oma fänne uuesti ühendada, sest 2017. aasta rebränding eemaldas klubi ajaloolise sümboolika ilma fänne kaasamata ning seab esikohale globaalse ärilise sihtrühma, mistõttu ei samastu suur osa traditsioonilisi toetajaid klubi brändiga, fännibaas jaguneb „vanaks“ ja „uueks“ kogukonnaks ning klubi kaotab lojaalsust, mainet ja müügitulu.</w:t>
      </w:r>
    </w:p>
    <w:p>
      <w:pPr>
        <w:pStyle w:val="Heading3"/>
      </w:pPr>
      <w:r>
        <w:t xml:space="preserve">1.2.3. Eesmärgipuu ja projekti ulatus</w:t>
      </w:r>
    </w:p>
    <w:p>
      <w:r>
        <w:t xml:space="preserve">Eesmärgipuu (joonis 2) koostati probleemipuu negatiivsete seisundite ümbersõnastamisel soovitud, tulevikus püsivateks seisunditeks – mitte tegevusteks (Tamberg, 2022, slaid 31–34). Näiteks „uus logo on valmis“ on projekti tulem, mitte eesmärk; eesmärk on, et fännid samastuksid klubi identiteediga. Seejärel otsustati, milliste alameesmärkide saavutamine kuulub 3-kuulise projekti ulatusse ja millised jäetakse programmi teistele projektidele (vt alapeatükk 1.2.6).</w:t>
      </w:r>
    </w:p>
    <w:p>
      <w:pPr>
        <w:keepNext/>
        <w:spacing w:before="120" w:after="0" w:line="240" w:lineRule="auto"/>
        <w:ind w:firstLine="0"/>
        <w:jc w:val="center"/>
      </w:pPr>
      <w:r>
        <w:rPr>
          <w:noProof/>
        </w:rPr>
        <w:drawing>
          <wp:inline distT="0" distB="0" distL="0" distR="0">
            <wp:extent cx="5400000" cy="4623750"/>
            <wp:effectExtent l="0" t="0" r="0" b="0"/>
            <wp:docPr id="1002" name="Eesmärgipuu"/>
            <wp:cNvGraphicFramePr/>
            <a:graphic xmlns:a="http://schemas.openxmlformats.org/drawingml/2006/main">
              <a:graphicData uri="http://schemas.microsoft.com/office/word/2010/wordprocessingCanvas">
                <wpc:wpc>
                  <wpc:bg/>
                  <wpc:whole/>
                  <wps:wsp>
                    <wps:cNvPr id="2" name="E4"/>
                    <wps:cNvSpPr/>
                    <wps:spPr>
                      <a:xfrm>
                        <a:off x="472500" y="0"/>
                        <a:ext cx="2092500" cy="573750"/>
                      </a:xfrm>
                      <a:prstGeom prst="rect">
                        <a:avLst/>
                      </a:prstGeom>
                      <a:solidFill>
                        <a:srgbClr val="FFFFFF"/>
                      </a:solidFill>
                      <a:ln w="12700">
                        <a:solidFill>
                          <a:srgbClr val="BF9000"/>
                        </a:solidFill>
                      </a:ln>
                    </wps:spPr>
                    <wps:txbx>
                      <w:txbxContent>
                        <w:p>
                          <w:pPr>
                            <w:spacing w:before="0" w:after="0" w:line="240" w:lineRule="auto"/>
                            <w:jc w:val="center"/>
                          </w:pPr>
                          <w:r>
                            <w:rPr>
                              <w:rFonts w:ascii="Times New Roman" w:hAnsi="Times New Roman" w:cs="Times New Roman"/>
                              <w:color w:val="000000"/>
                              <w:sz w:val="22"/>
                              <w:szCs w:val="22"/>
                            </w:rPr>
                            <w:t xml:space="preserve">E4. Merchandise'i ja piletimüügi potentsiaal on täielikult kasutatud</w:t>
                          </w:r>
                        </w:p>
                      </w:txbxContent>
                    </wps:txbx>
                    <wps:bodyPr rot="0" vert="horz" wrap="square" lIns="18000" tIns="18000" rIns="18000" bIns="18000" anchor="ctr" anchorCtr="0">
                      <a:noAutofit/>
                    </wps:bodyPr>
                  </wps:wsp>
                  <wps:wsp>
                    <wps:cNvPr id="3" name="E5"/>
                    <wps:cNvSpPr/>
                    <wps:spPr>
                      <a:xfrm>
                        <a:off x="2835000" y="0"/>
                        <a:ext cx="2092500" cy="573750"/>
                      </a:xfrm>
                      <a:prstGeom prst="rect">
                        <a:avLst/>
                      </a:prstGeom>
                      <a:solidFill>
                        <a:srgbClr val="FFFFFF"/>
                      </a:solidFill>
                      <a:ln w="12700">
                        <a:solidFill>
                          <a:srgbClr val="BF9000"/>
                        </a:solidFill>
                      </a:ln>
                    </wps:spPr>
                    <wps:txbx>
                      <w:txbxContent>
                        <w:p>
                          <w:pPr>
                            <w:spacing w:before="0" w:after="0" w:line="240" w:lineRule="auto"/>
                            <w:jc w:val="center"/>
                          </w:pPr>
                          <w:r>
                            <w:rPr>
                              <w:rFonts w:ascii="Times New Roman" w:hAnsi="Times New Roman" w:cs="Times New Roman"/>
                              <w:color w:val="000000"/>
                              <w:sz w:val="22"/>
                              <w:szCs w:val="22"/>
                            </w:rPr>
                            <w:t xml:space="preserve">E5. Klubi maine ja brändi väärtus kasvavad</w:t>
                          </w:r>
                        </w:p>
                      </w:txbxContent>
                    </wps:txbx>
                    <wps:bodyPr rot="0" vert="horz" wrap="square" lIns="18000" tIns="18000" rIns="18000" bIns="18000" anchor="ctr" anchorCtr="0">
                      <a:noAutofit/>
                    </wps:bodyPr>
                  </wps:wsp>
                  <wps:wsp>
                    <wps:cNvPr id="4" name="E1"/>
                    <wps:cNvSpPr/>
                    <wps:spPr>
                      <a:xfrm>
                        <a:off x="118125" y="826875"/>
                        <a:ext cx="1586250" cy="607500"/>
                      </a:xfrm>
                      <a:prstGeom prst="rect">
                        <a:avLst/>
                      </a:prstGeom>
                      <a:solidFill>
                        <a:srgbClr val="FFFFFF"/>
                      </a:solidFill>
                      <a:ln w="12700">
                        <a:solidFill>
                          <a:srgbClr val="BF9000"/>
                        </a:solidFill>
                      </a:ln>
                    </wps:spPr>
                    <wps:txbx>
                      <w:txbxContent>
                        <w:p>
                          <w:pPr>
                            <w:spacing w:before="0" w:after="0" w:line="240" w:lineRule="auto"/>
                            <w:jc w:val="center"/>
                          </w:pPr>
                          <w:r>
                            <w:rPr>
                              <w:rFonts w:ascii="Times New Roman" w:hAnsi="Times New Roman" w:cs="Times New Roman"/>
                              <w:color w:val="000000"/>
                              <w:sz w:val="22"/>
                              <w:szCs w:val="22"/>
                            </w:rPr>
                            <w:t xml:space="preserve">E1. Traditsioonilised fännid samastuvad klubi brändiga</w:t>
                          </w:r>
                        </w:p>
                      </w:txbxContent>
                    </wps:txbx>
                    <wps:bodyPr rot="0" vert="horz" wrap="square" lIns="18000" tIns="18000" rIns="18000" bIns="18000" anchor="ctr" anchorCtr="0">
                      <a:noAutofit/>
                    </wps:bodyPr>
                  </wps:wsp>
                  <wps:wsp>
                    <wps:cNvPr id="5" name="E2"/>
                    <wps:cNvSpPr/>
                    <wps:spPr>
                      <a:xfrm>
                        <a:off x="1906875" y="826875"/>
                        <a:ext cx="1586250" cy="607500"/>
                      </a:xfrm>
                      <a:prstGeom prst="rect">
                        <a:avLst/>
                      </a:prstGeom>
                      <a:solidFill>
                        <a:srgbClr val="FFFFFF"/>
                      </a:solidFill>
                      <a:ln w="12700">
                        <a:solidFill>
                          <a:srgbClr val="BF9000"/>
                        </a:solidFill>
                      </a:ln>
                    </wps:spPr>
                    <wps:txbx>
                      <w:txbxContent>
                        <w:p>
                          <w:pPr>
                            <w:spacing w:before="0" w:after="0" w:line="240" w:lineRule="auto"/>
                            <w:jc w:val="center"/>
                          </w:pPr>
                          <w:r>
                            <w:rPr>
                              <w:rFonts w:ascii="Times New Roman" w:hAnsi="Times New Roman" w:cs="Times New Roman"/>
                              <w:color w:val="000000"/>
                              <w:sz w:val="22"/>
                              <w:szCs w:val="22"/>
                            </w:rPr>
                            <w:t xml:space="preserve">E2. Kohalikud ja globaalsed fännid on üks kogukond</w:t>
                          </w:r>
                        </w:p>
                      </w:txbxContent>
                    </wps:txbx>
                    <wps:bodyPr rot="0" vert="horz" wrap="square" lIns="18000" tIns="18000" rIns="18000" bIns="18000" anchor="ctr" anchorCtr="0">
                      <a:noAutofit/>
                    </wps:bodyPr>
                  </wps:wsp>
                  <wps:wsp>
                    <wps:cNvPr id="6" name="E3"/>
                    <wps:cNvSpPr/>
                    <wps:spPr>
                      <a:xfrm>
                        <a:off x="3695625" y="826875"/>
                        <a:ext cx="1586250" cy="607500"/>
                      </a:xfrm>
                      <a:prstGeom prst="rect">
                        <a:avLst/>
                      </a:prstGeom>
                      <a:solidFill>
                        <a:srgbClr val="FFFFFF"/>
                      </a:solidFill>
                      <a:ln w="12700">
                        <a:solidFill>
                          <a:srgbClr val="BF9000"/>
                        </a:solidFill>
                      </a:ln>
                    </wps:spPr>
                    <wps:txbx>
                      <w:txbxContent>
                        <w:p>
                          <w:pPr>
                            <w:spacing w:before="0" w:after="0" w:line="240" w:lineRule="auto"/>
                            <w:jc w:val="center"/>
                          </w:pPr>
                          <w:r>
                            <w:rPr>
                              <w:rFonts w:ascii="Times New Roman" w:hAnsi="Times New Roman" w:cs="Times New Roman"/>
                              <w:color w:val="000000"/>
                              <w:sz w:val="22"/>
                              <w:szCs w:val="22"/>
                            </w:rPr>
                            <w:t xml:space="preserve">E3. Emotsionaalne side ja lojaalsus klubiga on tugevad</w:t>
                          </w:r>
                        </w:p>
                      </w:txbxContent>
                    </wps:txbx>
                    <wps:bodyPr rot="0" vert="horz" wrap="square" lIns="18000" tIns="18000" rIns="18000" bIns="18000" anchor="ctr" anchorCtr="0">
                      <a:noAutofit/>
                    </wps:bodyPr>
                  </wps:wsp>
                  <wps:wsp>
                    <wps:cNvPr id="7" name="CORE"/>
                    <wps:cNvSpPr/>
                    <wps:spPr>
                      <a:xfrm>
                        <a:off x="573750" y="1687500"/>
                        <a:ext cx="4252500" cy="472500"/>
                      </a:xfrm>
                      <a:prstGeom prst="rect">
                        <a:avLst/>
                      </a:prstGeom>
                      <a:solidFill>
                        <a:srgbClr val="FFFFFF"/>
                      </a:solidFill>
                      <a:ln w="28575">
                        <a:solidFill>
                          <a:srgbClr val="385723"/>
                        </a:solidFill>
                      </a:ln>
                    </wps:spPr>
                    <wps:txbx>
                      <w:txbxContent>
                        <w:p>
                          <w:pPr>
                            <w:spacing w:before="0" w:after="0" w:line="240" w:lineRule="auto"/>
                            <w:jc w:val="center"/>
                          </w:pPr>
                          <w:r>
                            <w:rPr>
                              <w:rFonts w:ascii="Times New Roman" w:hAnsi="Times New Roman" w:cs="Times New Roman"/>
                              <w:b/>
                              <w:bCs/>
                              <w:color w:val="000000"/>
                              <w:sz w:val="22"/>
                              <w:szCs w:val="22"/>
                            </w:rPr>
                            <w:t xml:space="preserve">PEAEESMÄRK: Juventuse fännibaas on taas ühendatud ja samastub klubi identiteediga</w:t>
                          </w:r>
                        </w:p>
                      </w:txbxContent>
                    </wps:txbx>
                    <wps:bodyPr rot="0" vert="horz" wrap="square" lIns="18000" tIns="18000" rIns="18000" bIns="18000" anchor="ctr" anchorCtr="0">
                      <a:noAutofit/>
                    </wps:bodyPr>
                  </wps:wsp>
                  <wps:wsp>
                    <wps:cNvPr id="8" name="O1"/>
                    <wps:cNvSpPr/>
                    <wps:spPr>
                      <a:xfrm>
                        <a:off x="118125" y="2413125"/>
                        <a:ext cx="1586250" cy="607500"/>
                      </a:xfrm>
                      <a:prstGeom prst="rect">
                        <a:avLst/>
                      </a:prstGeom>
                      <a:solidFill>
                        <a:srgbClr val="FFFFFF"/>
                      </a:solidFill>
                      <a:ln w="12700">
                        <a:solidFill>
                          <a:srgbClr val="548235"/>
                        </a:solidFill>
                      </a:ln>
                    </wps:spPr>
                    <wps:txbx>
                      <w:txbxContent>
                        <w:p>
                          <w:pPr>
                            <w:spacing w:before="0" w:after="0" w:line="240" w:lineRule="auto"/>
                            <w:jc w:val="center"/>
                          </w:pPr>
                          <w:r>
                            <w:rPr>
                              <w:rFonts w:ascii="Times New Roman" w:hAnsi="Times New Roman" w:cs="Times New Roman"/>
                              <w:color w:val="000000"/>
                              <w:sz w:val="22"/>
                              <w:szCs w:val="22"/>
                            </w:rPr>
                            <w:t xml:space="preserve">O1. Identiteet ühendab klubi ajaloo ja kaasaegsuse</w:t>
                          </w:r>
                        </w:p>
                      </w:txbxContent>
                    </wps:txbx>
                    <wps:bodyPr rot="0" vert="horz" wrap="square" lIns="18000" tIns="18000" rIns="18000" bIns="18000" anchor="ctr" anchorCtr="0">
                      <a:noAutofit/>
                    </wps:bodyPr>
                  </wps:wsp>
                  <wps:wsp>
                    <wps:cNvPr id="9" name="O2"/>
                    <wps:cNvSpPr/>
                    <wps:spPr>
                      <a:xfrm>
                        <a:off x="1906875" y="2413125"/>
                        <a:ext cx="1586250" cy="607500"/>
                      </a:xfrm>
                      <a:prstGeom prst="rect">
                        <a:avLst/>
                      </a:prstGeom>
                      <a:solidFill>
                        <a:srgbClr val="FFFFFF"/>
                      </a:solidFill>
                      <a:ln w="12700">
                        <a:solidFill>
                          <a:srgbClr val="548235"/>
                        </a:solidFill>
                      </a:ln>
                    </wps:spPr>
                    <wps:txbx>
                      <w:txbxContent>
                        <w:p>
                          <w:pPr>
                            <w:spacing w:before="0" w:after="0" w:line="240" w:lineRule="auto"/>
                            <w:jc w:val="center"/>
                          </w:pPr>
                          <w:r>
                            <w:rPr>
                              <w:rFonts w:ascii="Times New Roman" w:hAnsi="Times New Roman" w:cs="Times New Roman"/>
                              <w:color w:val="000000"/>
                              <w:sz w:val="22"/>
                              <w:szCs w:val="22"/>
                            </w:rPr>
                            <w:t xml:space="preserve">O2. Fännid osalevad brändi kujundamises</w:t>
                          </w:r>
                        </w:p>
                      </w:txbxContent>
                    </wps:txbx>
                    <wps:bodyPr rot="0" vert="horz" wrap="square" lIns="18000" tIns="18000" rIns="18000" bIns="18000" anchor="ctr" anchorCtr="0">
                      <a:noAutofit/>
                    </wps:bodyPr>
                  </wps:wsp>
                  <wps:wsp>
                    <wps:cNvPr id="10" name="O3"/>
                    <wps:cNvSpPr/>
                    <wps:spPr>
                      <a:xfrm>
                        <a:off x="3695625" y="2413125"/>
                        <a:ext cx="1586250" cy="607500"/>
                      </a:xfrm>
                      <a:prstGeom prst="rect">
                        <a:avLst/>
                      </a:prstGeom>
                      <a:solidFill>
                        <a:srgbClr val="FFFFFF"/>
                      </a:solidFill>
                      <a:ln w="12700">
                        <a:solidFill>
                          <a:srgbClr val="548235"/>
                        </a:solidFill>
                      </a:ln>
                    </wps:spPr>
                    <wps:txbx>
                      <w:txbxContent>
                        <w:p>
                          <w:pPr>
                            <w:spacing w:before="0" w:after="0" w:line="240" w:lineRule="auto"/>
                            <w:jc w:val="center"/>
                          </w:pPr>
                          <w:r>
                            <w:rPr>
                              <w:rFonts w:ascii="Times New Roman" w:hAnsi="Times New Roman" w:cs="Times New Roman"/>
                              <w:color w:val="000000"/>
                              <w:sz w:val="22"/>
                              <w:szCs w:val="22"/>
                            </w:rPr>
                            <w:t xml:space="preserve">O3. Bränd teenib nii kohalikke kui ka globaalseid fänne</w:t>
                          </w:r>
                        </w:p>
                      </w:txbxContent>
                    </wps:txbx>
                    <wps:bodyPr rot="0" vert="horz" wrap="square" lIns="18000" tIns="18000" rIns="18000" bIns="18000" anchor="ctr" anchorCtr="0">
                      <a:noAutofit/>
                    </wps:bodyPr>
                  </wps:wsp>
                  <wps:wsp>
                    <wps:cNvPr id="11" name="O1a"/>
                    <wps:cNvSpPr/>
                    <wps:spPr>
                      <a:xfrm>
                        <a:off x="33750" y="3290625"/>
                        <a:ext cx="843750" cy="928125"/>
                      </a:xfrm>
                      <a:prstGeom prst="rect">
                        <a:avLst/>
                      </a:prstGeom>
                      <a:solidFill>
                        <a:srgbClr val="FFFFFF"/>
                      </a:solidFill>
                      <a:ln w="12700">
                        <a:solidFill>
                          <a:srgbClr val="548235"/>
                        </a:solidFill>
                      </a:ln>
                    </wps:spPr>
                    <wps:txbx>
                      <w:txbxContent>
                        <w:p>
                          <w:pPr>
                            <w:spacing w:before="0" w:after="0" w:line="240" w:lineRule="auto"/>
                            <w:jc w:val="center"/>
                          </w:pPr>
                          <w:r>
                            <w:rPr>
                              <w:rFonts w:ascii="Times New Roman" w:hAnsi="Times New Roman" w:cs="Times New Roman"/>
                              <w:color w:val="000000"/>
                              <w:sz w:val="22"/>
                              <w:szCs w:val="22"/>
                            </w:rPr>
                            <w:t xml:space="preserve">O1a. Ajalooline vapp on taas kasutusel</w:t>
                          </w:r>
                        </w:p>
                      </w:txbxContent>
                    </wps:txbx>
                    <wps:bodyPr rot="0" vert="horz" wrap="square" lIns="18000" tIns="18000" rIns="18000" bIns="18000" anchor="ctr" anchorCtr="0">
                      <a:noAutofit/>
                    </wps:bodyPr>
                  </wps:wsp>
                  <wps:wsp>
                    <wps:cNvPr id="12" name="O1b"/>
                    <wps:cNvSpPr/>
                    <wps:spPr>
                      <a:xfrm>
                        <a:off x="945000" y="3290625"/>
                        <a:ext cx="843750" cy="928125"/>
                      </a:xfrm>
                      <a:prstGeom prst="rect">
                        <a:avLst/>
                      </a:prstGeom>
                      <a:solidFill>
                        <a:srgbClr val="FFFFFF"/>
                      </a:solidFill>
                      <a:ln w="12700">
                        <a:solidFill>
                          <a:srgbClr val="7F7F7F"/>
                        </a:solidFill>
                        <a:prstDash val="dash"/>
                      </a:ln>
                    </wps:spPr>
                    <wps:txbx>
                      <w:txbxContent>
                        <w:p>
                          <w:pPr>
                            <w:spacing w:before="0" w:after="0" w:line="240" w:lineRule="auto"/>
                            <w:jc w:val="center"/>
                          </w:pPr>
                          <w:r>
                            <w:rPr>
                              <w:rFonts w:ascii="Times New Roman" w:hAnsi="Times New Roman" w:cs="Times New Roman"/>
                              <w:color w:val="000000"/>
                              <w:sz w:val="22"/>
                              <w:szCs w:val="22"/>
                            </w:rPr>
                            <w:t xml:space="preserve">O1b. Põhilogo on fännide seas aktsepteeritud</w:t>
                          </w:r>
                        </w:p>
                      </w:txbxContent>
                    </wps:txbx>
                    <wps:bodyPr rot="0" vert="horz" wrap="square" lIns="18000" tIns="18000" rIns="18000" bIns="18000" anchor="ctr" anchorCtr="0">
                      <a:noAutofit/>
                    </wps:bodyPr>
                  </wps:wsp>
                  <wps:wsp>
                    <wps:cNvPr id="13" name="O2a"/>
                    <wps:cNvSpPr/>
                    <wps:spPr>
                      <a:xfrm>
                        <a:off x="1822500" y="3290625"/>
                        <a:ext cx="843750" cy="928125"/>
                      </a:xfrm>
                      <a:prstGeom prst="rect">
                        <a:avLst/>
                      </a:prstGeom>
                      <a:solidFill>
                        <a:srgbClr val="FFFFFF"/>
                      </a:solidFill>
                      <a:ln w="12700">
                        <a:solidFill>
                          <a:srgbClr val="548235"/>
                        </a:solidFill>
                      </a:ln>
                    </wps:spPr>
                    <wps:txbx>
                      <w:txbxContent>
                        <w:p>
                          <w:pPr>
                            <w:spacing w:before="0" w:after="0" w:line="240" w:lineRule="auto"/>
                            <w:jc w:val="center"/>
                          </w:pPr>
                          <w:r>
                            <w:rPr>
                              <w:rFonts w:ascii="Times New Roman" w:hAnsi="Times New Roman" w:cs="Times New Roman"/>
                              <w:color w:val="000000"/>
                              <w:sz w:val="22"/>
                              <w:szCs w:val="22"/>
                            </w:rPr>
                            <w:t xml:space="preserve">O2a. Lahendus on fännidega koos testitud</w:t>
                          </w:r>
                        </w:p>
                      </w:txbxContent>
                    </wps:txbx>
                    <wps:bodyPr rot="0" vert="horz" wrap="square" lIns="18000" tIns="18000" rIns="18000" bIns="18000" anchor="ctr" anchorCtr="0">
                      <a:noAutofit/>
                    </wps:bodyPr>
                  </wps:wsp>
                  <wps:wsp>
                    <wps:cNvPr id="14" name="O2b"/>
                    <wps:cNvSpPr/>
                    <wps:spPr>
                      <a:xfrm>
                        <a:off x="2733750" y="3290625"/>
                        <a:ext cx="843750" cy="928125"/>
                      </a:xfrm>
                      <a:prstGeom prst="rect">
                        <a:avLst/>
                      </a:prstGeom>
                      <a:solidFill>
                        <a:srgbClr val="FFFFFF"/>
                      </a:solidFill>
                      <a:ln w="12700">
                        <a:solidFill>
                          <a:srgbClr val="7F7F7F"/>
                        </a:solidFill>
                        <a:prstDash val="dash"/>
                      </a:ln>
                    </wps:spPr>
                    <wps:txbx>
                      <w:txbxContent>
                        <w:p>
                          <w:pPr>
                            <w:spacing w:before="0" w:after="0" w:line="240" w:lineRule="auto"/>
                            <w:jc w:val="center"/>
                          </w:pPr>
                          <w:r>
                            <w:rPr>
                              <w:rFonts w:ascii="Times New Roman" w:hAnsi="Times New Roman" w:cs="Times New Roman"/>
                              <w:color w:val="000000"/>
                              <w:sz w:val="22"/>
                              <w:szCs w:val="22"/>
                            </w:rPr>
                            <w:t xml:space="preserve">O2b. Toimib alaline fännide nõukogu</w:t>
                          </w:r>
                        </w:p>
                      </w:txbxContent>
                    </wps:txbx>
                    <wps:bodyPr rot="0" vert="horz" wrap="square" lIns="18000" tIns="18000" rIns="18000" bIns="18000" anchor="ctr" anchorCtr="0">
                      <a:noAutofit/>
                    </wps:bodyPr>
                  </wps:wsp>
                  <wps:wsp>
                    <wps:cNvPr id="15" name="O3a"/>
                    <wps:cNvSpPr/>
                    <wps:spPr>
                      <a:xfrm>
                        <a:off x="3611250" y="3290625"/>
                        <a:ext cx="843750" cy="928125"/>
                      </a:xfrm>
                      <a:prstGeom prst="rect">
                        <a:avLst/>
                      </a:prstGeom>
                      <a:solidFill>
                        <a:srgbClr val="FFFFFF"/>
                      </a:solidFill>
                      <a:ln w="12700">
                        <a:solidFill>
                          <a:srgbClr val="548235"/>
                        </a:solidFill>
                      </a:ln>
                    </wps:spPr>
                    <wps:txbx>
                      <w:txbxContent>
                        <w:p>
                          <w:pPr>
                            <w:spacing w:before="0" w:after="0" w:line="240" w:lineRule="auto"/>
                            <w:jc w:val="center"/>
                          </w:pPr>
                          <w:r>
                            <w:rPr>
                              <w:rFonts w:ascii="Times New Roman" w:hAnsi="Times New Roman" w:cs="Times New Roman"/>
                              <w:color w:val="000000"/>
                              <w:sz w:val="22"/>
                              <w:szCs w:val="22"/>
                            </w:rPr>
                            <w:t xml:space="preserve">O3a. Fännipoes on pärand­kollektsioon</w:t>
                          </w:r>
                        </w:p>
                      </w:txbxContent>
                    </wps:txbx>
                    <wps:bodyPr rot="0" vert="horz" wrap="square" lIns="18000" tIns="18000" rIns="18000" bIns="18000" anchor="ctr" anchorCtr="0">
                      <a:noAutofit/>
                    </wps:bodyPr>
                  </wps:wsp>
                  <wps:wsp>
                    <wps:cNvPr id="16" name="O3b"/>
                    <wps:cNvSpPr/>
                    <wps:spPr>
                      <a:xfrm>
                        <a:off x="4522500" y="3290625"/>
                        <a:ext cx="843750" cy="928125"/>
                      </a:xfrm>
                      <a:prstGeom prst="rect">
                        <a:avLst/>
                      </a:prstGeom>
                      <a:solidFill>
                        <a:srgbClr val="FFFFFF"/>
                      </a:solidFill>
                      <a:ln w="12700">
                        <a:solidFill>
                          <a:srgbClr val="548235"/>
                        </a:solidFill>
                      </a:ln>
                    </wps:spPr>
                    <wps:txbx>
                      <w:txbxContent>
                        <w:p>
                          <w:pPr>
                            <w:spacing w:before="0" w:after="0" w:line="240" w:lineRule="auto"/>
                            <w:jc w:val="center"/>
                          </w:pPr>
                          <w:r>
                            <w:rPr>
                              <w:rFonts w:ascii="Times New Roman" w:hAnsi="Times New Roman" w:cs="Times New Roman"/>
                              <w:color w:val="000000"/>
                              <w:sz w:val="22"/>
                              <w:szCs w:val="22"/>
                            </w:rPr>
                            <w:t xml:space="preserve">O3b. Sõnumid väärtustavad pärandit</w:t>
                          </w:r>
                        </w:p>
                      </w:txbxContent>
                    </wps:txbx>
                    <wps:bodyPr rot="0" vert="horz" wrap="square" lIns="18000" tIns="18000" rIns="18000" bIns="18000" anchor="ctr" anchorCtr="0">
                      <a:noAutofit/>
                    </wps:bodyPr>
                  </wps:wsp>
                  <wps:wsp>
                    <wps:cNvPr id="17" name="Ühendaja 17"/>
                    <wps:cNvCnPr>
                      <a:stCxn id="11" idx="0"/>
                      <a:endCxn id="8" idx="2"/>
                    </wps:cNvCnPr>
                    <wps:spPr>
                      <a:xfrm rot="16200000">
                        <a:off x="548438" y="2927813"/>
                        <a:ext cx="270000" cy="455625"/>
                      </a:xfrm>
                      <a:prstGeom prst="bentConnector3">
                        <a:avLst>
                          <a:gd name="adj1" fmla="val 50000"/>
                        </a:avLst>
                      </a:prstGeom>
                      <a:ln w="12700">
                        <a:solidFill>
                          <a:srgbClr val="404040"/>
                        </a:solidFill>
                        <a:tailEnd type="triangle" w="med" len="med"/>
                      </a:ln>
                    </wps:spPr>
                    <wps:bodyPr/>
                  </wps:wsp>
                  <wps:wsp>
                    <wps:cNvPr id="18" name="Ühendaja 18"/>
                    <wps:cNvCnPr>
                      <a:stCxn id="12" idx="0"/>
                      <a:endCxn id="8" idx="2"/>
                    </wps:cNvCnPr>
                    <wps:spPr>
                      <a:xfrm rot="16200000" flipV="1">
                        <a:off x="1004063" y="2927813"/>
                        <a:ext cx="270000" cy="455625"/>
                      </a:xfrm>
                      <a:prstGeom prst="bentConnector3">
                        <a:avLst>
                          <a:gd name="adj1" fmla="val 50000"/>
                        </a:avLst>
                      </a:prstGeom>
                      <a:ln w="12700">
                        <a:solidFill>
                          <a:srgbClr val="404040"/>
                        </a:solidFill>
                        <a:tailEnd type="triangle" w="med" len="med"/>
                      </a:ln>
                    </wps:spPr>
                    <wps:bodyPr/>
                  </wps:wsp>
                  <wps:wsp>
                    <wps:cNvPr id="19" name="Ühendaja 19"/>
                    <wps:cNvCnPr>
                      <a:stCxn id="13" idx="0"/>
                      <a:endCxn id="9" idx="2"/>
                    </wps:cNvCnPr>
                    <wps:spPr>
                      <a:xfrm rot="16200000">
                        <a:off x="2337188" y="2927813"/>
                        <a:ext cx="270000" cy="455625"/>
                      </a:xfrm>
                      <a:prstGeom prst="bentConnector3">
                        <a:avLst>
                          <a:gd name="adj1" fmla="val 50000"/>
                        </a:avLst>
                      </a:prstGeom>
                      <a:ln w="12700">
                        <a:solidFill>
                          <a:srgbClr val="404040"/>
                        </a:solidFill>
                        <a:tailEnd type="triangle" w="med" len="med"/>
                      </a:ln>
                    </wps:spPr>
                    <wps:bodyPr/>
                  </wps:wsp>
                  <wps:wsp>
                    <wps:cNvPr id="20" name="Ühendaja 20"/>
                    <wps:cNvCnPr>
                      <a:stCxn id="14" idx="0"/>
                      <a:endCxn id="9" idx="2"/>
                    </wps:cNvCnPr>
                    <wps:spPr>
                      <a:xfrm rot="16200000" flipV="1">
                        <a:off x="2792813" y="2927813"/>
                        <a:ext cx="270000" cy="455625"/>
                      </a:xfrm>
                      <a:prstGeom prst="bentConnector3">
                        <a:avLst>
                          <a:gd name="adj1" fmla="val 50000"/>
                        </a:avLst>
                      </a:prstGeom>
                      <a:ln w="12700">
                        <a:solidFill>
                          <a:srgbClr val="404040"/>
                        </a:solidFill>
                        <a:tailEnd type="triangle" w="med" len="med"/>
                      </a:ln>
                    </wps:spPr>
                    <wps:bodyPr/>
                  </wps:wsp>
                  <wps:wsp>
                    <wps:cNvPr id="21" name="Ühendaja 21"/>
                    <wps:cNvCnPr>
                      <a:stCxn id="15" idx="0"/>
                      <a:endCxn id="10" idx="2"/>
                    </wps:cNvCnPr>
                    <wps:spPr>
                      <a:xfrm rot="16200000">
                        <a:off x="4125938" y="2927813"/>
                        <a:ext cx="270000" cy="455625"/>
                      </a:xfrm>
                      <a:prstGeom prst="bentConnector3">
                        <a:avLst>
                          <a:gd name="adj1" fmla="val 50000"/>
                        </a:avLst>
                      </a:prstGeom>
                      <a:ln w="12700">
                        <a:solidFill>
                          <a:srgbClr val="404040"/>
                        </a:solidFill>
                        <a:tailEnd type="triangle" w="med" len="med"/>
                      </a:ln>
                    </wps:spPr>
                    <wps:bodyPr/>
                  </wps:wsp>
                  <wps:wsp>
                    <wps:cNvPr id="22" name="Ühendaja 22"/>
                    <wps:cNvCnPr>
                      <a:stCxn id="16" idx="0"/>
                      <a:endCxn id="10" idx="2"/>
                    </wps:cNvCnPr>
                    <wps:spPr>
                      <a:xfrm rot="16200000" flipV="1">
                        <a:off x="4581563" y="2927813"/>
                        <a:ext cx="270000" cy="455625"/>
                      </a:xfrm>
                      <a:prstGeom prst="bentConnector3">
                        <a:avLst>
                          <a:gd name="adj1" fmla="val 50000"/>
                        </a:avLst>
                      </a:prstGeom>
                      <a:ln w="12700">
                        <a:solidFill>
                          <a:srgbClr val="404040"/>
                        </a:solidFill>
                        <a:tailEnd type="triangle" w="med" len="med"/>
                      </a:ln>
                    </wps:spPr>
                    <wps:bodyPr/>
                  </wps:wsp>
                  <wps:wsp>
                    <wps:cNvPr id="23" name="Ühendaja 23"/>
                    <wps:cNvCnPr>
                      <a:stCxn id="8" idx="0"/>
                      <a:endCxn id="7" idx="2"/>
                    </wps:cNvCnPr>
                    <wps:spPr>
                      <a:xfrm rot="16200000">
                        <a:off x="1679062" y="1392188"/>
                        <a:ext cx="253125" cy="1788750"/>
                      </a:xfrm>
                      <a:prstGeom prst="bentConnector3">
                        <a:avLst>
                          <a:gd name="adj1" fmla="val 50000"/>
                        </a:avLst>
                      </a:prstGeom>
                      <a:ln w="12700">
                        <a:solidFill>
                          <a:srgbClr val="404040"/>
                        </a:solidFill>
                        <a:tailEnd type="triangle" w="med" len="med"/>
                      </a:ln>
                    </wps:spPr>
                    <wps:bodyPr/>
                  </wps:wsp>
                  <wps:wsp>
                    <wps:cNvPr id="24" name="Ühendaja 24"/>
                    <wps:cNvCnPr>
                      <a:stCxn id="9" idx="0"/>
                      <a:endCxn id="7" idx="2"/>
                    </wps:cNvCnPr>
                    <wps:spPr>
                      <a:xfrm flipV="1">
                        <a:off x="2700000" y="2160000"/>
                        <a:ext cx="0" cy="253125"/>
                      </a:xfrm>
                      <a:prstGeom prst="straightConnector1">
                        <a:avLst/>
                      </a:prstGeom>
                      <a:ln w="12700">
                        <a:solidFill>
                          <a:srgbClr val="404040"/>
                        </a:solidFill>
                        <a:tailEnd type="triangle" w="med" len="med"/>
                      </a:ln>
                    </wps:spPr>
                    <wps:bodyPr/>
                  </wps:wsp>
                  <wps:wsp>
                    <wps:cNvPr id="25" name="Ühendaja 25"/>
                    <wps:cNvCnPr>
                      <a:stCxn id="10" idx="0"/>
                      <a:endCxn id="7" idx="2"/>
                    </wps:cNvCnPr>
                    <wps:spPr>
                      <a:xfrm rot="16200000" flipV="1">
                        <a:off x="3467812" y="1392188"/>
                        <a:ext cx="253125" cy="1788750"/>
                      </a:xfrm>
                      <a:prstGeom prst="bentConnector3">
                        <a:avLst>
                          <a:gd name="adj1" fmla="val 50000"/>
                        </a:avLst>
                      </a:prstGeom>
                      <a:ln w="12700">
                        <a:solidFill>
                          <a:srgbClr val="404040"/>
                        </a:solidFill>
                        <a:tailEnd type="triangle" w="med" len="med"/>
                      </a:ln>
                    </wps:spPr>
                    <wps:bodyPr/>
                  </wps:wsp>
                  <wps:wsp>
                    <wps:cNvPr id="26" name="Ühendaja 26"/>
                    <wps:cNvCnPr>
                      <a:stCxn id="7" idx="0"/>
                      <a:endCxn id="4" idx="2"/>
                    </wps:cNvCnPr>
                    <wps:spPr>
                      <a:xfrm rot="16200000" flipV="1">
                        <a:off x="1679062" y="666562"/>
                        <a:ext cx="253125" cy="1788750"/>
                      </a:xfrm>
                      <a:prstGeom prst="bentConnector3">
                        <a:avLst>
                          <a:gd name="adj1" fmla="val 50000"/>
                        </a:avLst>
                      </a:prstGeom>
                      <a:ln w="12700">
                        <a:solidFill>
                          <a:srgbClr val="404040"/>
                        </a:solidFill>
                        <a:tailEnd type="triangle" w="med" len="med"/>
                      </a:ln>
                    </wps:spPr>
                    <wps:bodyPr/>
                  </wps:wsp>
                  <wps:wsp>
                    <wps:cNvPr id="27" name="Ühendaja 27"/>
                    <wps:cNvCnPr>
                      <a:stCxn id="7" idx="0"/>
                      <a:endCxn id="5" idx="2"/>
                    </wps:cNvCnPr>
                    <wps:spPr>
                      <a:xfrm flipV="1">
                        <a:off x="2700000" y="1434375"/>
                        <a:ext cx="0" cy="253125"/>
                      </a:xfrm>
                      <a:prstGeom prst="straightConnector1">
                        <a:avLst/>
                      </a:prstGeom>
                      <a:ln w="12700">
                        <a:solidFill>
                          <a:srgbClr val="404040"/>
                        </a:solidFill>
                        <a:tailEnd type="triangle" w="med" len="med"/>
                      </a:ln>
                    </wps:spPr>
                    <wps:bodyPr/>
                  </wps:wsp>
                  <wps:wsp>
                    <wps:cNvPr id="28" name="Ühendaja 28"/>
                    <wps:cNvCnPr>
                      <a:stCxn id="7" idx="0"/>
                      <a:endCxn id="6" idx="2"/>
                    </wps:cNvCnPr>
                    <wps:spPr>
                      <a:xfrm rot="16200000">
                        <a:off x="3467812" y="666562"/>
                        <a:ext cx="253125" cy="1788750"/>
                      </a:xfrm>
                      <a:prstGeom prst="bentConnector3">
                        <a:avLst>
                          <a:gd name="adj1" fmla="val 50000"/>
                        </a:avLst>
                      </a:prstGeom>
                      <a:ln w="12700">
                        <a:solidFill>
                          <a:srgbClr val="404040"/>
                        </a:solidFill>
                        <a:tailEnd type="triangle" w="med" len="med"/>
                      </a:ln>
                    </wps:spPr>
                    <wps:bodyPr/>
                  </wps:wsp>
                  <wps:wsp>
                    <wps:cNvPr id="29" name="Ühendaja 29"/>
                    <wps:cNvCnPr>
                      <a:stCxn id="4" idx="0"/>
                      <a:endCxn id="2" idx="2"/>
                    </wps:cNvCnPr>
                    <wps:spPr>
                      <a:xfrm rot="16200000">
                        <a:off x="1088438" y="396563"/>
                        <a:ext cx="253125" cy="607500"/>
                      </a:xfrm>
                      <a:prstGeom prst="bentConnector3">
                        <a:avLst>
                          <a:gd name="adj1" fmla="val 50000"/>
                        </a:avLst>
                      </a:prstGeom>
                      <a:ln w="12700">
                        <a:solidFill>
                          <a:srgbClr val="404040"/>
                        </a:solidFill>
                        <a:tailEnd type="triangle" w="med" len="med"/>
                      </a:ln>
                    </wps:spPr>
                    <wps:bodyPr/>
                  </wps:wsp>
                  <wps:wsp>
                    <wps:cNvPr id="30" name="Ühendaja 30"/>
                    <wps:cNvCnPr>
                      <a:stCxn id="5" idx="0"/>
                      <a:endCxn id="2" idx="2"/>
                    </wps:cNvCnPr>
                    <wps:spPr>
                      <a:xfrm rot="16200000" flipV="1">
                        <a:off x="1982812" y="109688"/>
                        <a:ext cx="253125" cy="1181250"/>
                      </a:xfrm>
                      <a:prstGeom prst="bentConnector3">
                        <a:avLst>
                          <a:gd name="adj1" fmla="val 50000"/>
                        </a:avLst>
                      </a:prstGeom>
                      <a:ln w="12700">
                        <a:solidFill>
                          <a:srgbClr val="404040"/>
                        </a:solidFill>
                        <a:tailEnd type="triangle" w="med" len="med"/>
                      </a:ln>
                    </wps:spPr>
                    <wps:bodyPr/>
                  </wps:wsp>
                  <wps:wsp>
                    <wps:cNvPr id="31" name="Ühendaja 31"/>
                    <wps:cNvCnPr>
                      <a:stCxn id="5" idx="0"/>
                      <a:endCxn id="3" idx="2"/>
                    </wps:cNvCnPr>
                    <wps:spPr>
                      <a:xfrm rot="16200000">
                        <a:off x="3164062" y="109688"/>
                        <a:ext cx="253125" cy="1181250"/>
                      </a:xfrm>
                      <a:prstGeom prst="bentConnector3">
                        <a:avLst>
                          <a:gd name="adj1" fmla="val 50000"/>
                        </a:avLst>
                      </a:prstGeom>
                      <a:ln w="12700">
                        <a:solidFill>
                          <a:srgbClr val="404040"/>
                        </a:solidFill>
                        <a:tailEnd type="triangle" w="med" len="med"/>
                      </a:ln>
                    </wps:spPr>
                    <wps:bodyPr/>
                  </wps:wsp>
                  <wps:wsp>
                    <wps:cNvPr id="32" name="Ühendaja 32"/>
                    <wps:cNvCnPr>
                      <a:stCxn id="6" idx="0"/>
                      <a:endCxn id="3" idx="2"/>
                    </wps:cNvCnPr>
                    <wps:spPr>
                      <a:xfrm rot="16200000" flipV="1">
                        <a:off x="4058438" y="396562"/>
                        <a:ext cx="253125" cy="607500"/>
                      </a:xfrm>
                      <a:prstGeom prst="bentConnector3">
                        <a:avLst>
                          <a:gd name="adj1" fmla="val 50000"/>
                        </a:avLst>
                      </a:prstGeom>
                      <a:ln w="12700">
                        <a:solidFill>
                          <a:srgbClr val="404040"/>
                        </a:solidFill>
                        <a:tailEnd type="triangle" w="med" len="med"/>
                      </a:ln>
                    </wps:spPr>
                    <wps:bodyPr/>
                  </wps:wsp>
                  <wps:wsp>
                    <wps:cNvPr id="33" name="lg"/>
                    <wps:cNvSpPr/>
                    <wps:spPr>
                      <a:xfrm>
                        <a:off x="0" y="4286250"/>
                        <a:ext cx="5400000" cy="303750"/>
                      </a:xfrm>
                      <a:prstGeom prst="rect">
                        <a:avLst/>
                      </a:prstGeom>
                      <a:noFill/>
                      <a:ln>
                        <a:noFill/>
                      </a:ln>
                    </wps:spPr>
                    <wps:txbx>
                      <w:txbxContent>
                        <w:p>
                          <w:pPr>
                            <w:spacing w:before="0" w:after="0" w:line="240" w:lineRule="auto"/>
                            <w:jc w:val="center"/>
                          </w:pPr>
                          <w:r>
                            <w:rPr>
                              <w:rFonts w:ascii="Times New Roman" w:hAnsi="Times New Roman" w:cs="Times New Roman"/>
                              <w:color w:val="404040"/>
                              <w:sz w:val="20"/>
                              <w:szCs w:val="20"/>
                            </w:rPr>
                            <w:t xml:space="preserve">Kollane raam – soovitud püsiseisund (eesmärgid); roheline raam – vahendid projekti ulatuses; kriipsjoon – vahendid väljaspool projekti (programmi teised projektid). Nool: vahend → eesmärk.</w:t>
                          </w:r>
                        </w:p>
                      </w:txbxContent>
                    </wps:txbx>
                    <wps:bodyPr rot="0" vert="horz" wrap="square" lIns="18000" tIns="18000" rIns="18000" bIns="18000" anchor="ctr" anchorCtr="0">
                      <a:noAutofit/>
                    </wps:bodyPr>
                  </wps:wsp>
                </wpc:wpc>
              </a:graphicData>
            </a:graphic>
          </wp:inline>
        </w:drawing>
      </w:r>
    </w:p>
    <w:p>
      <w:pPr>
        <w:pStyle w:val="Caption"/>
        <w:keepNext w:val="false"/>
        <w:spacing w:after="0" w:before="120"/>
      </w:pPr>
      <w:r>
        <w:rPr>
          <w:b/>
          <w:bCs/>
        </w:rPr>
        <w:t xml:space="preserve">Joonis </w:t>
      </w:r>
      <w:fldSimple w:instr=" SEQ Joonis \* ARABIC ">
        <w:r>
          <w:rPr>
            <w:b/>
            <w:bCs/>
          </w:rPr>
          <w:t>2</w:t>
        </w:r>
      </w:fldSimple>
      <w:r>
        <w:rPr>
          <w:b/>
          <w:bCs/>
        </w:rPr>
        <w:t xml:space="preserve">. </w:t>
      </w:r>
      <w:r>
        <w:t xml:space="preserve">Juventuse fännibaasi taasühendamise eesmärgipuu. Vastutaja: Ragnar Dietrich</w:t>
      </w:r>
    </w:p>
    <w:p>
      <w:r>
        <w:t xml:space="preserve">Peaeesmärgi saavutamist mõõdetakse järgmiste näitajatega (lähtetase mõõdetakse projekti 1. kuul):</w:t>
      </w:r>
    </w:p>
    <w:p>
      <w:pPr>
        <w:pStyle w:val="ListParagraph"/>
        <w:numPr>
          <w:ilvl w:val="0"/>
          <w:numId w:val="3"/>
        </w:numPr>
        <w:spacing w:before="0"/>
      </w:pPr>
      <w:r>
        <w:t xml:space="preserve">fännide samastumise indeks (küsitlus, skaala 1–8) tõuseb 6 kuu jooksul pärast lansseerimist vähemalt 1 palli võrra nii kohalike kui ka globaalsete fännide seas (Wann &amp; Branscombe, 1993);</w:t>
      </w:r>
    </w:p>
    <w:p>
      <w:pPr>
        <w:pStyle w:val="ListParagraph"/>
        <w:numPr>
          <w:ilvl w:val="0"/>
          <w:numId w:val="3"/>
        </w:numPr>
        <w:spacing w:before="0"/>
      </w:pPr>
      <w:r>
        <w:t xml:space="preserve">brändi kohta tehtud negatiivsete sotsiaalmeediapostituste osakaal väheneb poole võrra võrreldes lähtetasemega;</w:t>
      </w:r>
    </w:p>
    <w:p>
      <w:pPr>
        <w:pStyle w:val="ListParagraph"/>
        <w:numPr>
          <w:ilvl w:val="0"/>
          <w:numId w:val="3"/>
        </w:numPr>
        <w:spacing w:before="0"/>
      </w:pPr>
      <w:r>
        <w:t xml:space="preserve">pärandkollektsiooni müük moodustab esimesel hooajal vähemalt 10% merchandise’i käibest;</w:t>
      </w:r>
    </w:p>
    <w:p>
      <w:pPr>
        <w:pStyle w:val="ListParagraph"/>
        <w:numPr>
          <w:ilvl w:val="0"/>
          <w:numId w:val="3"/>
        </w:numPr>
        <w:spacing w:before="0"/>
      </w:pPr>
      <w:r>
        <w:t xml:space="preserve">ametlike fänniklubide liikmete arv kasvab.</w:t>
      </w:r>
    </w:p>
    <w:p>
      <w:r>
        <w:t xml:space="preserve">Projekti ulatusse kuuluvad alameesmärgid O1a, O2a, O3a ja O3b, mis on saavutatavad 3 kuu ja 96 800-eurose eelarvega. Põhilogo laialdane aktsepteerimine (O1b) ja alaline fännide nõukogu (O2b) jäetakse programmi jätkuprojektidele, sest need vajavad pikemat aega ja klubi juhtimiskorralduse muutmist.</w:t>
      </w:r>
    </w:p>
    <w:p>
      <w:pPr>
        <w:pStyle w:val="Heading3"/>
      </w:pPr>
      <w:r>
        <w:t xml:space="preserve">1.2.4. Huvipoolte analüüs ja kaasamise strateegia</w:t>
      </w:r>
    </w:p>
    <w:p>
      <w:r>
        <w:t xml:space="preserve">Huvipooled leiti kontrollküsimuste abil: kelle vaated ja kogemused on asjakohased, kes on otsustajad, kes hakkavad otsuste järgi tegutsema, kelle toetus on edu jaoks oluline, kellel on õigus tulemustest kasu saada ja kes võib tunda end ohustatuna (Tamberg, 2022, slaid 22). Lähtepunktiks olid rühma määratletud huvipooled – omanikud, osanikud, mängijad, toetajad, fännid, sponsorid ning kohalik omavalitsus ja elanikud –, mida täiendati „väravavahtidega“ (kaubamärgiametid, liiga) ning meedia ja litsentsipartneritega (Tamberg, 2022, slaid 24). Huvi ja mõju hinnati skaalal 1–5 rühma konsensuse alusel; hinnangud valideeritakse projekti esimesel kuul intervjuude ja küsitlusega. Tabelis 2 on esitatud huvipoolte huvi tingimused ja kaasamise strateegia, joonisel 3 nende paiknemine mõju-huvi maatriksis (Mendelow, 1981; Eden &amp; Ackermann, 1998).</w:t>
      </w:r>
    </w:p>
    <w:p>
      <w:pPr>
        <w:pStyle w:val="Caption"/>
        <w:keepNext/>
        <w:spacing w:after="240" w:before="240"/>
      </w:pPr>
      <w:r>
        <w:rPr>
          <w:b/>
          <w:bCs/>
        </w:rPr>
        <w:t xml:space="preserve">Tabel </w:t>
      </w:r>
      <w:fldSimple w:instr=" SEQ Tabel \* ARABIC ">
        <w:r>
          <w:rPr>
            <w:b/>
            <w:bCs/>
          </w:rPr>
          <w:t>2</w:t>
        </w:r>
      </w:fldSimple>
      <w:r>
        <w:rPr>
          <w:b/>
          <w:bCs/>
        </w:rPr>
        <w:t xml:space="preserve">. </w:t>
      </w:r>
      <w:r>
        <w:t xml:space="preserve">Huvipoolte analüüs ja kaasamise strateegia</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1732"/>
        <w:gridCol w:w="712"/>
        <w:gridCol w:w="1686"/>
        <w:gridCol w:w="712"/>
        <w:gridCol w:w="1498"/>
        <w:gridCol w:w="2164"/>
      </w:tblGrid>
      <w:tr>
        <w:trPr>
          <w:cantSplit/>
          <w:tblHeader/>
        </w:trPr>
        <w:tc>
          <w:tcPr>
            <w:tcW w:type="dxa" w:w="173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Huvipool</w:t>
            </w:r>
          </w:p>
        </w:tc>
        <w:tc>
          <w:tcPr>
            <w:tcW w:type="dxa" w:w="7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Huvi</w:t>
            </w:r>
          </w:p>
          <w:p>
            <w:pPr>
              <w:pStyle w:val="TableText"/>
              <w:keepNext/>
              <w:keepLines/>
              <w:jc w:val="center"/>
            </w:pPr>
            <w:r>
              <w:rPr>
                <w:b/>
                <w:bCs/>
              </w:rPr>
              <w:t xml:space="preserve">(1–5)</w:t>
            </w:r>
          </w:p>
        </w:tc>
        <w:tc>
          <w:tcPr>
            <w:tcW w:type="dxa" w:w="168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Huvi (osalemise, toetamise) tingimus</w:t>
            </w:r>
          </w:p>
        </w:tc>
        <w:tc>
          <w:tcPr>
            <w:tcW w:type="dxa" w:w="71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Mõju</w:t>
            </w:r>
          </w:p>
          <w:p>
            <w:pPr>
              <w:pStyle w:val="TableText"/>
              <w:keepNext/>
              <w:keepLines/>
              <w:jc w:val="center"/>
            </w:pPr>
            <w:r>
              <w:rPr>
                <w:b/>
                <w:bCs/>
              </w:rPr>
              <w:t xml:space="preserve">(1–5)</w:t>
            </w:r>
          </w:p>
        </w:tc>
        <w:tc>
          <w:tcPr>
            <w:tcW w:type="dxa" w:w="149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Osalemise või mõju viis</w:t>
            </w:r>
          </w:p>
        </w:tc>
        <w:tc>
          <w:tcPr>
            <w:tcW w:type="dxa" w:w="2164"/>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Kaasamise strateegia</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1. Omanik – enamusaktsionär Exor (Agnelli perekond)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5</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Brändi väärtuse ja tulu kasv, 2017. a investeeringu kaitse</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5</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Kinnitab eelarve ja lõpliku lahenduse</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Võtmeisik:</w:t>
            </w:r>
            <w:r>
              <w:rPr>
                <w:b w:val="false"/>
                <w:bCs w:val="false"/>
              </w:rPr>
              <w:t xml:space="preserve"> juhtkomitee esimees, etapipiiridel ärijuhtumi kinnitamine</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2. Klubi juhatus, turundus- ja brändiosakond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5</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Ühtne globaalne bränd, mõõdetav fännide rahulolu</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4</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Brändi omanik igapäevaselt, eelarve haldus</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Võtmeisik:</w:t>
            </w:r>
            <w:r>
              <w:rPr>
                <w:b w:val="false"/>
                <w:bCs w:val="false"/>
              </w:rPr>
              <w:t xml:space="preserve"> juhtkomitee liige, iganädalane staatus</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3. Osanikud (vähemusaktsionärid, börsiinvestorid)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2</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Aktsia väärtus, kulude põhjendatus</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3</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Aktsionäride üldkoosolek, investorsuhted</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Jälgi:</w:t>
            </w:r>
            <w:r>
              <w:rPr>
                <w:b w:val="false"/>
                <w:bCs w:val="false"/>
              </w:rPr>
              <w:t xml:space="preserve"> investorsuhete teade lansseerimisel</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4. Mängijad ja treenerid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3</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Särgi sümboolika, fännide toetus staadionil</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2</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Brändisaadikud, kampaania nägu</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Jälgi:</w:t>
            </w:r>
            <w:r>
              <w:rPr>
                <w:b w:val="false"/>
                <w:bCs w:val="false"/>
              </w:rPr>
              <w:t xml:space="preserve"> kaasa kampaaniasse saadikutena, informeeri sisekommunikatsiooni kaudu</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5. Organiseeritud toetajad (ametlikud fänniklubid, ultrad)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5</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Ajaloolise vapi ja sümboolika taastamine</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3</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Arvamusliidrid, staadionikultuur, avalik kriitika</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Hoia informeerituna:</w:t>
            </w:r>
            <w:r>
              <w:rPr>
                <w:b w:val="false"/>
                <w:bCs w:val="false"/>
              </w:rPr>
              <w:t xml:space="preserve"> kaasa disaini testimisse ja fännifoorumisse; eesmärk tõsta võtmeisikuks</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6. Globaalsed fännid (digikanalid)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4</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Kaasaegne, äratuntav bränd ja digisisu</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2</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Sotsiaalmeedia, e-pood</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Hoia informeerituna:</w:t>
            </w:r>
            <w:r>
              <w:rPr>
                <w:b w:val="false"/>
                <w:bCs w:val="false"/>
              </w:rPr>
              <w:t xml:space="preserve"> veebiküsitlus, digikampaania</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7. Kohalikud fännid ja hooajapiletite omanikud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5</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Klubi ajalugu ja Torino identiteet nähtavaks</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3</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Piletimüük, staadioni atmosfäär</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Hoia informeerituna:</w:t>
            </w:r>
            <w:r>
              <w:rPr>
                <w:b w:val="false"/>
                <w:bCs w:val="false"/>
              </w:rPr>
              <w:t xml:space="preserve"> fookusgrupid, staadioniüritus lansseerimisel</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8. Sponsorid ja tehniline partner</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4</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Brändi stabiilsus, positiivne meediapilt, toodete müük</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4</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Lepingud, särgid ja tootmine</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Võtmeisik:</w:t>
            </w:r>
            <w:r>
              <w:rPr>
                <w:b w:val="false"/>
                <w:bCs w:val="false"/>
              </w:rPr>
              <w:t xml:space="preserve"> varajane konsultatsioon, tootmisgraafiku kokkulepe</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9. Kohalik omavalitsus (Torino linn) ja elanikud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2</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Linna sümboolika (härg) korrektne kasutus, linna maine</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2</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Linna sümbolite kasutusluba, linnaruumi üritused</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Jälgi:</w:t>
            </w:r>
            <w:r>
              <w:rPr>
                <w:b w:val="false"/>
                <w:bCs w:val="false"/>
              </w:rPr>
              <w:t xml:space="preserve"> konsulteeri härja sümboli kasutuse osas</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10. Litsentsipartnerid ja jaemüüjad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4</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Laovarude läbimüük, uue kollektsiooni õigeaegne info</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3</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Merchandise'i tootmine ja müük</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Hoia informeerituna:</w:t>
            </w:r>
            <w:r>
              <w:rPr>
                <w:b w:val="false"/>
                <w:bCs w:val="false"/>
              </w:rPr>
              <w:t xml:space="preserve"> tootmiskoordinaatori kaudu ajakava ja üleminek</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11. Meedia ja sotsiaalmeedia mõjuisikud</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2</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Uudisväärtus, konflikti- ja lugude ainestik</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4</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Avaliku arvamuse kujundamine</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Hoia rahul:</w:t>
            </w:r>
            <w:r>
              <w:rPr>
                <w:b w:val="false"/>
                <w:bCs w:val="false"/>
              </w:rPr>
              <w:t xml:space="preserve"> suhtekorraldusplaan, eelinfo ja intervjuud</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12. Kaubamärgiametid (EUIPO, Itaalia patendiamet)</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1</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Taotluste vastavus nõuetele</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4</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Kaubamärgi registreerimine (väravavaht)</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Hoia rahul:</w:t>
            </w:r>
            <w:r>
              <w:rPr>
                <w:b w:val="false"/>
                <w:bCs w:val="false"/>
              </w:rPr>
              <w:t xml:space="preserve"> kaubamärgiõiguse spetsialist esitab taotluse 1. kuul</w:t>
            </w:r>
          </w:p>
        </w:tc>
      </w:tr>
      <w:tr>
        <w:trPr>
          <w:cantSplit/>
        </w:trPr>
        <w:tc>
          <w:tcPr>
            <w:tcW w:type="dxa" w:w="173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13. Serie A ja UEFA</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1</w:t>
            </w:r>
          </w:p>
        </w:tc>
        <w:tc>
          <w:tcPr>
            <w:tcW w:type="dxa" w:w="16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Vormi ja sümboolika reeglite järgimine</w:t>
            </w:r>
          </w:p>
        </w:tc>
        <w:tc>
          <w:tcPr>
            <w:tcW w:type="dxa" w:w="7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center"/>
            </w:pPr>
            <w:r>
              <w:rPr>
                <w:b w:val="false"/>
                <w:bCs w:val="false"/>
              </w:rPr>
              <w:t xml:space="preserve">3</w:t>
            </w:r>
          </w:p>
        </w:tc>
        <w:tc>
          <w:tcPr>
            <w:tcW w:type="dxa" w:w="149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val="false"/>
                <w:bCs w:val="false"/>
              </w:rPr>
              <w:t xml:space="preserve">Mängusärgi ja logo kasutuse nõuded</w:t>
            </w:r>
          </w:p>
        </w:tc>
        <w:tc>
          <w:tcPr>
            <w:tcW w:type="dxa" w:w="21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val="false"/>
              <w:keepLines/>
              <w:jc w:val="left"/>
            </w:pPr>
            <w:r>
              <w:rPr>
                <w:b/>
                <w:bCs/>
              </w:rPr>
              <w:t xml:space="preserve">Jälgi:</w:t>
            </w:r>
            <w:r>
              <w:rPr>
                <w:b w:val="false"/>
                <w:bCs w:val="false"/>
              </w:rPr>
              <w:t xml:space="preserve"> nõuete kontroll enne särgi kujunduse kinnitamist</w:t>
            </w:r>
          </w:p>
        </w:tc>
      </w:tr>
      <w:tr>
        <w:trPr>
          <w:cantSplit/>
        </w:trPr>
        <w:tc>
          <w:tcPr>
            <w:tcW w:type="dxa" w:w="8504"/>
            <w:gridSpan w:val="6"/>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Allikas: Tamberg, 2022, slaid 28; Mendelow, 1981. Vastutaja: Herman Ra Truvek.</w:t>
            </w:r>
          </w:p>
        </w:tc>
      </w:tr>
    </w:tbl>
    <w:p>
      <w:pPr>
        <w:keepNext/>
        <w:spacing w:before="120" w:after="0" w:line="240" w:lineRule="auto"/>
        <w:ind w:firstLine="0"/>
        <w:jc w:val="center"/>
      </w:pPr>
      <w:r>
        <w:rPr>
          <w:noProof/>
        </w:rPr>
        <w:drawing>
          <wp:inline distT="0" distB="0" distL="0" distR="0">
            <wp:extent cx="5400000" cy="3678750"/>
            <wp:effectExtent l="0" t="0" r="0" b="0"/>
            <wp:docPr id="1003" name="Huvipoolte maatriks"/>
            <wp:cNvGraphicFramePr/>
            <a:graphic xmlns:a="http://schemas.openxmlformats.org/drawingml/2006/main">
              <a:graphicData uri="http://schemas.microsoft.com/office/word/2010/wordprocessingCanvas">
                <wpc:wpc>
                  <wpc:bg/>
                  <wpc:whole/>
                  <wps:wsp>
                    <wps:cNvPr id="2" name="Q0"/>
                    <wps:cNvSpPr/>
                    <wps:spPr>
                      <a:xfrm>
                        <a:off x="337500" y="253125"/>
                        <a:ext cx="2463750" cy="1586250"/>
                      </a:xfrm>
                      <a:prstGeom prst="rect">
                        <a:avLst/>
                      </a:prstGeom>
                      <a:solidFill>
                        <a:srgbClr val="FFFFFF"/>
                      </a:solidFill>
                      <a:ln w="12700">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18000" tIns="18000" rIns="18000" bIns="18000" anchor="ctr" anchorCtr="0">
                      <a:noAutofit/>
                    </wps:bodyPr>
                  </wps:wsp>
                  <wps:wsp>
                    <wps:cNvPr id="3" name="QL0"/>
                    <wps:cNvSpPr/>
                    <wps:spPr>
                      <a:xfrm>
                        <a:off x="337500" y="280125"/>
                        <a:ext cx="2463750" cy="16875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2"/>
                              <w:szCs w:val="22"/>
                            </w:rPr>
                            <w:t xml:space="preserve">HOIA RAHUL</w:t>
                          </w:r>
                        </w:p>
                      </w:txbxContent>
                    </wps:txbx>
                    <wps:bodyPr rot="0" vert="horz" wrap="square" lIns="18000" tIns="18000" rIns="18000" bIns="18000" anchor="ctr" anchorCtr="0">
                      <a:noAutofit/>
                    </wps:bodyPr>
                  </wps:wsp>
                  <wps:wsp>
                    <wps:cNvPr id="4" name="Q1"/>
                    <wps:cNvSpPr/>
                    <wps:spPr>
                      <a:xfrm>
                        <a:off x="2801250" y="253125"/>
                        <a:ext cx="2463750" cy="1586250"/>
                      </a:xfrm>
                      <a:prstGeom prst="rect">
                        <a:avLst/>
                      </a:prstGeom>
                      <a:solidFill>
                        <a:srgbClr val="FFFFFF"/>
                      </a:solidFill>
                      <a:ln w="12700">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18000" tIns="18000" rIns="18000" bIns="18000" anchor="ctr" anchorCtr="0">
                      <a:noAutofit/>
                    </wps:bodyPr>
                  </wps:wsp>
                  <wps:wsp>
                    <wps:cNvPr id="5" name="QL1"/>
                    <wps:cNvSpPr/>
                    <wps:spPr>
                      <a:xfrm>
                        <a:off x="2801250" y="280125"/>
                        <a:ext cx="2463750" cy="16875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2"/>
                              <w:szCs w:val="22"/>
                            </w:rPr>
                            <w:t xml:space="preserve">VÕTMEISIKUD</w:t>
                          </w:r>
                        </w:p>
                      </w:txbxContent>
                    </wps:txbx>
                    <wps:bodyPr rot="0" vert="horz" wrap="square" lIns="18000" tIns="18000" rIns="18000" bIns="18000" anchor="ctr" anchorCtr="0">
                      <a:noAutofit/>
                    </wps:bodyPr>
                  </wps:wsp>
                  <wps:wsp>
                    <wps:cNvPr id="6" name="Q2"/>
                    <wps:cNvSpPr/>
                    <wps:spPr>
                      <a:xfrm>
                        <a:off x="337500" y="1839375"/>
                        <a:ext cx="2463750" cy="1586250"/>
                      </a:xfrm>
                      <a:prstGeom prst="rect">
                        <a:avLst/>
                      </a:prstGeom>
                      <a:solidFill>
                        <a:srgbClr val="FFFFFF"/>
                      </a:solidFill>
                      <a:ln w="12700">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18000" tIns="18000" rIns="18000" bIns="18000" anchor="ctr" anchorCtr="0">
                      <a:noAutofit/>
                    </wps:bodyPr>
                  </wps:wsp>
                  <wps:wsp>
                    <wps:cNvPr id="7" name="QL2"/>
                    <wps:cNvSpPr/>
                    <wps:spPr>
                      <a:xfrm>
                        <a:off x="337500" y="3223125"/>
                        <a:ext cx="2463750" cy="16875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2"/>
                              <w:szCs w:val="22"/>
                            </w:rPr>
                            <w:t xml:space="preserve">JÄLGI</w:t>
                          </w:r>
                        </w:p>
                      </w:txbxContent>
                    </wps:txbx>
                    <wps:bodyPr rot="0" vert="horz" wrap="square" lIns="18000" tIns="18000" rIns="18000" bIns="18000" anchor="ctr" anchorCtr="0">
                      <a:noAutofit/>
                    </wps:bodyPr>
                  </wps:wsp>
                  <wps:wsp>
                    <wps:cNvPr id="8" name="Q3"/>
                    <wps:cNvSpPr/>
                    <wps:spPr>
                      <a:xfrm>
                        <a:off x="2801250" y="1839375"/>
                        <a:ext cx="2463750" cy="1586250"/>
                      </a:xfrm>
                      <a:prstGeom prst="rect">
                        <a:avLst/>
                      </a:prstGeom>
                      <a:solidFill>
                        <a:srgbClr val="FFFFFF"/>
                      </a:solidFill>
                      <a:ln w="12700">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18000" tIns="18000" rIns="18000" bIns="18000" anchor="ctr" anchorCtr="0">
                      <a:noAutofit/>
                    </wps:bodyPr>
                  </wps:wsp>
                  <wps:wsp>
                    <wps:cNvPr id="9" name="QL3"/>
                    <wps:cNvSpPr/>
                    <wps:spPr>
                      <a:xfrm>
                        <a:off x="2801250" y="3223125"/>
                        <a:ext cx="2463750" cy="16875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2"/>
                              <w:szCs w:val="22"/>
                            </w:rPr>
                            <w:t xml:space="preserve">HOIA INFORMEERITUNA</w:t>
                          </w:r>
                        </w:p>
                      </w:txbxContent>
                    </wps:txbx>
                    <wps:bodyPr rot="0" vert="horz" wrap="square" lIns="18000" tIns="18000" rIns="18000" bIns="18000" anchor="ctr" anchorCtr="0">
                      <a:noAutofit/>
                    </wps:bodyPr>
                  </wps:wsp>
                  <wps:wsp>
                    <wps:cNvPr id="10" name="Joon 10"/>
                    <wps:cNvCnPr/>
                    <wps:spPr>
                      <a:xfrm>
                        <a:off x="337500" y="3425625"/>
                        <a:ext cx="5028750" cy="0"/>
                      </a:xfrm>
                      <a:prstGeom prst="straightConnector1">
                        <a:avLst/>
                      </a:prstGeom>
                      <a:ln w="15875">
                        <a:solidFill>
                          <a:srgbClr val="404040"/>
                        </a:solidFill>
                        <a:tailEnd type="triangle" w="med" len="med"/>
                      </a:ln>
                    </wps:spPr>
                    <wps:bodyPr/>
                  </wps:wsp>
                  <wps:wsp>
                    <wps:cNvPr id="11" name="Joon 11"/>
                    <wps:cNvCnPr/>
                    <wps:spPr>
                      <a:xfrm flipV="1">
                        <a:off x="337500" y="50625"/>
                        <a:ext cx="0" cy="3375000"/>
                      </a:xfrm>
                      <a:prstGeom prst="straightConnector1">
                        <a:avLst/>
                      </a:prstGeom>
                      <a:ln w="15875">
                        <a:solidFill>
                          <a:srgbClr val="404040"/>
                        </a:solidFill>
                        <a:tailEnd type="triangle" w="med" len="med"/>
                      </a:ln>
                    </wps:spPr>
                    <wps:bodyPr/>
                  </wps:wsp>
                  <wps:wsp>
                    <wps:cNvPr id="12" name="xl"/>
                    <wps:cNvSpPr/>
                    <wps:spPr>
                      <a:xfrm>
                        <a:off x="1451250" y="3459375"/>
                        <a:ext cx="2700000" cy="168750"/>
                      </a:xfrm>
                      <a:prstGeom prst="rect">
                        <a:avLst/>
                      </a:prstGeom>
                      <a:noFill/>
                      <a:ln>
                        <a:noFill/>
                      </a:ln>
                    </wps:spPr>
                    <wps:txbx>
                      <w:txbxContent>
                        <w:p>
                          <w:pPr>
                            <w:spacing w:before="0" w:after="0" w:line="240" w:lineRule="auto"/>
                            <w:jc w:val="center"/>
                          </w:pPr>
                          <w:r>
                            <w:rPr>
                              <w:rFonts w:ascii="Times New Roman" w:hAnsi="Times New Roman" w:cs="Times New Roman"/>
                              <w:b/>
                              <w:bCs/>
                              <w:color w:val="000000"/>
                              <w:sz w:val="22"/>
                              <w:szCs w:val="22"/>
                            </w:rPr>
                            <w:t xml:space="preserve">HUVI projekti vastu (1–5)</w:t>
                          </w:r>
                        </w:p>
                      </w:txbxContent>
                    </wps:txbx>
                    <wps:bodyPr rot="0" vert="horz" wrap="square" lIns="18000" tIns="18000" rIns="18000" bIns="18000" anchor="ctr" anchorCtr="0">
                      <a:noAutofit/>
                    </wps:bodyPr>
                  </wps:wsp>
                  <wps:wsp>
                    <wps:cNvPr id="13" name="yl"/>
                    <wps:cNvSpPr/>
                    <wps:spPr>
                      <a:xfrm>
                        <a:off x="405000" y="0"/>
                        <a:ext cx="1755000" cy="168750"/>
                      </a:xfrm>
                      <a:prstGeom prst="rect">
                        <a:avLst/>
                      </a:prstGeom>
                      <a:noFill/>
                      <a:ln>
                        <a:noFill/>
                      </a:ln>
                    </wps:spPr>
                    <wps:txbx>
                      <w:txbxContent>
                        <w:p>
                          <w:pPr>
                            <w:spacing w:before="0" w:after="0" w:line="240" w:lineRule="auto"/>
                            <w:jc w:val="left"/>
                          </w:pPr>
                          <w:r>
                            <w:rPr>
                              <w:rFonts w:ascii="Times New Roman" w:hAnsi="Times New Roman" w:cs="Times New Roman"/>
                              <w:b/>
                              <w:bCs/>
                              <w:color w:val="000000"/>
                              <w:sz w:val="22"/>
                              <w:szCs w:val="22"/>
                            </w:rPr>
                            <w:t xml:space="preserve">MÕJU projektile (1–5)</w:t>
                          </w:r>
                        </w:p>
                      </w:txbxContent>
                    </wps:txbx>
                    <wps:bodyPr rot="0" vert="horz" wrap="square" lIns="18000" tIns="18000" rIns="18000" bIns="18000" anchor="ctr" anchorCtr="0">
                      <a:noAutofit/>
                    </wps:bodyPr>
                  </wps:wsp>
                  <wps:wsp>
                    <wps:cNvPr id="14" name="lo"/>
                    <wps:cNvSpPr/>
                    <wps:spPr>
                      <a:xfrm>
                        <a:off x="354375" y="3459375"/>
                        <a:ext cx="202500" cy="168750"/>
                      </a:xfrm>
                      <a:prstGeom prst="rect">
                        <a:avLst/>
                      </a:prstGeom>
                      <a:noFill/>
                      <a:ln>
                        <a:noFill/>
                      </a:ln>
                    </wps:spPr>
                    <wps:txbx>
                      <w:txbxContent>
                        <w:p>
                          <w:pPr>
                            <w:spacing w:before="0" w:after="0" w:line="240" w:lineRule="auto"/>
                            <w:jc w:val="center"/>
                          </w:pPr>
                          <w:r>
                            <w:rPr>
                              <w:rFonts w:ascii="Times New Roman" w:hAnsi="Times New Roman" w:cs="Times New Roman"/>
                              <w:color w:val="000000"/>
                              <w:sz w:val="22"/>
                              <w:szCs w:val="22"/>
                            </w:rPr>
                            <w:t xml:space="preserve">1</w:t>
                          </w:r>
                        </w:p>
                      </w:txbxContent>
                    </wps:txbx>
                    <wps:bodyPr rot="0" vert="horz" wrap="square" lIns="18000" tIns="18000" rIns="18000" bIns="18000" anchor="ctr" anchorCtr="0">
                      <a:noAutofit/>
                    </wps:bodyPr>
                  </wps:wsp>
                  <wps:wsp>
                    <wps:cNvPr id="15" name="hi"/>
                    <wps:cNvSpPr/>
                    <wps:spPr>
                      <a:xfrm>
                        <a:off x="5045625" y="3459375"/>
                        <a:ext cx="202500" cy="168750"/>
                      </a:xfrm>
                      <a:prstGeom prst="rect">
                        <a:avLst/>
                      </a:prstGeom>
                      <a:noFill/>
                      <a:ln>
                        <a:noFill/>
                      </a:ln>
                    </wps:spPr>
                    <wps:txbx>
                      <w:txbxContent>
                        <w:p>
                          <w:pPr>
                            <w:spacing w:before="0" w:after="0" w:line="240" w:lineRule="auto"/>
                            <w:jc w:val="center"/>
                          </w:pPr>
                          <w:r>
                            <w:rPr>
                              <w:rFonts w:ascii="Times New Roman" w:hAnsi="Times New Roman" w:cs="Times New Roman"/>
                              <w:color w:val="000000"/>
                              <w:sz w:val="22"/>
                              <w:szCs w:val="22"/>
                            </w:rPr>
                            <w:t xml:space="preserve">5</w:t>
                          </w:r>
                        </w:p>
                      </w:txbxContent>
                    </wps:txbx>
                    <wps:bodyPr rot="0" vert="horz" wrap="square" lIns="18000" tIns="18000" rIns="18000" bIns="18000" anchor="ctr" anchorCtr="0">
                      <a:noAutofit/>
                    </wps:bodyPr>
                  </wps:wsp>
                  <wps:wsp>
                    <wps:cNvPr id="16" name="S1"/>
                    <wps:cNvSpPr/>
                    <wps:spPr>
                      <a:xfrm>
                        <a:off x="3964275" y="585900"/>
                        <a:ext cx="1221750"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1. Omanik (Exor)</w:t>
                          </w:r>
                        </w:p>
                      </w:txbxContent>
                    </wps:txbx>
                    <wps:bodyPr rot="0" vert="horz" wrap="square" lIns="18000" tIns="18000" rIns="18000" bIns="18000" anchor="ctr" anchorCtr="0">
                      <a:noAutofit/>
                    </wps:bodyPr>
                  </wps:wsp>
                  <wps:wsp>
                    <wps:cNvPr id="17" name="S2"/>
                    <wps:cNvSpPr/>
                    <wps:spPr>
                      <a:xfrm>
                        <a:off x="3597750" y="1131975"/>
                        <a:ext cx="1616625"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2. Juhatus ja turundus</w:t>
                          </w:r>
                        </w:p>
                      </w:txbxContent>
                    </wps:txbx>
                    <wps:bodyPr rot="0" vert="horz" wrap="square" lIns="18000" tIns="18000" rIns="18000" bIns="18000" anchor="ctr" anchorCtr="0">
                      <a:noAutofit/>
                    </wps:bodyPr>
                  </wps:wsp>
                  <wps:wsp>
                    <wps:cNvPr id="18" name="S3"/>
                    <wps:cNvSpPr/>
                    <wps:spPr>
                      <a:xfrm>
                        <a:off x="1123031" y="2165400"/>
                        <a:ext cx="892688"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3. Osanikud</w:t>
                          </w:r>
                        </w:p>
                      </w:txbxContent>
                    </wps:txbx>
                    <wps:bodyPr rot="0" vert="horz" wrap="square" lIns="18000" tIns="18000" rIns="18000" bIns="18000" anchor="ctr" anchorCtr="0">
                      <a:noAutofit/>
                    </wps:bodyPr>
                  </wps:wsp>
                  <wps:wsp>
                    <wps:cNvPr id="19" name="S4"/>
                    <wps:cNvSpPr/>
                    <wps:spPr>
                      <a:xfrm>
                        <a:off x="1742681" y="2419875"/>
                        <a:ext cx="892688"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4. Mängijad</w:t>
                          </w:r>
                        </w:p>
                      </w:txbxContent>
                    </wps:txbx>
                    <wps:bodyPr rot="0" vert="horz" wrap="square" lIns="18000" tIns="18000" rIns="18000" bIns="18000" anchor="ctr" anchorCtr="0">
                      <a:noAutofit/>
                    </wps:bodyPr>
                  </wps:wsp>
                  <wps:wsp>
                    <wps:cNvPr id="20" name="S5"/>
                    <wps:cNvSpPr/>
                    <wps:spPr>
                      <a:xfrm>
                        <a:off x="3964275" y="1861650"/>
                        <a:ext cx="1221750"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5. Toetajagrupid</w:t>
                          </w:r>
                        </w:p>
                      </w:txbxContent>
                    </wps:txbx>
                    <wps:bodyPr rot="0" vert="horz" wrap="square" lIns="18000" tIns="18000" rIns="18000" bIns="18000" anchor="ctr" anchorCtr="0">
                      <a:noAutofit/>
                    </wps:bodyPr>
                  </wps:wsp>
                  <wps:wsp>
                    <wps:cNvPr id="21" name="S6"/>
                    <wps:cNvSpPr/>
                    <wps:spPr>
                      <a:xfrm>
                        <a:off x="2866725" y="2858625"/>
                        <a:ext cx="1485000"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6. Globaalsed fännid</w:t>
                          </w:r>
                        </w:p>
                      </w:txbxContent>
                    </wps:txbx>
                    <wps:bodyPr rot="0" vert="horz" wrap="square" lIns="18000" tIns="18000" rIns="18000" bIns="18000" anchor="ctr" anchorCtr="0">
                      <a:noAutofit/>
                    </wps:bodyPr>
                  </wps:wsp>
                  <wps:wsp>
                    <wps:cNvPr id="22" name="S7"/>
                    <wps:cNvSpPr/>
                    <wps:spPr>
                      <a:xfrm>
                        <a:off x="3795187" y="2165400"/>
                        <a:ext cx="1419188"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7. Kohalikud fännid</w:t>
                          </w:r>
                        </w:p>
                      </w:txbxContent>
                    </wps:txbx>
                    <wps:bodyPr rot="0" vert="horz" wrap="square" lIns="18000" tIns="18000" rIns="18000" bIns="18000" anchor="ctr" anchorCtr="0">
                      <a:noAutofit/>
                    </wps:bodyPr>
                  </wps:wsp>
                  <wps:wsp>
                    <wps:cNvPr id="23" name="S8"/>
                    <wps:cNvSpPr/>
                    <wps:spPr>
                      <a:xfrm>
                        <a:off x="3129975" y="1435725"/>
                        <a:ext cx="958500"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8. Sponsorid</w:t>
                          </w:r>
                        </w:p>
                      </w:txbxContent>
                    </wps:txbx>
                    <wps:bodyPr rot="0" vert="horz" wrap="square" lIns="18000" tIns="18000" rIns="18000" bIns="18000" anchor="ctr" anchorCtr="0">
                      <a:noAutofit/>
                    </wps:bodyPr>
                  </wps:wsp>
                  <wps:wsp>
                    <wps:cNvPr id="24" name="S9"/>
                    <wps:cNvSpPr/>
                    <wps:spPr>
                      <a:xfrm>
                        <a:off x="695250" y="2723625"/>
                        <a:ext cx="1748250"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9. Torino linn, elanikud</w:t>
                          </w:r>
                        </w:p>
                      </w:txbxContent>
                    </wps:txbx>
                    <wps:bodyPr rot="0" vert="horz" wrap="square" lIns="18000" tIns="18000" rIns="18000" bIns="18000" anchor="ctr" anchorCtr="0">
                      <a:noAutofit/>
                    </wps:bodyPr>
                  </wps:wsp>
                  <wps:wsp>
                    <wps:cNvPr id="25" name="S10"/>
                    <wps:cNvSpPr/>
                    <wps:spPr>
                      <a:xfrm>
                        <a:off x="2834662" y="2418525"/>
                        <a:ext cx="1616625"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10. Litsentsipartnerid</w:t>
                          </w:r>
                        </w:p>
                      </w:txbxContent>
                    </wps:txbx>
                    <wps:bodyPr rot="0" vert="horz" wrap="square" lIns="18000" tIns="18000" rIns="18000" bIns="18000" anchor="ctr" anchorCtr="0">
                      <a:noAutofit/>
                    </wps:bodyPr>
                  </wps:wsp>
                  <wps:wsp>
                    <wps:cNvPr id="26" name="S11"/>
                    <wps:cNvSpPr/>
                    <wps:spPr>
                      <a:xfrm>
                        <a:off x="1155938" y="1131975"/>
                        <a:ext cx="826875"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11. Meedia</w:t>
                          </w:r>
                        </w:p>
                      </w:txbxContent>
                    </wps:txbx>
                    <wps:bodyPr rot="0" vert="horz" wrap="square" lIns="18000" tIns="18000" rIns="18000" bIns="18000" anchor="ctr" anchorCtr="0">
                      <a:noAutofit/>
                    </wps:bodyPr>
                  </wps:wsp>
                  <wps:wsp>
                    <wps:cNvPr id="27" name="S12"/>
                    <wps:cNvSpPr/>
                    <wps:spPr>
                      <a:xfrm>
                        <a:off x="388125" y="1435725"/>
                        <a:ext cx="1485000"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12. Kaubamärgiametid</w:t>
                          </w:r>
                        </w:p>
                      </w:txbxContent>
                    </wps:txbx>
                    <wps:bodyPr rot="0" vert="horz" wrap="square" lIns="18000" tIns="18000" rIns="18000" bIns="18000" anchor="ctr" anchorCtr="0">
                      <a:noAutofit/>
                    </wps:bodyPr>
                  </wps:wsp>
                  <wps:wsp>
                    <wps:cNvPr id="28" name="S13"/>
                    <wps:cNvSpPr/>
                    <wps:spPr>
                      <a:xfrm>
                        <a:off x="388125" y="1861650"/>
                        <a:ext cx="1287562" cy="22275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2"/>
                              <w:szCs w:val="22"/>
                            </w:rPr>
                            <w:t xml:space="preserve">13. Serie A, UEFA</w:t>
                          </w:r>
                        </w:p>
                      </w:txbxContent>
                    </wps:txbx>
                    <wps:bodyPr rot="0" vert="horz" wrap="square" lIns="18000" tIns="18000" rIns="18000" bIns="18000" anchor="ctr" anchorCtr="0">
                      <a:noAutofit/>
                    </wps:bodyPr>
                  </wps:wsp>
                </wpc:wpc>
              </a:graphicData>
            </a:graphic>
          </wp:inline>
        </w:drawing>
      </w:r>
    </w:p>
    <w:p>
      <w:pPr>
        <w:pStyle w:val="Caption"/>
        <w:keepNext w:val="false"/>
        <w:spacing w:after="0" w:before="120"/>
      </w:pPr>
      <w:r>
        <w:rPr>
          <w:b/>
          <w:bCs/>
        </w:rPr>
        <w:t xml:space="preserve">Joonis </w:t>
      </w:r>
      <w:fldSimple w:instr=" SEQ Joonis \* ARABIC ">
        <w:r>
          <w:rPr>
            <w:b/>
            <w:bCs/>
          </w:rPr>
          <w:t>3</w:t>
        </w:r>
      </w:fldSimple>
      <w:r>
        <w:rPr>
          <w:b/>
          <w:bCs/>
        </w:rPr>
        <w:t xml:space="preserve">. </w:t>
      </w:r>
      <w:r>
        <w:t xml:space="preserve">Huvipoolte mõju-huvi maatriks. Allikas: Mendelow, 1981; Tamberg, 2022, slaid 29 põhjal. Vastutaja: Herman Ra Truvek</w:t>
      </w:r>
    </w:p>
    <w:p>
      <w:r>
        <w:rPr>
          <w:b/>
          <w:bCs/>
        </w:rPr>
        <w:t xml:space="preserve">Erinevasuunalised huvid.</w:t>
      </w:r>
      <w:r>
        <w:t xml:space="preserve"> Huvipoolte eesmärgid peavad olema ühitatavad (Tamberg, 2022, slaid 21), kuid rebrändingu puhul vastanduvad need tugevalt (tabel 3). Kõige teravam on vastuolu traditsiooniliste fännide, kes soovivad vana vapi tagasitoomist, ning omaniku ja turundusosakonna vahel, kes soovivad kaitsta 2017. aasta investeeringut ja globaalset brändi. Projektijuhi ülesanne on vastuolud varakult nähtavaks teha ja leida kokkulepped, mille korral ühine huvi – tugev ja ühtne fännibaas – kaalub üles erihuvid (Bryson, 2004).</w:t>
      </w:r>
    </w:p>
    <w:p>
      <w:pPr>
        <w:pStyle w:val="Caption"/>
        <w:keepNext/>
        <w:spacing w:after="240" w:before="240"/>
      </w:pPr>
      <w:r>
        <w:rPr>
          <w:b/>
          <w:bCs/>
        </w:rPr>
        <w:t xml:space="preserve">Tabel </w:t>
      </w:r>
      <w:fldSimple w:instr=" SEQ Tabel \* ARABIC ">
        <w:r>
          <w:rPr>
            <w:b/>
            <w:bCs/>
          </w:rPr>
          <w:t>3</w:t>
        </w:r>
      </w:fldSimple>
      <w:r>
        <w:rPr>
          <w:b/>
          <w:bCs/>
        </w:rPr>
        <w:t xml:space="preserve">. </w:t>
      </w:r>
      <w:r>
        <w:t xml:space="preserve">Huvipoolte vastandlikud huvid ja kavandatud kokkulepped</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156"/>
        <w:gridCol w:w="2906"/>
        <w:gridCol w:w="3442"/>
      </w:tblGrid>
      <w:tr>
        <w:trPr>
          <w:cantSplit/>
          <w:tblHeader/>
        </w:trPr>
        <w:tc>
          <w:tcPr>
            <w:tcW w:type="dxa" w:w="215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Vastuolu</w:t>
            </w:r>
          </w:p>
        </w:tc>
        <w:tc>
          <w:tcPr>
            <w:tcW w:type="dxa" w:w="29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Huvipoolte soovid</w:t>
            </w:r>
          </w:p>
        </w:tc>
        <w:tc>
          <w:tcPr>
            <w:tcW w:type="dxa" w:w="3442"/>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Huvide ühitamine ja kokkulepe</w:t>
            </w:r>
          </w:p>
        </w:tc>
      </w:tr>
      <w:tr>
        <w:trPr>
          <w:cantSplit/>
        </w:trPr>
        <w:tc>
          <w:tcPr>
            <w:tcW w:type="dxa" w:w="21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Traditsioon vs globaalne bränd</w:t>
            </w:r>
          </w:p>
        </w:tc>
        <w:tc>
          <w:tcPr>
            <w:tcW w:type="dxa" w:w="29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Toetajad (5) ja kohalikud fännid (7) soovivad ajaloolist vappi; omanik (1) ja turundus (2) globaalset „J“-brändi</w:t>
            </w:r>
          </w:p>
        </w:tc>
        <w:tc>
          <w:tcPr>
            <w:tcW w:type="dxa" w:w="34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Kahetasandiline lahendus: „J“ jääb äriliseks kaubamärgiks, pärandvapp tuleb tagasi mängusärgile ja pärandkollektsiooni; kokkulepe kinnitatakse juhtkomitees</w:t>
            </w:r>
          </w:p>
        </w:tc>
      </w:tr>
      <w:tr>
        <w:trPr>
          <w:cantSplit/>
        </w:trPr>
        <w:tc>
          <w:tcPr>
            <w:tcW w:type="dxa" w:w="21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Kohalikud vs globaalsed fännid</w:t>
            </w:r>
          </w:p>
        </w:tc>
        <w:tc>
          <w:tcPr>
            <w:tcW w:type="dxa" w:w="29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Kohalikud (7) väärtustavad Torino ajalugu, globaalsed (6) kaasaegset disaini ja digisisu</w:t>
            </w:r>
          </w:p>
        </w:tc>
        <w:tc>
          <w:tcPr>
            <w:tcW w:type="dxa" w:w="34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Disaini testitakse mõlema rühmaga (fookusgrupid Torinos, veebiküsitlus); kampaania räägib ühist lugu „ajalugu + tulevik“</w:t>
            </w:r>
          </w:p>
        </w:tc>
      </w:tr>
      <w:tr>
        <w:trPr>
          <w:cantSplit/>
        </w:trPr>
        <w:tc>
          <w:tcPr>
            <w:tcW w:type="dxa" w:w="21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Muutus vs stabiilsus</w:t>
            </w:r>
          </w:p>
        </w:tc>
        <w:tc>
          <w:tcPr>
            <w:tcW w:type="dxa" w:w="29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Sponsorid (8) ja litsentsipartnerid (10) soovivad stabiilsust ja vanade laovarude läbimüüki</w:t>
            </w:r>
          </w:p>
        </w:tc>
        <w:tc>
          <w:tcPr>
            <w:tcW w:type="dxa" w:w="34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Üleminekuperiood ja tootmisgraafik lepitakse kokku 1. kuul; pärandkollektsioon on täiendus, mitte asendus</w:t>
            </w:r>
          </w:p>
        </w:tc>
      </w:tr>
      <w:tr>
        <w:trPr>
          <w:cantSplit/>
        </w:trPr>
        <w:tc>
          <w:tcPr>
            <w:tcW w:type="dxa" w:w="21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Linna sümbol vs klubi kaubamärk</w:t>
            </w:r>
          </w:p>
        </w:tc>
        <w:tc>
          <w:tcPr>
            <w:tcW w:type="dxa" w:w="29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Torino linn (9) soovib härja sümboli korrektset kasutust; klubi soovib kaubamärgiõigust</w:t>
            </w:r>
          </w:p>
        </w:tc>
        <w:tc>
          <w:tcPr>
            <w:tcW w:type="dxa" w:w="34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Kaubamärgiõiguse spetsialist selgitab kasutusõiguse ja vajadusel sõlmitakse linnaga kasutuskokkulepe</w:t>
            </w:r>
          </w:p>
        </w:tc>
      </w:tr>
      <w:tr>
        <w:trPr>
          <w:cantSplit/>
        </w:trPr>
        <w:tc>
          <w:tcPr>
            <w:tcW w:type="dxa" w:w="215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Kulu vs tulu</w:t>
            </w:r>
          </w:p>
        </w:tc>
        <w:tc>
          <w:tcPr>
            <w:tcW w:type="dxa" w:w="29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Osanikud (3) soovivad kulude põhjendatust; fännid kvaliteetset lahendust</w:t>
            </w:r>
          </w:p>
        </w:tc>
        <w:tc>
          <w:tcPr>
            <w:tcW w:type="dxa" w:w="34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Eelarve 96 800 € koos reserviga, mõõdetavad näitajad ja etapiviisiline otsustamine</w:t>
            </w:r>
          </w:p>
        </w:tc>
      </w:tr>
      <w:tr>
        <w:trPr>
          <w:cantSplit/>
        </w:trPr>
        <w:tc>
          <w:tcPr>
            <w:tcW w:type="dxa" w:w="8504"/>
            <w:gridSpan w:val="3"/>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Märkus: sulgudes on huvipoole number tabelist 2. Vastutaja: Herman Ra Truvek.</w:t>
            </w:r>
          </w:p>
        </w:tc>
      </w:tr>
    </w:tbl>
    <w:p>
      <w:r>
        <w:rPr>
          <w:b/>
          <w:bCs/>
        </w:rPr>
        <w:t xml:space="preserve">Kaasamise strateegia.</w:t>
      </w:r>
      <w:r>
        <w:t xml:space="preserve"> Kaasamise intensiivsus valiti vastavalt mõjukuse ja huvi määrale (Mendelow, 1981) ning IAP2 kaasamise spektri tasemetele – informeerimine, konsulteerimine, kaasamine, koostöö ja otsustusõiguse andmine (IAP2, 2018):</w:t>
      </w:r>
    </w:p>
    <w:p>
      <w:pPr>
        <w:pStyle w:val="ListParagraph"/>
        <w:numPr>
          <w:ilvl w:val="0"/>
          <w:numId w:val="3"/>
        </w:numPr>
        <w:spacing w:before="0"/>
      </w:pPr>
      <w:r>
        <w:rPr>
          <w:b/>
          <w:bCs/>
        </w:rPr>
        <w:t xml:space="preserve">Võtmeisikud</w:t>
      </w:r>
      <w:r>
        <w:t xml:space="preserve"> (1, 2, 8) – koostöö: juhtkomitee liikmed, kes kinnitavad iga etapi lõpus lahenduse ja ärijuhtumi aktuaalsuse; sponsoritega lepitakse kokku tootmis- ja üleminekugraafik.</w:t>
      </w:r>
    </w:p>
    <w:p>
      <w:pPr>
        <w:pStyle w:val="ListParagraph"/>
        <w:numPr>
          <w:ilvl w:val="0"/>
          <w:numId w:val="3"/>
        </w:numPr>
        <w:spacing w:before="0"/>
      </w:pPr>
      <w:r>
        <w:rPr>
          <w:b/>
          <w:bCs/>
        </w:rPr>
        <w:t xml:space="preserve">Hoia rahul</w:t>
      </w:r>
      <w:r>
        <w:t xml:space="preserve"> (11, 12) – konsulteerimine: meedia saab eelinfot ja lugusid suhtekorraldusplaani järgi; kaubamärgiametitele esitatakse nõuetekohased taotlused juba 1. kuul, et vältida „väravavahtide“ tekitatud viivitusi (Tamberg, 2022, slaid 24).</w:t>
      </w:r>
    </w:p>
    <w:p>
      <w:pPr>
        <w:pStyle w:val="ListParagraph"/>
        <w:numPr>
          <w:ilvl w:val="0"/>
          <w:numId w:val="3"/>
        </w:numPr>
        <w:spacing w:before="0"/>
      </w:pPr>
      <w:r>
        <w:rPr>
          <w:b/>
          <w:bCs/>
        </w:rPr>
        <w:t xml:space="preserve">Hoia informeerituna</w:t>
      </w:r>
      <w:r>
        <w:t xml:space="preserve"> (5, 6, 7, 10) – kaasamine: fännid osalevad fookusgruppides, disaini testimisel ja hääletusel. Eesmärk on tõsta organiseeritud toetajate mõju ja muuta nad projekti toetajateks ehk viia nad võtmeisikute rühma (Tamberg, 2022, slaid 29).</w:t>
      </w:r>
    </w:p>
    <w:p>
      <w:pPr>
        <w:pStyle w:val="ListParagraph"/>
        <w:numPr>
          <w:ilvl w:val="0"/>
          <w:numId w:val="3"/>
        </w:numPr>
        <w:spacing w:before="0"/>
      </w:pPr>
      <w:r>
        <w:rPr>
          <w:b/>
          <w:bCs/>
        </w:rPr>
        <w:t xml:space="preserve">Jälgi</w:t>
      </w:r>
      <w:r>
        <w:t xml:space="preserve"> (3, 4, 9, 13) – informeerimine: investorsuhete teade, mängijad kaasatakse kampaaniasse saadikutena, linnaga konsulteeritakse härja sümboli osas ning liiga nõuded kontrollitakse enne särgi kujunduse kinnitamist.</w:t>
      </w:r>
    </w:p>
    <w:p>
      <w:r>
        <w:t xml:space="preserve">Kaasamise eest vastutab projektijuht Herman Ra Truvek. Huvipoolte register vaadatakse üle iga kuu lõpus, sest huvipoolte huvi ja mõju võivad projekti käigus muutuda – näiteks võib meedia tähelepanu järsult tõsta fännide mõju.</w:t>
      </w:r>
    </w:p>
    <w:p>
      <w:pPr>
        <w:pStyle w:val="Heading3"/>
      </w:pPr>
      <w:r>
        <w:t xml:space="preserve">1.2.5. Lahendusideed ja alternatiivide võrdlus</w:t>
      </w:r>
    </w:p>
    <w:p>
      <w:r>
        <w:t xml:space="preserve">Lahendusideed koguti ajurünnaku ja 635-meetodi abil ning benchmarking’u teel (Tamberg, 2022, slaid 35): vaadeldi, kuidas teised klubid on oma sümboolikat muutnud ning millist rolli on seejuures mänginud fännide kaasamine. Ideed rühmitati neljaks põhimõtteliselt erinevaks alternatiiviks, millele lisati kombinatsioon ja nullalternatiiv:</w:t>
      </w:r>
    </w:p>
    <w:p>
      <w:pPr>
        <w:pStyle w:val="ListParagraph"/>
        <w:numPr>
          <w:ilvl w:val="0"/>
          <w:numId w:val="3"/>
        </w:numPr>
        <w:spacing w:before="0"/>
      </w:pPr>
      <w:r>
        <w:rPr>
          <w:b/>
          <w:bCs/>
        </w:rPr>
        <w:t xml:space="preserve">A – ajaloolise ovaalse vapi täielik taastamine</w:t>
      </w:r>
      <w:r>
        <w:t xml:space="preserve">: „J“-logost loobutakse ja naastakse 2017. aasta eelse vapi juurde.</w:t>
      </w:r>
    </w:p>
    <w:p>
      <w:pPr>
        <w:pStyle w:val="ListParagraph"/>
        <w:numPr>
          <w:ilvl w:val="0"/>
          <w:numId w:val="3"/>
        </w:numPr>
        <w:spacing w:before="0"/>
      </w:pPr>
      <w:r>
        <w:rPr>
          <w:b/>
          <w:bCs/>
        </w:rPr>
        <w:t xml:space="preserve">B – kahetasandiline bränd</w:t>
      </w:r>
      <w:r>
        <w:t xml:space="preserve">: „J“ jääb äriliseks ja digitaalseks kaubamärgiks, ajalooline vapp (sh triibud ja härg) tuleb tagasi pärandsümbolina mängusärgile ja pärandkollektsiooni.</w:t>
      </w:r>
    </w:p>
    <w:p>
      <w:pPr>
        <w:pStyle w:val="ListParagraph"/>
        <w:numPr>
          <w:ilvl w:val="0"/>
          <w:numId w:val="3"/>
        </w:numPr>
        <w:spacing w:before="0"/>
      </w:pPr>
      <w:r>
        <w:rPr>
          <w:b/>
          <w:bCs/>
        </w:rPr>
        <w:t xml:space="preserve">C – „J“-logo ümberkujundamine koos fännidega</w:t>
      </w:r>
      <w:r>
        <w:t xml:space="preserve">: uus logo, mis lisab „J“-le ajaloolisi elemente ja mille disain valitakse fännide hääletusel.</w:t>
      </w:r>
    </w:p>
    <w:p>
      <w:pPr>
        <w:pStyle w:val="ListParagraph"/>
        <w:numPr>
          <w:ilvl w:val="0"/>
          <w:numId w:val="3"/>
        </w:numPr>
        <w:spacing w:before="0"/>
      </w:pPr>
      <w:r>
        <w:rPr>
          <w:b/>
          <w:bCs/>
        </w:rPr>
        <w:t xml:space="preserve">D – kogukonna- ja kommunikatsiooniprogramm</w:t>
      </w:r>
      <w:r>
        <w:t xml:space="preserve">: visuaali ei muudeta, kuid käivitatakse fännide kaasamise ja ajaloo väärtustamise kampaania.</w:t>
      </w:r>
    </w:p>
    <w:p>
      <w:pPr>
        <w:pStyle w:val="ListParagraph"/>
        <w:numPr>
          <w:ilvl w:val="0"/>
          <w:numId w:val="3"/>
        </w:numPr>
        <w:spacing w:before="0"/>
      </w:pPr>
      <w:r>
        <w:rPr>
          <w:b/>
          <w:bCs/>
        </w:rPr>
        <w:t xml:space="preserve">B+D</w:t>
      </w:r>
      <w:r>
        <w:t xml:space="preserve"> – pärandvapp koos fännide kaasamise programmiga (disaini testimine, fännifoorum, kampaania).</w:t>
      </w:r>
    </w:p>
    <w:p>
      <w:pPr>
        <w:pStyle w:val="ListParagraph"/>
        <w:numPr>
          <w:ilvl w:val="0"/>
          <w:numId w:val="3"/>
        </w:numPr>
        <w:spacing w:before="0"/>
      </w:pPr>
      <w:r>
        <w:rPr>
          <w:b/>
          <w:bCs/>
        </w:rPr>
        <w:t xml:space="preserve">0 – nullalternatiiv</w:t>
      </w:r>
      <w:r>
        <w:t xml:space="preserve">: senine bränd jätkub muutmata kujul.</w:t>
      </w:r>
    </w:p>
    <w:p>
      <w:r>
        <w:t xml:space="preserve">Alternatiive võrreldi huvipoolte eesmärkide saavutamise määra, teostatavuse, kulu ja riskantsuse lõikes (Tamberg, 2022, slaid 36). Kriteeriumide kaalud lepiti kokku enne hindamist, et vältida kaalude sobitamist eelistatud lahendusele (tabel 4).</w:t>
      </w:r>
    </w:p>
    <w:p>
      <w:pPr>
        <w:pStyle w:val="Caption"/>
        <w:keepNext/>
        <w:spacing w:after="240" w:before="240"/>
      </w:pPr>
      <w:r>
        <w:rPr>
          <w:b/>
          <w:bCs/>
        </w:rPr>
        <w:t xml:space="preserve">Tabel </w:t>
      </w:r>
      <w:fldSimple w:instr=" SEQ Tabel \* ARABIC ">
        <w:r>
          <w:rPr>
            <w:b/>
            <w:bCs/>
          </w:rPr>
          <w:t>4</w:t>
        </w:r>
      </w:fldSimple>
      <w:r>
        <w:rPr>
          <w:b/>
          <w:bCs/>
        </w:rPr>
        <w:t xml:space="preserve">. </w:t>
      </w:r>
      <w:r>
        <w:t xml:space="preserve">Lahendusalternatiivide kaalutud võrdlus (hinded 1–5, 5 = parim)</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260"/>
        <w:gridCol w:w="806"/>
        <w:gridCol w:w="806"/>
        <w:gridCol w:w="806"/>
        <w:gridCol w:w="806"/>
        <w:gridCol w:w="806"/>
        <w:gridCol w:w="806"/>
        <w:gridCol w:w="1408"/>
      </w:tblGrid>
      <w:tr>
        <w:trPr>
          <w:cantSplit/>
          <w:tblHeader/>
        </w:trPr>
        <w:tc>
          <w:tcPr>
            <w:tcW w:type="dxa" w:w="22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Alternatiiv</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K1</w:t>
            </w:r>
          </w:p>
          <w:p>
            <w:pPr>
              <w:pStyle w:val="TableText"/>
              <w:keepNext/>
              <w:keepLines/>
              <w:jc w:val="center"/>
            </w:pPr>
            <w:r>
              <w:rPr>
                <w:b/>
                <w:bCs/>
              </w:rPr>
              <w:t xml:space="preserve">25%</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K2</w:t>
            </w:r>
          </w:p>
          <w:p>
            <w:pPr>
              <w:pStyle w:val="TableText"/>
              <w:keepNext/>
              <w:keepLines/>
              <w:jc w:val="center"/>
            </w:pPr>
            <w:r>
              <w:rPr>
                <w:b/>
                <w:bCs/>
              </w:rPr>
              <w:t xml:space="preserve">20%</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K3</w:t>
            </w:r>
          </w:p>
          <w:p>
            <w:pPr>
              <w:pStyle w:val="TableText"/>
              <w:keepNext/>
              <w:keepLines/>
              <w:jc w:val="center"/>
            </w:pPr>
            <w:r>
              <w:rPr>
                <w:b/>
                <w:bCs/>
              </w:rPr>
              <w:t xml:space="preserve">15%</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K4</w:t>
            </w:r>
          </w:p>
          <w:p>
            <w:pPr>
              <w:pStyle w:val="TableText"/>
              <w:keepNext/>
              <w:keepLines/>
              <w:jc w:val="center"/>
            </w:pPr>
            <w:r>
              <w:rPr>
                <w:b/>
                <w:bCs/>
              </w:rPr>
              <w:t xml:space="preserve">15%</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K5</w:t>
            </w:r>
          </w:p>
          <w:p>
            <w:pPr>
              <w:pStyle w:val="TableText"/>
              <w:keepNext/>
              <w:keepLines/>
              <w:jc w:val="center"/>
            </w:pPr>
            <w:r>
              <w:rPr>
                <w:b/>
                <w:bCs/>
              </w:rPr>
              <w:t xml:space="preserve">10%</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K6</w:t>
            </w:r>
          </w:p>
          <w:p>
            <w:pPr>
              <w:pStyle w:val="TableText"/>
              <w:keepNext/>
              <w:keepLines/>
              <w:jc w:val="center"/>
            </w:pPr>
            <w:r>
              <w:rPr>
                <w:b/>
                <w:bCs/>
              </w:rPr>
              <w:t xml:space="preserve">15%</w:t>
            </w:r>
          </w:p>
        </w:tc>
        <w:tc>
          <w:tcPr>
            <w:tcW w:type="dxa" w:w="14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Kaalutud summa</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bCs/>
              </w:rPr>
              <w:t xml:space="preserve">A</w:t>
            </w:r>
            <w:r>
              <w:rPr>
                <w:b w:val="false"/>
                <w:bCs w:val="false"/>
              </w:rPr>
              <w:t xml:space="preserve"> – Ajaloolise ovaalse vapi täielik taastamine</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bCs/>
              </w:rPr>
              <w:t xml:space="preserve">2,25</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bCs/>
              </w:rPr>
              <w:t xml:space="preserve">B</w:t>
            </w:r>
            <w:r>
              <w:rPr>
                <w:b w:val="false"/>
                <w:bCs w:val="false"/>
              </w:rPr>
              <w:t xml:space="preserve"> – Kahetasandiline bränd: „J“ + pärandvapp</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bCs/>
              </w:rPr>
              <w:t xml:space="preserve">4,00</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bCs/>
              </w:rPr>
              <w:t xml:space="preserve">C</w:t>
            </w:r>
            <w:r>
              <w:rPr>
                <w:b w:val="false"/>
                <w:bCs w:val="false"/>
              </w:rPr>
              <w:t xml:space="preserve"> – „J“ logo ümberkujundamine koos fännidega</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bCs/>
              </w:rPr>
              <w:t xml:space="preserve">2,95</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bCs/>
              </w:rPr>
              <w:t xml:space="preserve">D</w:t>
            </w:r>
            <w:r>
              <w:rPr>
                <w:b w:val="false"/>
                <w:bCs w:val="false"/>
              </w:rPr>
              <w:t xml:space="preserve"> – Ainult kogukonna- ja kommunikatsiooniprogramm</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bCs/>
              </w:rPr>
              <w:t xml:space="preserve">3,25</w:t>
            </w:r>
          </w:p>
        </w:tc>
      </w:tr>
      <w:tr>
        <w:trPr>
          <w:cantSplit/>
        </w:trPr>
        <w:tc>
          <w:tcPr>
            <w:tcW w:type="dxa" w:w="226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left"/>
            </w:pPr>
            <w:r>
              <w:rPr>
                <w:b/>
                <w:bCs/>
              </w:rPr>
              <w:t xml:space="preserve">B+D</w:t>
            </w:r>
            <w:r>
              <w:rPr>
                <w:b w:val="false"/>
                <w:bCs w:val="false"/>
              </w:rPr>
              <w:t xml:space="preserve"> – Pärandvapp koos fännide kaasamise programmiga</w:t>
            </w:r>
          </w:p>
        </w:tc>
        <w:tc>
          <w:tcPr>
            <w:tcW w:type="dxa" w:w="806"/>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806"/>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806"/>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center"/>
            </w:pPr>
            <w:r>
              <w:rPr>
                <w:b w:val="false"/>
                <w:bCs w:val="false"/>
              </w:rPr>
              <w:t xml:space="preserve">3</w:t>
            </w:r>
          </w:p>
        </w:tc>
        <w:tc>
          <w:tcPr>
            <w:tcW w:type="dxa" w:w="806"/>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806"/>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1408"/>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keepNext/>
              <w:keepLines/>
              <w:jc w:val="center"/>
            </w:pPr>
            <w:r>
              <w:rPr>
                <w:b/>
                <w:bCs/>
              </w:rPr>
              <w:t xml:space="preserve">4,45</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bCs/>
              </w:rPr>
              <w:t xml:space="preserve">0</w:t>
            </w:r>
            <w:r>
              <w:rPr>
                <w:b w:val="false"/>
                <w:bCs w:val="false"/>
              </w:rPr>
              <w:t xml:space="preserve"> – Nullalternatiiv (senine bränd)</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bCs/>
              </w:rPr>
              <w:t xml:space="preserve">2,30</w:t>
            </w:r>
          </w:p>
        </w:tc>
      </w:tr>
      <w:tr>
        <w:trPr>
          <w:cantSplit/>
        </w:trPr>
        <w:tc>
          <w:tcPr>
            <w:tcW w:type="dxa" w:w="8504"/>
            <w:gridSpan w:val="8"/>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Märkus: kriteeriumid K1 – Mõju fännibaasi taasühendamisele; K2 – Eesmärgipuu alameesmärkide katvus (O1–O3); K3 – Mahtumine eelarvesse (96 800 €); K4 – Teostatavus 3 kuu jooksul; K5 – Riskitase (5 = madal risk); K6 – Huvipoolte toetus, vastuolude vähesus. Vastutaja: Ragnar Dietrich (kaasteostaja Hugo-Christopher Saar).</w:t>
            </w:r>
          </w:p>
        </w:tc>
      </w:tr>
    </w:tbl>
    <w:p>
      <w:r>
        <w:t xml:space="preserve">Kaalutud summa järgi on parim kombinatsioon </w:t>
      </w:r>
      <w:r>
        <w:rPr>
          <w:b/>
          <w:bCs/>
        </w:rPr>
        <w:t xml:space="preserve">B+D</w:t>
      </w:r>
      <w:r>
        <w:t xml:space="preserve"> (4,45), sellele järgneb alternatiiv B (4,00). Vana vapi täielik taastamine (A, 2,25) rahuldaks küll traditsioonilisi fänne, kuid tühistaks 2017. aasta investeeringu, tekitaks vastuseisu omanikus ja sponsorites ning ei mahu 96 800-eurose eelarve ja 3 kuu sisse, sest kõik kaubamärgid, tooted ja kanalid tuleks ümber teha. Samal põhjusel jääb eelarvest ja ajast välja uue logo loomine (C, 2,95). Ainult kommunikatsioon (D, 3,25) on odav ja kiire, kuid ei kõrvalda algpõhjust P1 – ajaloolise sümboolika puudumist.</w:t>
      </w:r>
    </w:p>
    <w:p>
      <w:r>
        <w:t xml:space="preserve">Tundlikkusanalüüs: kui eelarve kriteeriumi kaal tõsta 30%-ni, jääb B+D endiselt parimaks (4,19; B 4,00, D 3,56). Riski kaalu tõstmine 25%-ni järjestust ei muuda (B+D 4,38). Seega on otsus kaalude suhtes stabiilne ning projekti omanikule soovitatakse alternatiivi </w:t>
      </w:r>
      <w:r>
        <w:rPr>
          <w:b/>
          <w:bCs/>
        </w:rPr>
        <w:t xml:space="preserve">B+D</w:t>
      </w:r>
      <w:r>
        <w:t xml:space="preserve">.</w:t>
      </w:r>
    </w:p>
    <w:p>
      <w:r>
        <w:t xml:space="preserve">Alternatiivid täidavad eesmärgipuu alameesmärke erinevalt (tabel 5): A ja B katavad sümboolika haru, C ja D kaasamise ja kommunikatsiooni haru. Ainult kombinatsioon katab kõik kolm haru.</w:t>
      </w:r>
    </w:p>
    <w:p>
      <w:pPr>
        <w:pStyle w:val="Caption"/>
        <w:keepNext/>
        <w:spacing w:after="240" w:before="240"/>
      </w:pPr>
      <w:r>
        <w:rPr>
          <w:b/>
          <w:bCs/>
        </w:rPr>
        <w:t xml:space="preserve">Tabel </w:t>
      </w:r>
      <w:fldSimple w:instr=" SEQ Tabel \* ARABIC ">
        <w:r>
          <w:rPr>
            <w:b/>
            <w:bCs/>
          </w:rPr>
          <w:t>5</w:t>
        </w:r>
      </w:fldSimple>
      <w:r>
        <w:rPr>
          <w:b/>
          <w:bCs/>
        </w:rPr>
        <w:t xml:space="preserve">. </w:t>
      </w:r>
      <w:r>
        <w:t xml:space="preserve">Alternatiivide panus eesmärgipuu alameesmärkidesse</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260"/>
        <w:gridCol w:w="806"/>
        <w:gridCol w:w="806"/>
        <w:gridCol w:w="806"/>
        <w:gridCol w:w="806"/>
        <w:gridCol w:w="806"/>
        <w:gridCol w:w="806"/>
        <w:gridCol w:w="1408"/>
      </w:tblGrid>
      <w:tr>
        <w:trPr>
          <w:cantSplit/>
          <w:tblHeader/>
        </w:trPr>
        <w:tc>
          <w:tcPr>
            <w:tcW w:type="dxa" w:w="22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Alternatiiv</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O1a</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O1b</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O2a</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O2b</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O3a</w:t>
            </w:r>
          </w:p>
        </w:tc>
        <w:tc>
          <w:tcPr>
            <w:tcW w:type="dxa" w:w="8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O3b</w:t>
            </w:r>
          </w:p>
        </w:tc>
        <w:tc>
          <w:tcPr>
            <w:tcW w:type="dxa" w:w="140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Kokku</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A – vana vapi taastamine</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2,5</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B – kahetasandiline bränd</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3,0</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C – „J“ ümberkujundamine</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3,5</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D – kommunikatsioon</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2,0</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B+D</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0,5</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5,0</w:t>
            </w:r>
          </w:p>
        </w:tc>
      </w:tr>
      <w:tr>
        <w:trPr>
          <w:cantSplit/>
        </w:trPr>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0 – nullalternatiiv</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8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w:t>
            </w:r>
          </w:p>
        </w:tc>
        <w:tc>
          <w:tcPr>
            <w:tcW w:type="dxa" w:w="140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0,0</w:t>
            </w:r>
          </w:p>
        </w:tc>
      </w:tr>
      <w:tr>
        <w:trPr>
          <w:cantSplit/>
        </w:trPr>
        <w:tc>
          <w:tcPr>
            <w:tcW w:type="dxa" w:w="8504"/>
            <w:gridSpan w:val="8"/>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Märkus: 1 – täielik panus, 0,5 – osaline panus, 0 – panus puudub; tähised vastavad joonisele 2. Vastutaja: Ragnar Dietrich.</w:t>
            </w:r>
          </w:p>
        </w:tc>
      </w:tr>
    </w:tbl>
    <w:p>
      <w:r>
        <w:t xml:space="preserve">Valitud alternatiivi seost klubi strateegia, programmi ja portfelliga ning ärijuhtumi seiret käsitletakse järgmises alapeatükis.</w:t>
      </w:r>
    </w:p>
    <w:p>
      <w:pPr>
        <w:pStyle w:val="Heading3"/>
      </w:pPr>
      <w:r>
        <w:t xml:space="preserve">1.2.6. Ärijuhtumi seire, programm ja portfell</w:t>
      </w:r>
    </w:p>
    <w:p>
      <w:r>
        <w:t xml:space="preserve">Projekti omanikul võib olla idee, kuid projektijuhi ülesanne on tagada, et kavandatav töö viib omaniku ja huvipoolte eesmärgile võimalikult efektiivselt lähemale (Tamberg, 2022, slaid 8; AXELOS, 2017). Analüüsi tulemusel tehakse omanikule ettepanek mitte luua täiesti uut logo, vaid taastada klubi ajalooline sümboolika pärandvapina ja kaasata fännid lahenduse loomisse.</w:t>
      </w:r>
    </w:p>
    <w:p>
      <w:r>
        <w:t xml:space="preserve">Projekt kuulub programmi „Juventus uuesti ja paremini“, mis teenib klubi strateegilist eesmärki olla nii tugev jalgpalliklubi kui ka globaalne elustiilibränd (joonis 4). Programm võimaldab ühitada mitut omavahel seotud projekti: käesolev 3-kuuline projekt loob pärandvapi ja lansseerib selle, jätkuprojektid loovad alalise fännide nõukogu ja pärandkollektsiooni täismahus tootmise. Portfelli tasandil otsustatakse, milliseid klubi ressursse (brändi- ja turunduseelarve, kaubamärgiportfell, litsentsi- ja merchandise’i teenused, digikanalid) projektidele eraldatakse (PMI, 2021; ISO, 2012).</w:t>
      </w:r>
    </w:p>
    <w:p>
      <w:pPr>
        <w:keepNext/>
        <w:spacing w:before="120" w:after="0" w:line="240" w:lineRule="auto"/>
        <w:ind w:firstLine="0"/>
        <w:jc w:val="center"/>
      </w:pPr>
      <w:r>
        <w:rPr>
          <w:noProof/>
        </w:rPr>
        <w:drawing>
          <wp:inline distT="0" distB="0" distL="0" distR="0">
            <wp:extent cx="5400000" cy="3037500"/>
            <wp:effectExtent l="0" t="0" r="0" b="0"/>
            <wp:docPr id="1004" name="Programm ja portfell"/>
            <wp:cNvGraphicFramePr/>
            <a:graphic xmlns:a="http://schemas.openxmlformats.org/drawingml/2006/main">
              <a:graphicData uri="http://schemas.microsoft.com/office/word/2010/wordprocessingCanvas">
                <wpc:wpc>
                  <wpc:bg/>
                  <wpc:whole/>
                  <wps:wsp>
                    <wps:cNvPr id="2" name="S"/>
                    <wps:cNvSpPr/>
                    <wps:spPr>
                      <a:xfrm>
                        <a:off x="675000" y="0"/>
                        <a:ext cx="4050000" cy="371250"/>
                      </a:xfrm>
                      <a:prstGeom prst="rect">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b/>
                              <w:bCs/>
                              <w:color w:val="000000"/>
                              <w:sz w:val="22"/>
                              <w:szCs w:val="22"/>
                            </w:rPr>
                            <w:t xml:space="preserve">STRATEEGIA: Juventus kui globaalne jalgpalli- ja elustiilibränd („Black and White and More“, 2017)</w:t>
                          </w:r>
                        </w:p>
                      </w:txbxContent>
                    </wps:txbx>
                    <wps:bodyPr rot="0" vert="horz" wrap="square" lIns="18000" tIns="18000" rIns="18000" bIns="18000" anchor="ctr" anchorCtr="0">
                      <a:noAutofit/>
                    </wps:bodyPr>
                  </wps:wsp>
                  <wps:wsp>
                    <wps:cNvPr id="3" name="PR"/>
                    <wps:cNvSpPr/>
                    <wps:spPr>
                      <a:xfrm>
                        <a:off x="675000" y="641250"/>
                        <a:ext cx="4050000" cy="371250"/>
                      </a:xfrm>
                      <a:prstGeom prst="rect">
                        <a:avLst/>
                      </a:prstGeom>
                      <a:solidFill>
                        <a:srgbClr val="FFFFFF"/>
                      </a:solidFill>
                      <a:ln w="9525">
                        <a:solidFill>
                          <a:srgbClr val="2F5496"/>
                        </a:solidFill>
                      </a:ln>
                    </wps:spPr>
                    <wps:txbx>
                      <w:txbxContent>
                        <w:p>
                          <w:pPr>
                            <w:spacing w:before="0" w:after="0" w:line="240" w:lineRule="auto"/>
                            <w:jc w:val="center"/>
                          </w:pPr>
                          <w:r>
                            <w:rPr>
                              <w:rFonts w:ascii="Times New Roman" w:hAnsi="Times New Roman" w:cs="Times New Roman"/>
                              <w:b/>
                              <w:bCs/>
                              <w:color w:val="000000"/>
                              <w:sz w:val="22"/>
                              <w:szCs w:val="22"/>
                            </w:rPr>
                            <w:t xml:space="preserve">PROGRAMM „Juventus uuesti ja paremini“ – bränd ja fännisuhted (omanik: klubi juhtkond)</w:t>
                          </w:r>
                        </w:p>
                      </w:txbxContent>
                    </wps:txbx>
                    <wps:bodyPr rot="0" vert="horz" wrap="square" lIns="18000" tIns="18000" rIns="18000" bIns="18000" anchor="ctr" anchorCtr="0">
                      <a:noAutofit/>
                    </wps:bodyPr>
                  </wps:wsp>
                  <wps:wsp>
                    <wps:cNvPr id="4" name="P1"/>
                    <wps:cNvSpPr/>
                    <wps:spPr>
                      <a:xfrm>
                        <a:off x="67500" y="1350000"/>
                        <a:ext cx="1721250" cy="641250"/>
                      </a:xfrm>
                      <a:prstGeom prst="rect">
                        <a:avLst/>
                      </a:prstGeom>
                      <a:solidFill>
                        <a:srgbClr val="FFFFFF"/>
                      </a:solidFill>
                      <a:ln w="9525">
                        <a:solidFill>
                          <a:srgbClr val="548235"/>
                        </a:solidFill>
                      </a:ln>
                    </wps:spPr>
                    <wps:txbx>
                      <w:txbxContent>
                        <w:p>
                          <w:pPr>
                            <w:spacing w:before="0" w:after="0" w:line="240" w:lineRule="auto"/>
                            <w:jc w:val="center"/>
                          </w:pPr>
                          <w:r>
                            <w:rPr>
                              <w:rFonts w:ascii="Times New Roman" w:hAnsi="Times New Roman" w:cs="Times New Roman"/>
                              <w:b/>
                              <w:bCs/>
                              <w:color w:val="000000"/>
                              <w:sz w:val="22"/>
                              <w:szCs w:val="22"/>
                            </w:rPr>
                            <w:t xml:space="preserve">Projekt 1 (käesolev, 3 kuud): pärandvapp, kaasav disain ja lansseerimine</w:t>
                          </w:r>
                        </w:p>
                      </w:txbxContent>
                    </wps:txbx>
                    <wps:bodyPr rot="0" vert="horz" wrap="square" lIns="18000" tIns="18000" rIns="18000" bIns="18000" anchor="ctr" anchorCtr="0">
                      <a:noAutofit/>
                    </wps:bodyPr>
                  </wps:wsp>
                  <wps:wsp>
                    <wps:cNvPr id="5" name="P2"/>
                    <wps:cNvSpPr/>
                    <wps:spPr>
                      <a:xfrm>
                        <a:off x="1856250" y="1350000"/>
                        <a:ext cx="1687500" cy="641250"/>
                      </a:xfrm>
                      <a:prstGeom prst="rect">
                        <a:avLst/>
                      </a:prstGeom>
                      <a:solidFill>
                        <a:srgbClr val="FFFFFF"/>
                      </a:solidFill>
                      <a:ln w="9525">
                        <a:solidFill>
                          <a:srgbClr val="7F7F7F"/>
                        </a:solidFill>
                        <a:prstDash val="dash"/>
                      </a:ln>
                    </wps:spPr>
                    <wps:txbx>
                      <w:txbxContent>
                        <w:p>
                          <w:pPr>
                            <w:spacing w:before="0" w:after="0" w:line="240" w:lineRule="auto"/>
                            <w:jc w:val="center"/>
                          </w:pPr>
                          <w:r>
                            <w:rPr>
                              <w:rFonts w:ascii="Times New Roman" w:hAnsi="Times New Roman" w:cs="Times New Roman"/>
                              <w:color w:val="000000"/>
                              <w:sz w:val="22"/>
                              <w:szCs w:val="22"/>
                            </w:rPr>
                            <w:t xml:space="preserve">Projekt 2 (jätkuprojekt): alaline fännide nõukogu ja kogukonnaplatvorm</w:t>
                          </w:r>
                        </w:p>
                      </w:txbxContent>
                    </wps:txbx>
                    <wps:bodyPr rot="0" vert="horz" wrap="square" lIns="18000" tIns="18000" rIns="18000" bIns="18000" anchor="ctr" anchorCtr="0">
                      <a:noAutofit/>
                    </wps:bodyPr>
                  </wps:wsp>
                  <wps:wsp>
                    <wps:cNvPr id="6" name="P3"/>
                    <wps:cNvSpPr/>
                    <wps:spPr>
                      <a:xfrm>
                        <a:off x="3611250" y="1350000"/>
                        <a:ext cx="1721250" cy="641250"/>
                      </a:xfrm>
                      <a:prstGeom prst="rect">
                        <a:avLst/>
                      </a:prstGeom>
                      <a:solidFill>
                        <a:srgbClr val="FFFFFF"/>
                      </a:solidFill>
                      <a:ln w="9525">
                        <a:solidFill>
                          <a:srgbClr val="7F7F7F"/>
                        </a:solidFill>
                        <a:prstDash val="dash"/>
                      </a:ln>
                    </wps:spPr>
                    <wps:txbx>
                      <w:txbxContent>
                        <w:p>
                          <w:pPr>
                            <w:spacing w:before="0" w:after="0" w:line="240" w:lineRule="auto"/>
                            <w:jc w:val="center"/>
                          </w:pPr>
                          <w:r>
                            <w:rPr>
                              <w:rFonts w:ascii="Times New Roman" w:hAnsi="Times New Roman" w:cs="Times New Roman"/>
                              <w:color w:val="000000"/>
                              <w:sz w:val="22"/>
                              <w:szCs w:val="22"/>
                            </w:rPr>
                            <w:t xml:space="preserve">Projekt 3: pärandkollektsiooni täismahus tootmine ja litsentsimine</w:t>
                          </w:r>
                        </w:p>
                      </w:txbxContent>
                    </wps:txbx>
                    <wps:bodyPr rot="0" vert="horz" wrap="square" lIns="18000" tIns="18000" rIns="18000" bIns="18000" anchor="ctr" anchorCtr="0">
                      <a:noAutofit/>
                    </wps:bodyPr>
                  </wps:wsp>
                  <wps:wsp>
                    <wps:cNvPr id="7" name="PF"/>
                    <wps:cNvSpPr/>
                    <wps:spPr>
                      <a:xfrm>
                        <a:off x="67500" y="2328750"/>
                        <a:ext cx="5265000" cy="641250"/>
                      </a:xfrm>
                      <a:prstGeom prst="rect">
                        <a:avLst/>
                      </a:prstGeom>
                      <a:solidFill>
                        <a:srgbClr val="FFFFFF"/>
                      </a:solidFill>
                      <a:ln w="9525">
                        <a:solidFill>
                          <a:srgbClr val="C55A11"/>
                        </a:solidFill>
                      </a:ln>
                    </wps:spPr>
                    <wps:txbx>
                      <w:txbxContent>
                        <w:p>
                          <w:pPr>
                            <w:spacing w:before="0" w:after="0" w:line="240" w:lineRule="auto"/>
                            <w:jc w:val="center"/>
                          </w:pPr>
                          <w:r>
                            <w:rPr>
                              <w:rFonts w:ascii="Times New Roman" w:hAnsi="Times New Roman" w:cs="Times New Roman"/>
                              <w:color w:val="000000"/>
                              <w:sz w:val="22"/>
                              <w:szCs w:val="22"/>
                            </w:rPr>
                            <w:t xml:space="preserve">PORTFELL (ressursid ja teenused): klubi turundus- ja brändieelarve, kaubamärgiportfell, litsentsi- ja merchandise'i teenused, digikanalid; inimressurss: 8 spetsialistirolli, partnerid (tehniline partner, litsentsiaadid)</w:t>
                          </w:r>
                        </w:p>
                      </w:txbxContent>
                    </wps:txbx>
                    <wps:bodyPr rot="0" vert="horz" wrap="square" lIns="18000" tIns="18000" rIns="18000" bIns="18000" anchor="ctr" anchorCtr="0">
                      <a:noAutofit/>
                    </wps:bodyPr>
                  </wps:wsp>
                  <wps:wsp>
                    <wps:cNvPr id="8" name="Ühendaja 8"/>
                    <wps:cNvCnPr>
                      <a:stCxn id="3" idx="0"/>
                      <a:endCxn id="2" idx="2"/>
                    </wps:cNvCnPr>
                    <wps:spPr>
                      <a:xfrm flipV="1">
                        <a:off x="2700000" y="371250"/>
                        <a:ext cx="0" cy="270000"/>
                      </a:xfrm>
                      <a:prstGeom prst="straightConnector1">
                        <a:avLst/>
                      </a:prstGeom>
                      <a:ln w="12700">
                        <a:solidFill>
                          <a:srgbClr val="404040"/>
                        </a:solidFill>
                        <a:tailEnd type="triangle" w="med" len="med"/>
                      </a:ln>
                    </wps:spPr>
                    <wps:bodyPr/>
                  </wps:wsp>
                  <wps:wsp>
                    <wps:cNvPr id="9" name="Ühendaja 9"/>
                    <wps:cNvCnPr>
                      <a:stCxn id="4" idx="0"/>
                      <a:endCxn id="3" idx="2"/>
                    </wps:cNvCnPr>
                    <wps:spPr>
                      <a:xfrm rot="16200000">
                        <a:off x="1645312" y="295312"/>
                        <a:ext cx="337500" cy="1771875"/>
                      </a:xfrm>
                      <a:prstGeom prst="bentConnector3">
                        <a:avLst>
                          <a:gd name="adj1" fmla="val 50000"/>
                        </a:avLst>
                      </a:prstGeom>
                      <a:ln w="12700">
                        <a:solidFill>
                          <a:srgbClr val="404040"/>
                        </a:solidFill>
                        <a:tailEnd type="triangle" w="med" len="med"/>
                      </a:ln>
                    </wps:spPr>
                    <wps:bodyPr/>
                  </wps:wsp>
                  <wps:wsp>
                    <wps:cNvPr id="10" name="Ühendaja 10"/>
                    <wps:cNvCnPr>
                      <a:stCxn id="7" idx="0"/>
                      <a:endCxn id="4" idx="2"/>
                    </wps:cNvCnPr>
                    <wps:spPr>
                      <a:xfrm rot="16200000" flipV="1">
                        <a:off x="1645312" y="1274063"/>
                        <a:ext cx="337500" cy="1771875"/>
                      </a:xfrm>
                      <a:prstGeom prst="bentConnector3">
                        <a:avLst>
                          <a:gd name="adj1" fmla="val 50000"/>
                        </a:avLst>
                      </a:prstGeom>
                      <a:ln w="12700">
                        <a:solidFill>
                          <a:srgbClr val="404040"/>
                        </a:solidFill>
                        <a:tailEnd type="triangle" w="med" len="med"/>
                      </a:ln>
                    </wps:spPr>
                    <wps:bodyPr/>
                  </wps:wsp>
                  <wps:wsp>
                    <wps:cNvPr id="11" name="Ühendaja 11"/>
                    <wps:cNvCnPr>
                      <a:stCxn id="5" idx="0"/>
                      <a:endCxn id="3" idx="2"/>
                    </wps:cNvCnPr>
                    <wps:spPr>
                      <a:xfrm flipV="1">
                        <a:off x="2700000" y="1012500"/>
                        <a:ext cx="0" cy="337500"/>
                      </a:xfrm>
                      <a:prstGeom prst="straightConnector1">
                        <a:avLst/>
                      </a:prstGeom>
                      <a:ln w="12700">
                        <a:solidFill>
                          <a:srgbClr val="404040"/>
                        </a:solidFill>
                        <a:tailEnd type="triangle" w="med" len="med"/>
                      </a:ln>
                    </wps:spPr>
                    <wps:bodyPr/>
                  </wps:wsp>
                  <wps:wsp>
                    <wps:cNvPr id="12" name="Ühendaja 12"/>
                    <wps:cNvCnPr>
                      <a:stCxn id="7" idx="0"/>
                      <a:endCxn id="5" idx="2"/>
                    </wps:cNvCnPr>
                    <wps:spPr>
                      <a:xfrm flipV="1">
                        <a:off x="2700000" y="1991250"/>
                        <a:ext cx="0" cy="337500"/>
                      </a:xfrm>
                      <a:prstGeom prst="straightConnector1">
                        <a:avLst/>
                      </a:prstGeom>
                      <a:ln w="12700">
                        <a:solidFill>
                          <a:srgbClr val="404040"/>
                        </a:solidFill>
                        <a:tailEnd type="triangle" w="med" len="med"/>
                      </a:ln>
                    </wps:spPr>
                    <wps:bodyPr/>
                  </wps:wsp>
                  <wps:wsp>
                    <wps:cNvPr id="13" name="Ühendaja 13"/>
                    <wps:cNvCnPr>
                      <a:stCxn id="6" idx="0"/>
                      <a:endCxn id="3" idx="2"/>
                    </wps:cNvCnPr>
                    <wps:spPr>
                      <a:xfrm rot="16200000" flipV="1">
                        <a:off x="3417188" y="295312"/>
                        <a:ext cx="337500" cy="1771875"/>
                      </a:xfrm>
                      <a:prstGeom prst="bentConnector3">
                        <a:avLst>
                          <a:gd name="adj1" fmla="val 50000"/>
                        </a:avLst>
                      </a:prstGeom>
                      <a:ln w="12700">
                        <a:solidFill>
                          <a:srgbClr val="404040"/>
                        </a:solidFill>
                        <a:tailEnd type="triangle" w="med" len="med"/>
                      </a:ln>
                    </wps:spPr>
                    <wps:bodyPr/>
                  </wps:wsp>
                  <wps:wsp>
                    <wps:cNvPr id="14" name="Ühendaja 14"/>
                    <wps:cNvCnPr>
                      <a:stCxn id="7" idx="0"/>
                      <a:endCxn id="6" idx="2"/>
                    </wps:cNvCnPr>
                    <wps:spPr>
                      <a:xfrm rot="16200000">
                        <a:off x="3417188" y="1274063"/>
                        <a:ext cx="337500" cy="1771875"/>
                      </a:xfrm>
                      <a:prstGeom prst="bentConnector3">
                        <a:avLst>
                          <a:gd name="adj1" fmla="val 50000"/>
                        </a:avLst>
                      </a:prstGeom>
                      <a:ln w="12700">
                        <a:solidFill>
                          <a:srgbClr val="404040"/>
                        </a:solidFill>
                        <a:tailEnd type="triangle" w="med" len="med"/>
                      </a:ln>
                    </wps:spPr>
                    <wps:bodyPr/>
                  </wps:wsp>
                </wpc:wpc>
              </a:graphicData>
            </a:graphic>
          </wp:inline>
        </w:drawing>
      </w:r>
    </w:p>
    <w:p>
      <w:pPr>
        <w:pStyle w:val="Caption"/>
        <w:keepNext w:val="false"/>
        <w:spacing w:after="0" w:before="120"/>
      </w:pPr>
      <w:r>
        <w:rPr>
          <w:b/>
          <w:bCs/>
        </w:rPr>
        <w:t xml:space="preserve">Joonis </w:t>
      </w:r>
      <w:fldSimple w:instr=" SEQ Joonis \* ARABIC ">
        <w:r>
          <w:rPr>
            <w:b/>
            <w:bCs/>
          </w:rPr>
          <w:t>4</w:t>
        </w:r>
      </w:fldSimple>
      <w:r>
        <w:rPr>
          <w:b/>
          <w:bCs/>
        </w:rPr>
        <w:t xml:space="preserve">. </w:t>
      </w:r>
      <w:r>
        <w:t xml:space="preserve">Projekti seos strateegia, programmi ja portfelliga. Vastutaja: Herman Ra Truvek</w:t>
      </w:r>
    </w:p>
    <w:p>
      <w:r>
        <w:t xml:space="preserve">Ärijuhtumi aktuaalsust ja projekti sisu adekvaatsust jälgitakse kogu projekti vältel paindlikult:</w:t>
      </w:r>
    </w:p>
    <w:p>
      <w:pPr>
        <w:pStyle w:val="ListParagraph"/>
        <w:numPr>
          <w:ilvl w:val="0"/>
          <w:numId w:val="3"/>
        </w:numPr>
        <w:spacing w:before="0"/>
      </w:pPr>
      <w:r>
        <w:t xml:space="preserve">iga kuu lõpus (PRINCE2 etapipiir) vaatab juhtkomitee üle probleemi- ja eesmärgipuu, huvipoolte registri ja näitajad ning otsustab jätkamise, muutmise või lõpetamise (AXELOS, 2017);</w:t>
      </w:r>
    </w:p>
    <w:p>
      <w:pPr>
        <w:pStyle w:val="ListParagraph"/>
        <w:numPr>
          <w:ilvl w:val="0"/>
          <w:numId w:val="3"/>
        </w:numPr>
        <w:spacing w:before="0"/>
      </w:pPr>
      <w:r>
        <w:t xml:space="preserve">1. kuu turu-uuringu tulemused on otsustuspunkt: kui fännid ei toeta pärandvapi ideed, hinnatakse alternatiivid uuesti;</w:t>
      </w:r>
    </w:p>
    <w:p>
      <w:pPr>
        <w:pStyle w:val="ListParagraph"/>
        <w:numPr>
          <w:ilvl w:val="0"/>
          <w:numId w:val="3"/>
        </w:numPr>
        <w:spacing w:before="0"/>
      </w:pPr>
      <w:r>
        <w:t xml:space="preserve">disaini testitakse fännidega iteratiivselt (kaks vooru) ja lahendust kohandatakse tagasiside põhjal;</w:t>
      </w:r>
    </w:p>
    <w:p>
      <w:pPr>
        <w:pStyle w:val="ListParagraph"/>
        <w:numPr>
          <w:ilvl w:val="0"/>
          <w:numId w:val="3"/>
        </w:numPr>
        <w:spacing w:before="0"/>
      </w:pPr>
      <w:r>
        <w:t xml:space="preserve">kui väliskeskkond muutub (nt omaniku strateegia, sponsorlepingud või kaubamärgiõiguslik takistus), muudetakse vajadusel projekti ulatust või programmi koosseisu.</w:t>
      </w:r>
    </w:p>
    <w:p>
      <w:r>
        <w:t xml:space="preserve">Selline seire tagab, et projekt püsib ka muutuvas keskkonnas omaniku ja huvipoolte eesmärkidega kooskõlas ning ressursse ei kulutata lahendusele, mis on oma aktuaalsuse kaotanud.</w:t>
      </w:r>
    </w:p>
    <w:p>
      <w:pPr>
        <w:pStyle w:val="Heading2"/>
      </w:pPr>
      <w:r>
        <w:t xml:space="preserve">1.3. Keskkonna ja esmaste riskide analüüs</w:t>
      </w:r>
    </w:p>
    <w:p>
      <w:pPr>
        <w:pStyle w:val="Planned"/>
      </w:pPr>
      <w:r>
        <w:t xml:space="preserve">[Eeldatav sisu: PESTLE ja SWOT; esmaste riskide register (nt fännide uus vastureaktsioon, kaubamärgiõiguslik takistus, sponsori vastuseis, ajakava nihkumine), maandamine ja väljumisstrateegia (Tamberg, 2022, slaid 11). Vastutaja: Hugo-Christopher Saar.]</w:t>
      </w:r>
    </w:p>
    <w:p>
      <w:pPr>
        <w:pStyle w:val="Heading2"/>
      </w:pPr>
      <w:r>
        <w:t xml:space="preserve">1.4. Projekti määratlus ja projektiettepanek</w:t>
      </w:r>
    </w:p>
    <w:p>
      <w:r>
        <w:t xml:space="preserve">Projekti nimi on „Juventus uuesti ja paremini“. Projekti teostusfaas kestab 3 kuud, eelarve on ligikaudu 96 800 eurot. Projekti meeskonnas on kaheksa spetsialistirolli (tabel 6).</w:t>
      </w:r>
    </w:p>
    <w:p>
      <w:pPr>
        <w:pStyle w:val="Caption"/>
        <w:keepNext/>
        <w:spacing w:after="240" w:before="240"/>
      </w:pPr>
      <w:r>
        <w:rPr>
          <w:b/>
          <w:bCs/>
        </w:rPr>
        <w:t xml:space="preserve">Tabel </w:t>
      </w:r>
      <w:fldSimple w:instr=" SEQ Tabel \* ARABIC ">
        <w:r>
          <w:rPr>
            <w:b/>
            <w:bCs/>
          </w:rPr>
          <w:t>6</w:t>
        </w:r>
      </w:fldSimple>
      <w:r>
        <w:rPr>
          <w:b/>
          <w:bCs/>
        </w:rPr>
        <w:t xml:space="preserve">. </w:t>
      </w:r>
      <w:r>
        <w:t xml:space="preserve">Projekti meeskonna rollid (esialgne)</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2437"/>
        <w:gridCol w:w="4379"/>
        <w:gridCol w:w="1688"/>
      </w:tblGrid>
      <w:tr>
        <w:trPr>
          <w:cantSplit/>
          <w:tblHeader/>
        </w:trPr>
        <w:tc>
          <w:tcPr>
            <w:tcW w:type="dxa" w:w="2437"/>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Roll</w:t>
            </w:r>
          </w:p>
        </w:tc>
        <w:tc>
          <w:tcPr>
            <w:tcW w:type="dxa" w:w="437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Vastutus</w:t>
            </w:r>
          </w:p>
        </w:tc>
        <w:tc>
          <w:tcPr>
            <w:tcW w:type="dxa" w:w="168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Kaasatus</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Brändistrateeg</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Brändi arhitektuur (põhilogo + pärandvapp), sõnumid</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1.–2. kuu</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Graafiline disainer</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Pärandvapi ja brändiraamatu kujundus</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1.–2. kuu</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Kaubamärgiõiguse spetsialist</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Õiguskontroll, registreerimine, Torino härja kasutusõigus</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1.–3. kuu</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Digitaalse sisu spetsialist</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Digikampaania, sotsiaalmeedia ja veebisisu</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2.–3. kuu</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Merchandise’i tootmiskoordinaator</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Pärandkollektsiooni prototüübid, koostöö litsentsiaatidega</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2.–3. kuu</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Sisekommunikatsiooni töötaja</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Töötajate ja mängijate informeerimine, brändisaadikud</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1.–3. kuu</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Turu-uuringu analüütik</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Fännide küsitlus, fookusgrupid, lähtetase ja järelmõõtmine</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1. ja 3. kuu</w:t>
            </w:r>
          </w:p>
        </w:tc>
      </w:tr>
      <w:tr>
        <w:trPr>
          <w:cantSplit/>
        </w:trPr>
        <w:tc>
          <w:tcPr>
            <w:tcW w:type="dxa" w:w="243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Suhtekorraldusjuht</w:t>
            </w:r>
          </w:p>
        </w:tc>
        <w:tc>
          <w:tcPr>
            <w:tcW w:type="dxa" w:w="437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Meediasuhted, lansseerimine, kriisikommunikatsioon</w:t>
            </w:r>
          </w:p>
        </w:tc>
        <w:tc>
          <w:tcPr>
            <w:tcW w:type="dxa" w:w="16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1.–3. kuu</w:t>
            </w:r>
          </w:p>
        </w:tc>
      </w:tr>
      <w:tr>
        <w:trPr>
          <w:cantSplit/>
        </w:trPr>
        <w:tc>
          <w:tcPr>
            <w:tcW w:type="dxa" w:w="8504"/>
            <w:gridSpan w:val="3"/>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Märkus: vastutaja Herman Ra Truvek.</w:t>
            </w:r>
          </w:p>
        </w:tc>
      </w:tr>
    </w:tbl>
    <w:p>
      <w:pPr>
        <w:pStyle w:val="Planned"/>
      </w:pPr>
      <w:r>
        <w:t xml:space="preserve">[Täiendatakse: projekti eesmärk ja tulemid, ulatus ja piirid, projekti organisatsioon ja juhtkomitee. Vastutaja: Herman Ra Truvek.]</w:t>
      </w:r>
    </w:p>
    <w:p>
      <w:pPr>
        <w:pStyle w:val="Heading1"/>
        <w:pageBreakBefore/>
      </w:pPr>
      <w:r>
        <w:t xml:space="preserve">2. PROJEKTI PLANEERIMINE</w:t>
      </w:r>
    </w:p>
    <w:p>
      <w:pPr>
        <w:pStyle w:val="Heading2"/>
      </w:pPr>
      <w:r>
        <w:t xml:space="preserve">2.1. Projekti ulatus ja tööde struktuur</w:t>
      </w:r>
    </w:p>
    <w:p>
      <w:pPr>
        <w:pStyle w:val="Planned"/>
      </w:pPr>
      <w:r>
        <w:t xml:space="preserve">[Eeldatav sisu: tulemipõhine tööde jaotuse struktuur (WBS), vastutusmaatriks (RACI).]</w:t>
      </w:r>
    </w:p>
    <w:p>
      <w:pPr>
        <w:pStyle w:val="Heading2"/>
      </w:pPr>
      <w:r>
        <w:t xml:space="preserve">2.2. Ajakava</w:t>
      </w:r>
    </w:p>
    <w:p>
      <w:r>
        <w:t xml:space="preserve">Teostusfaas kestab 3 kuud ja on jaotatud etappideks: </w:t>
      </w:r>
      <w:r>
        <w:rPr>
          <w:b/>
          <w:bCs/>
        </w:rPr>
        <w:t xml:space="preserve">1. kuu</w:t>
      </w:r>
      <w:r>
        <w:t xml:space="preserve"> – turu-uuring, brändistrateegia ja kontseptsioon, õiguskontroll ja kaubamärgitaotlused; </w:t>
      </w:r>
      <w:r>
        <w:rPr>
          <w:b/>
          <w:bCs/>
        </w:rPr>
        <w:t xml:space="preserve">2. kuu</w:t>
      </w:r>
      <w:r>
        <w:t xml:space="preserve"> – pärandvapi ja brändiraamatu kujundus, kaks testimisvooru fännidega, sponsorite ja litsentsiaatidega kokkulepped; </w:t>
      </w:r>
      <w:r>
        <w:rPr>
          <w:b/>
          <w:bCs/>
        </w:rPr>
        <w:t xml:space="preserve">3. kuu</w:t>
      </w:r>
      <w:r>
        <w:t xml:space="preserve"> – merchandise’i prototüübid, lansseerimiskampaania, avalik esitlus ja järelmõõtmise algus.</w:t>
      </w:r>
    </w:p>
    <w:p>
      <w:pPr>
        <w:pStyle w:val="Planned"/>
      </w:pPr>
      <w:r>
        <w:t xml:space="preserve">[Täiendatakse: verstapostid, Gantti diagramm, kriitiline tee.]</w:t>
      </w:r>
    </w:p>
    <w:p>
      <w:pPr>
        <w:pStyle w:val="Heading2"/>
      </w:pPr>
      <w:r>
        <w:t xml:space="preserve">2.3. Ressursid ja eelarve</w:t>
      </w:r>
    </w:p>
    <w:p>
      <w:r>
        <w:t xml:space="preserve">Eelarve on üles ehitatud etapiviisiliselt, kontseptsioonist ja õiguskaitsest kuni rakenduse ja avaliku lansseerimiseni. Suurim osa vahenditest on suunatud visuaalse identiteedi loomisele ning brändi turule toomisele (tabel 7).</w:t>
      </w:r>
    </w:p>
    <w:p>
      <w:pPr>
        <w:pStyle w:val="Caption"/>
        <w:keepNext/>
        <w:spacing w:after="240" w:before="240"/>
      </w:pPr>
      <w:r>
        <w:rPr>
          <w:b/>
          <w:bCs/>
        </w:rPr>
        <w:t xml:space="preserve">Tabel </w:t>
      </w:r>
      <w:fldSimple w:instr=" SEQ Tabel \* ARABIC ">
        <w:r>
          <w:rPr>
            <w:b/>
            <w:bCs/>
          </w:rPr>
          <w:t>7</w:t>
        </w:r>
      </w:fldSimple>
      <w:r>
        <w:rPr>
          <w:b/>
          <w:bCs/>
        </w:rPr>
        <w:t xml:space="preserve">. </w:t>
      </w:r>
      <w:r>
        <w:t xml:space="preserve">Projekti esialgne eelarve kulukategooriate kaupa</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5785"/>
        <w:gridCol w:w="1406"/>
        <w:gridCol w:w="1313"/>
      </w:tblGrid>
      <w:tr>
        <w:trPr>
          <w:cantSplit/>
          <w:tblHeader/>
        </w:trPr>
        <w:tc>
          <w:tcPr>
            <w:tcW w:type="dxa" w:w="578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Kulukategooria</w:t>
            </w:r>
          </w:p>
        </w:tc>
        <w:tc>
          <w:tcPr>
            <w:tcW w:type="dxa" w:w="140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Summa</w:t>
            </w:r>
          </w:p>
        </w:tc>
        <w:tc>
          <w:tcPr>
            <w:tcW w:type="dxa" w:w="1313"/>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Osakaal</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Turu-uuring ja fännide kaasamine</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9 800 €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10%</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Brändistrateegia ja kontseptsioon</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12 000 €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12%</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Visuaalne identiteet (disain, brändiraamat)</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22 000 €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23%</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Kaubamärgi õiguskaitse</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11 000 €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11%</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Merchandise’i prototüübid ja tootmise ettevalmistus</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14 000 €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14%</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Lansseerimiskampaania, digisisu ja suhtekorraldus</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19 000 €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20%</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Reserv ootamatute kulude katteks</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9 000 €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val="false"/>
                <w:bCs w:val="false"/>
              </w:rPr>
              <w:t xml:space="preserve">9%</w:t>
            </w:r>
          </w:p>
        </w:tc>
      </w:tr>
      <w:tr>
        <w:trPr>
          <w:cantSplit/>
        </w:trPr>
        <w:tc>
          <w:tcPr>
            <w:tcW w:type="dxa" w:w="578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bCs/>
              </w:rPr>
              <w:t xml:space="preserve">Kokku</w:t>
            </w:r>
          </w:p>
        </w:tc>
        <w:tc>
          <w:tcPr>
            <w:tcW w:type="dxa" w:w="14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bCs/>
              </w:rPr>
              <w:t xml:space="preserve">96 800 €</w:t>
            </w:r>
          </w:p>
        </w:tc>
        <w:tc>
          <w:tcPr>
            <w:tcW w:type="dxa" w:w="1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right"/>
            </w:pPr>
            <w:r>
              <w:rPr>
                <w:b/>
                <w:bCs/>
              </w:rPr>
              <w:t xml:space="preserve">100%</w:t>
            </w:r>
          </w:p>
        </w:tc>
      </w:tr>
      <w:tr>
        <w:trPr>
          <w:cantSplit/>
        </w:trPr>
        <w:tc>
          <w:tcPr>
            <w:tcW w:type="dxa" w:w="8504"/>
            <w:gridSpan w:val="3"/>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Märkus: kategooriate jaotus on esialgne ja täpsustatakse planeerimisel. Vastutaja: Ragnar Dietrich.</w:t>
            </w:r>
          </w:p>
        </w:tc>
      </w:tr>
    </w:tbl>
    <w:p>
      <w:r>
        <w:t xml:space="preserve">Reserv moodustab ligikaudu 9% eelarvest ja seda kasutatakse ainult juhtkomitee otsusel.</w:t>
      </w:r>
    </w:p>
    <w:p>
      <w:pPr>
        <w:pStyle w:val="Heading2"/>
      </w:pPr>
      <w:r>
        <w:t xml:space="preserve">2.4. Riskide, kvaliteedi ja kommunikatsiooni juhtimine</w:t>
      </w:r>
    </w:p>
    <w:p>
      <w:pPr>
        <w:pStyle w:val="Planned"/>
      </w:pPr>
      <w:r>
        <w:t xml:space="preserve">[Eeldatav sisu: riskijuhtimise plaan, kvaliteedikriteeriumid, kommunikatsiooniplaan huvipoolte analüüsi põhjal.]</w:t>
      </w:r>
    </w:p>
    <w:p>
      <w:pPr>
        <w:pStyle w:val="Heading1"/>
        <w:pageBreakBefore/>
      </w:pPr>
      <w:r>
        <w:t xml:space="preserve">3. PROJEKTI ELLUVIIMINE, SEIRE JA LÕPETAMINE</w:t>
      </w:r>
    </w:p>
    <w:p>
      <w:pPr>
        <w:pStyle w:val="Planned"/>
      </w:pPr>
      <w:r>
        <w:t xml:space="preserve">[Eeldatav sisu: seire ja kontroll, muudatuste juhtimine, tulemite üleandmine, tulemuste kasutuskava, õppetundide kogumine.]</w:t>
      </w:r>
    </w:p>
    <w:p>
      <w:pPr>
        <w:pStyle w:val="Heading1"/>
        <w:pageBreakBefore/>
      </w:pPr>
      <w:r>
        <w:t xml:space="preserve">KOKKUVÕTE</w:t>
      </w:r>
    </w:p>
    <w:p>
      <w:r>
        <w:t xml:space="preserve">Rühmatöö alapeatükis 1.2 analüüsiti, miks on Juventus FC-l vaja projekti „Juventus uuesti ja paremini“. Probleemipuu näitas, et 2017. aasta rebrändingu järel killustunud fännibaasi peamised põhjused on sideme katkemine klubi ajaloolise sümboolikaga, fännide kaasamata jätmine ja globaalset ärilist sihtrühma eelistav brändistrateegia. Eesmärgipuu sõnastas soovitud püsiseisundi – ühendatud fännibaasi, mis samastub klubi identiteediga – ning eristas 3-kuulise projekti ulatusse kuuluvad alameesmärgid programmi teiste projektide omadest.</w:t>
      </w:r>
    </w:p>
    <w:p>
      <w:r>
        <w:t xml:space="preserve">Huvipoolte analüüs tuvastas 13 huvipoolt, kellest võtmeisikud on omanik, klubi juhatus ja turundusosakond ning sponsorid. Peamine vastuolu – traditsioon versus globaalne bränd – lahendatakse kahetasandilise brändiga ja fännide kaasamisega. Alternatiivide võrdlus näitas, et efektiivseim on pärandvapi taastamine koos fännide kaasamise programmiga (B+D), mis mahub 96 800-eurose eelarve ja 3 kuu sisse ning on kaalude muutmise suhtes stabiilne.</w:t>
      </w:r>
    </w:p>
    <w:p>
      <w:pPr>
        <w:pStyle w:val="Heading1"/>
        <w:pageBreakBefore/>
      </w:pPr>
      <w:r>
        <w:t xml:space="preserve">VIIDATUD ALLIKAD</w:t>
      </w:r>
    </w:p>
    <w:p>
      <w:pPr>
        <w:pStyle w:val="Reference"/>
      </w:pPr>
      <w:r>
        <w:t xml:space="preserve">Anthropic. (2026). </w:t>
      </w:r>
      <w:r>
        <w:rPr>
          <w:i/>
          <w:iCs/>
        </w:rPr>
        <w:t xml:space="preserve">Claude</w:t>
      </w:r>
      <w:r>
        <w:t xml:space="preserve"> (oktoobri versioon) [suur keelemudel]. https://claude.ai</w:t>
      </w:r>
    </w:p>
    <w:p>
      <w:pPr>
        <w:pStyle w:val="Reference"/>
      </w:pPr>
      <w:r>
        <w:t xml:space="preserve">AXELOS. (2017). </w:t>
      </w:r>
      <w:r>
        <w:rPr>
          <w:i/>
          <w:iCs/>
        </w:rPr>
        <w:t xml:space="preserve">Managing successful projects with PRINCE2</w:t>
      </w:r>
      <w:r>
        <w:t xml:space="preserve"> (6th ed.). TSO.</w:t>
      </w:r>
    </w:p>
    <w:p>
      <w:pPr>
        <w:pStyle w:val="Reference"/>
      </w:pPr>
      <w:r>
        <w:t xml:space="preserve">Bryson, J. M. (2004). What to do when stakeholders matter: Stakeholder identification and analysis techniques. </w:t>
      </w:r>
      <w:r>
        <w:rPr>
          <w:i/>
          <w:iCs/>
        </w:rPr>
        <w:t xml:space="preserve">Public Management Review, 6</w:t>
      </w:r>
      <w:r>
        <w:t xml:space="preserve">(1), 21–53. https://doi.org/10.1080/14719030410001675722</w:t>
      </w:r>
    </w:p>
    <w:p>
      <w:pPr>
        <w:pStyle w:val="Reference"/>
      </w:pPr>
      <w:r>
        <w:t xml:space="preserve">Design Week. (2017, jaanuar). </w:t>
      </w:r>
      <w:r>
        <w:rPr>
          <w:i/>
          <w:iCs/>
        </w:rPr>
        <w:t xml:space="preserve">Juventus seeks to go “beyond football” with new brand</w:t>
      </w:r>
      <w:r>
        <w:t xml:space="preserve">. https://www.designweek.co.uk/issues/16-22-january-2017/juventus-seeks/</w:t>
      </w:r>
    </w:p>
    <w:p>
      <w:pPr>
        <w:pStyle w:val="Reference"/>
      </w:pPr>
      <w:r>
        <w:t xml:space="preserve">Dezeen. (2017, 17. jaanuar). </w:t>
      </w:r>
      <w:r>
        <w:rPr>
          <w:i/>
          <w:iCs/>
        </w:rPr>
        <w:t xml:space="preserve">Juventus FC faces fan uprising after launching minimal new logo</w:t>
      </w:r>
      <w:r>
        <w:t xml:space="preserve">. https://www.dezeen.com/2017/01/17/juventus-football-club-faces-fan-uprising-after-minimalist-new-logo-graphics-design/</w:t>
      </w:r>
    </w:p>
    <w:p>
      <w:pPr>
        <w:pStyle w:val="Reference"/>
      </w:pPr>
      <w:r>
        <w:t xml:space="preserve">Eden, C., &amp; Ackermann, F. (1998). </w:t>
      </w:r>
      <w:r>
        <w:rPr>
          <w:i/>
          <w:iCs/>
        </w:rPr>
        <w:t xml:space="preserve">Making strategy: The journey of strategic management</w:t>
      </w:r>
      <w:r>
        <w:t xml:space="preserve">. Sage.</w:t>
      </w:r>
    </w:p>
    <w:p>
      <w:pPr>
        <w:pStyle w:val="Reference"/>
      </w:pPr>
      <w:r>
        <w:t xml:space="preserve">European Commission. (2004). </w:t>
      </w:r>
      <w:r>
        <w:rPr>
          <w:i/>
          <w:iCs/>
        </w:rPr>
        <w:t xml:space="preserve">Aid delivery methods. Volume 1: Project cycle management guidelines</w:t>
      </w:r>
      <w:r>
        <w:t xml:space="preserve">. EuropeAid Cooperation Office.</w:t>
      </w:r>
    </w:p>
    <w:p>
      <w:pPr>
        <w:pStyle w:val="Reference"/>
      </w:pPr>
      <w:r>
        <w:t xml:space="preserve">Football Italia. (2017, 16. jaanuar). </w:t>
      </w:r>
      <w:r>
        <w:rPr>
          <w:i/>
          <w:iCs/>
        </w:rPr>
        <w:t xml:space="preserve">Juventus present new logo</w:t>
      </w:r>
      <w:r>
        <w:t xml:space="preserve">. https://www.football-italia.net/96994/juventus-present-new-logo</w:t>
      </w:r>
    </w:p>
    <w:p>
      <w:pPr>
        <w:pStyle w:val="Reference"/>
      </w:pPr>
      <w:r>
        <w:t xml:space="preserve">IAP2. (2018). </w:t>
      </w:r>
      <w:r>
        <w:rPr>
          <w:i/>
          <w:iCs/>
        </w:rPr>
        <w:t xml:space="preserve">IAP2 spectrum of public participation</w:t>
      </w:r>
      <w:r>
        <w:t xml:space="preserve">. International Association for Public Participation. https://www.iap2.org</w:t>
      </w:r>
    </w:p>
    <w:p>
      <w:pPr>
        <w:pStyle w:val="Reference"/>
      </w:pPr>
      <w:r>
        <w:t xml:space="preserve">Ishikawa, K. (1990). </w:t>
      </w:r>
      <w:r>
        <w:rPr>
          <w:i/>
          <w:iCs/>
        </w:rPr>
        <w:t xml:space="preserve">Introduction to quality control</w:t>
      </w:r>
      <w:r>
        <w:t xml:space="preserve">. 3A Corporation.</w:t>
      </w:r>
    </w:p>
    <w:p>
      <w:pPr>
        <w:pStyle w:val="Reference"/>
      </w:pPr>
      <w:r>
        <w:t xml:space="preserve">ISO. (2012). </w:t>
      </w:r>
      <w:r>
        <w:rPr>
          <w:i/>
          <w:iCs/>
        </w:rPr>
        <w:t xml:space="preserve">ISO 21500:2012 Guidance on project management</w:t>
      </w:r>
      <w:r>
        <w:t xml:space="preserve">. International Organization for Standardization.</w:t>
      </w:r>
    </w:p>
    <w:p>
      <w:pPr>
        <w:pStyle w:val="Reference"/>
      </w:pPr>
      <w:r>
        <w:t xml:space="preserve">It’s Nice That. (2017, 17. jaanuar). </w:t>
      </w:r>
      <w:r>
        <w:rPr>
          <w:i/>
          <w:iCs/>
        </w:rPr>
        <w:t xml:space="preserve">Juventus football club given a new identity by Interbrand</w:t>
      </w:r>
      <w:r>
        <w:t xml:space="preserve">. https://www.itsnicethat.com/news/juventus-football-club-interbrand-rebrand-170117</w:t>
      </w:r>
    </w:p>
    <w:p>
      <w:pPr>
        <w:pStyle w:val="Reference"/>
      </w:pPr>
      <w:r>
        <w:t xml:space="preserve">Keller, K. L. (1993). Conceptualizing, measuring, and managing customer-based brand equity. </w:t>
      </w:r>
      <w:r>
        <w:rPr>
          <w:i/>
          <w:iCs/>
        </w:rPr>
        <w:t xml:space="preserve">Journal of Marketing, 57</w:t>
      </w:r>
      <w:r>
        <w:t xml:space="preserve">(1), 1–22. https://doi.org/10.1177/002224299305700101</w:t>
      </w:r>
    </w:p>
    <w:p>
      <w:pPr>
        <w:pStyle w:val="Reference"/>
      </w:pPr>
      <w:r>
        <w:t xml:space="preserve">Learn Lean Sigma. (s.a.). </w:t>
      </w:r>
      <w:r>
        <w:rPr>
          <w:i/>
          <w:iCs/>
        </w:rPr>
        <w:t xml:space="preserve">Fishbone diagram vs 5 whys analysis</w:t>
      </w:r>
      <w:r>
        <w:t xml:space="preserve">. https://www.learnleansigma.com/root-cause-analysis/fishbone-diagram-vs-5-whys-analysis/</w:t>
      </w:r>
    </w:p>
    <w:p>
      <w:pPr>
        <w:pStyle w:val="Reference"/>
      </w:pPr>
      <w:r>
        <w:t xml:space="preserve">LinkedIn. (s.a.). </w:t>
      </w:r>
      <w:r>
        <w:rPr>
          <w:i/>
          <w:iCs/>
        </w:rPr>
        <w:t xml:space="preserve">How do you compare and contrast problem tree with other problem analysis techniques?</w:t>
      </w:r>
      <w:r>
        <w:t xml:space="preserve"> https://www.linkedin.com/advice/0/how-do-you-compare-contrast-problem-tree</w:t>
      </w:r>
    </w:p>
    <w:p>
      <w:pPr>
        <w:pStyle w:val="Reference"/>
      </w:pPr>
      <w:r>
        <w:t xml:space="preserve">Mendelow, A. L. (1981). Environmental scanning: The impact of the stakeholder concept. In </w:t>
      </w:r>
      <w:r>
        <w:rPr>
          <w:i/>
          <w:iCs/>
        </w:rPr>
        <w:t xml:space="preserve">Proceedings of the Second International Conference on Information Systems</w:t>
      </w:r>
      <w:r>
        <w:t xml:space="preserve"> (pp. 407–418). ICIS.</w:t>
      </w:r>
    </w:p>
    <w:p>
      <w:pPr>
        <w:pStyle w:val="Reference"/>
      </w:pPr>
      <w:r>
        <w:t xml:space="preserve">Ohno, T. (1988). </w:t>
      </w:r>
      <w:r>
        <w:rPr>
          <w:i/>
          <w:iCs/>
        </w:rPr>
        <w:t xml:space="preserve">Toyota production system: Beyond large-scale production</w:t>
      </w:r>
      <w:r>
        <w:t xml:space="preserve">. Productivity Press.</w:t>
      </w:r>
    </w:p>
    <w:p>
      <w:pPr>
        <w:pStyle w:val="Reference"/>
      </w:pPr>
      <w:r>
        <w:t xml:space="preserve">PMI. (2021). </w:t>
      </w:r>
      <w:r>
        <w:rPr>
          <w:i/>
          <w:iCs/>
        </w:rPr>
        <w:t xml:space="preserve">A guide to the project management body of knowledge (PMBOK guide)</w:t>
      </w:r>
      <w:r>
        <w:t xml:space="preserve"> (7th ed.). Project Management Institute.</w:t>
      </w:r>
    </w:p>
    <w:p>
      <w:pPr>
        <w:pStyle w:val="Reference"/>
      </w:pPr>
      <w:r>
        <w:t xml:space="preserve">PMI. (s.a.). </w:t>
      </w:r>
      <w:r>
        <w:rPr>
          <w:i/>
          <w:iCs/>
        </w:rPr>
        <w:t xml:space="preserve">Stakeholder management strategies: Applying risk management</w:t>
      </w:r>
      <w:r>
        <w:t xml:space="preserve">. https://www.pmi.org/learning/library/stakeholder-management-strategies-applying-risk-management-7479</w:t>
      </w:r>
    </w:p>
    <w:p>
      <w:pPr>
        <w:pStyle w:val="Reference"/>
      </w:pPr>
      <w:r>
        <w:t xml:space="preserve">Stakeholdermap.com. (s.a.). </w:t>
      </w:r>
      <w:r>
        <w:rPr>
          <w:i/>
          <w:iCs/>
        </w:rPr>
        <w:t xml:space="preserve">Stakeholder analysis</w:t>
      </w:r>
      <w:r>
        <w:t xml:space="preserve">. https://www.stakeholdermap.com/stakeholder-analysis.html</w:t>
      </w:r>
    </w:p>
    <w:p>
      <w:pPr>
        <w:pStyle w:val="Reference"/>
      </w:pPr>
      <w:r>
        <w:t xml:space="preserve">Tamberg, T. (2022). </w:t>
      </w:r>
      <w:r>
        <w:rPr>
          <w:i/>
          <w:iCs/>
        </w:rPr>
        <w:t xml:space="preserve">Projektijuhtimise meetodid ja tehnikad. 2. Projektide määratlemine</w:t>
      </w:r>
      <w:r>
        <w:t xml:space="preserve"> [Loengumaterjalid, slaidid 1–36]. Tartu Ülikooli Pärnu kolledž.</w:t>
      </w:r>
    </w:p>
    <w:p>
      <w:pPr>
        <w:pStyle w:val="Reference"/>
      </w:pPr>
      <w:r>
        <w:t xml:space="preserve">Tartu Ülikooli Pärnu kolledž. (2025). </w:t>
      </w:r>
      <w:r>
        <w:rPr>
          <w:i/>
          <w:iCs/>
        </w:rPr>
        <w:t xml:space="preserve">Üliõpilastööde juhend</w:t>
      </w:r>
      <w:r>
        <w:t xml:space="preserve">. https://parnu.ut.ee/sites/default/files/2025-09/PC_juhend_2025.pdf</w:t>
      </w:r>
    </w:p>
    <w:p>
      <w:pPr>
        <w:pStyle w:val="Reference"/>
      </w:pPr>
      <w:r>
        <w:t xml:space="preserve">The Drum. (2017). </w:t>
      </w:r>
      <w:r>
        <w:rPr>
          <w:i/>
          <w:iCs/>
        </w:rPr>
        <w:t xml:space="preserve">Juventus upset fans after rebranding their famous club crest</w:t>
      </w:r>
      <w:r>
        <w:t xml:space="preserve">. https://www.thedrum.com/news/juventus-upset-fans-after-rebranding-their-famous-club-crest</w:t>
      </w:r>
    </w:p>
    <w:p>
      <w:pPr>
        <w:pStyle w:val="Reference"/>
      </w:pPr>
      <w:r>
        <w:t xml:space="preserve">Wann, D. L., &amp; Branscombe, N. R. (1993). Sports fans: Measuring degree of identification with their team. </w:t>
      </w:r>
      <w:r>
        <w:rPr>
          <w:i/>
          <w:iCs/>
        </w:rPr>
        <w:t xml:space="preserve">International Journal of Sport Psychology, 24</w:t>
      </w:r>
      <w:r>
        <w:t xml:space="preserve">(1), 1–17.</w:t>
      </w:r>
    </w:p>
    <w:p>
      <w:pPr>
        <w:pStyle w:val="Heading1"/>
        <w:pageBreakBefore/>
      </w:pPr>
      <w:r>
        <w:t xml:space="preserve">LISAD</w:t>
      </w:r>
    </w:p>
    <w:p>
      <w:pPr>
        <w:pStyle w:val="LisaPealkiri"/>
      </w:pPr>
      <w:r>
        <w:t xml:space="preserve">Lisa 1. Rühma tööjaotus ja vahetähtajad</w:t>
      </w:r>
    </w:p>
    <w:p>
      <w:r>
        <w:t xml:space="preserve">Rühma juht (projektijuht) on Herman Ra Truvek, omaniku rolli täidab Ragnar Dietrich, valdkonna eksperdina tegutseb Hugo-Christopher Saar ning tehisaru päringute ja kvaliteedikontrolli eest (sh vormistus) vastutab Robi Mustsaar. Peamine töökanal on Google Workspace, kus hoitakse töö versioone, tabeleid ja tehisaruga peetud vestlusi; toetav kanal kiireks suhtluseks on Facebook Messengeri grupp.</w:t>
      </w:r>
    </w:p>
    <w:tbl>
      <w:tblPr>
        <w:tblW w:type="dxa" w:w="8504"/>
        <w:jc w:val="center"/>
        <w:tblBorders>
          <w:top w:val="single" w:color="auto" w:sz="4"/>
          <w:left w:val="single" w:color="auto" w:sz="4"/>
          <w:bottom w:val="single" w:color="auto" w:sz="4"/>
          <w:right w:val="single" w:color="auto" w:sz="4"/>
          <w:insideH w:val="single" w:color="auto" w:sz="4"/>
          <w:insideV w:val="single" w:color="auto" w:sz="4"/>
        </w:tblBorders>
      </w:tblPr>
      <w:tblGrid>
        <w:gridCol w:w="435"/>
        <w:gridCol w:w="3286"/>
        <w:gridCol w:w="1836"/>
        <w:gridCol w:w="1546"/>
        <w:gridCol w:w="1401"/>
      </w:tblGrid>
      <w:tr>
        <w:trPr>
          <w:cantSplit/>
          <w:tblHeader/>
        </w:trPr>
        <w:tc>
          <w:tcPr>
            <w:tcW w:type="dxa" w:w="435"/>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Nr</w:t>
            </w:r>
          </w:p>
        </w:tc>
        <w:tc>
          <w:tcPr>
            <w:tcW w:type="dxa" w:w="328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Ülesanne või objekt</w:t>
            </w:r>
          </w:p>
        </w:tc>
        <w:tc>
          <w:tcPr>
            <w:tcW w:type="dxa" w:w="183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Vastutaja</w:t>
            </w:r>
          </w:p>
        </w:tc>
        <w:tc>
          <w:tcPr>
            <w:tcW w:type="dxa" w:w="1546"/>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Kaasteostaja</w:t>
            </w:r>
          </w:p>
        </w:tc>
        <w:tc>
          <w:tcPr>
            <w:tcW w:type="dxa" w:w="140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keepNext/>
              <w:keepLines/>
              <w:jc w:val="center"/>
            </w:pPr>
            <w:r>
              <w:rPr>
                <w:b/>
                <w:bCs/>
              </w:rPr>
              <w:t xml:space="preserve">Vahetähtaeg</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Töö koordineerimine, sissejuhatus, 1.1, metoodika 1.2.1 (tabel 1), 1.2.6 (joonis 4), kokkuvõte</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Herman Ra Truvek (projektijuht)</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Robi Mustsaar</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09.10.2026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2</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Probleemipuu (joonis 1), probleemi lause, 5 korda miks</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Hugo-Christopher Saar (ekspert)</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Herman Ra Truvek</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09.10.2026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3</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Eesmärgipuu ja projekti ulatus (joonis 2), tulemusnäitajad</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Ragnar Dietrich (omanik)</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Hugo-Christopher Saar</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11.10.2026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4</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Huvipoolte tabel (tabel 2), vastandlikud huvid (tabel 3), maatriks (joonis 3), kaasamise strateegia</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Herman Ra Truvek</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Ragnar Dietrich</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11.10.2026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5</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Lahendusideed, alternatiivide võrdlus (tabelid 4 ja 5), tundlikkusanalüüs</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Ragnar Dietrich</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Hugo-Christopher Saar</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12.10.2026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6</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Meeskonna rollid ja eelarve (tabelid 6 ja 7)</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Ragnar Dietrich</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Herman Ra Truvek</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12.10.2026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7</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Tehisaru päringud, tagasiside ja töö täiendamine (lisa 3)</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Robi Mustsaar (AI prompter)</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kõik</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13.10.2026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8</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Vormistuse ja kvaliteedi tagamine: blankett, stiilid, pealdised, joonte joondus, viited</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Robi Mustsaar (kvaliteedikontroll)</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Herman Ra Truvek</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14.10.2026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9</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Õppetundide analüüs (lisa 2)</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kõik (koond: Robi Mustsaar)</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14.10.2026</w:t>
            </w:r>
          </w:p>
        </w:tc>
      </w:tr>
      <w:tr>
        <w:trPr>
          <w:cantSplit/>
        </w:trPr>
        <w:tc>
          <w:tcPr>
            <w:tcW w:type="dxa" w:w="4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10</w:t>
            </w:r>
          </w:p>
        </w:tc>
        <w:tc>
          <w:tcPr>
            <w:tcW w:type="dxa" w:w="328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Lõplik ülevaatus ja esitamine</w:t>
            </w:r>
          </w:p>
        </w:tc>
        <w:tc>
          <w:tcPr>
            <w:tcW w:type="dxa" w:w="183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Herman Ra Truvek</w:t>
            </w:r>
          </w:p>
        </w:tc>
        <w:tc>
          <w:tcPr>
            <w:tcW w:type="dxa" w:w="15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left"/>
            </w:pPr>
            <w:r>
              <w:rPr>
                <w:b w:val="false"/>
                <w:bCs w:val="false"/>
              </w:rPr>
              <w:t xml:space="preserve">kõik</w:t>
            </w:r>
          </w:p>
        </w:tc>
        <w:tc>
          <w:tcPr>
            <w:tcW w:type="dxa" w:w="140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keepNext/>
              <w:keepLines/>
              <w:jc w:val="center"/>
            </w:pPr>
            <w:r>
              <w:rPr>
                <w:b w:val="false"/>
                <w:bCs w:val="false"/>
              </w:rPr>
              <w:t xml:space="preserve">16.10.2026</w:t>
            </w:r>
          </w:p>
        </w:tc>
      </w:tr>
      <w:tr>
        <w:trPr>
          <w:cantSplit/>
        </w:trPr>
        <w:tc>
          <w:tcPr>
            <w:tcW w:type="dxa" w:w="8504"/>
            <w:gridSpan w:val="5"/>
            <w:tcBorders>
              <w:top w:val="single" w:color="808080" w:sz="4"/>
              <w:left w:val="none" w:color="FFFFFF" w:sz="0"/>
              <w:bottom w:val="none" w:color="FFFFFF" w:sz="0"/>
              <w:right w:val="none" w:color="FFFFFF" w:sz="0"/>
            </w:tcBorders>
            <w:tcMar>
              <w:top w:type="dxa" w:w="40"/>
              <w:left w:type="dxa" w:w="0"/>
              <w:bottom w:type="dxa" w:w="0"/>
              <w:right w:type="dxa" w:w="0"/>
            </w:tcMar>
          </w:tcPr>
          <w:p>
            <w:pPr>
              <w:pStyle w:val="TableText"/>
            </w:pPr>
            <w:r>
              <w:t xml:space="preserve">Märkus: kuupäevad on esialgsed ja täpsustatakse vastavalt õppeaine tähtajale.</w:t>
            </w:r>
          </w:p>
        </w:tc>
      </w:tr>
    </w:tbl>
    <w:p>
      <w:pPr>
        <w:pStyle w:val="LisaPealkiri"/>
        <w:pageBreakBefore/>
      </w:pPr>
      <w:r>
        <w:t xml:space="preserve">Lisa 2. Töö õppetunnid</w:t>
      </w:r>
    </w:p>
    <w:p>
      <w:r>
        <w:rPr>
          <w:b/>
          <w:bCs/>
        </w:rPr>
        <w:t xml:space="preserve">Miks on korrektne vormistus selle ülesande juures oluline?</w:t>
      </w:r>
      <w:r>
        <w:t xml:space="preserve"> Rebrändingu projektis on visuaalne ja täpne esitus sisu osa: probleemi- ja eesmärgipuud ning huvipoolte maatriksit kasutatakse omaniku ja huvipooltega kokkulepete tegemisel. Joondatud kastid, ühtne kirjasuurus ja kastide külge kinnitatud ühendajad muudavad põhjus–tagajärg seosed üheselt loetavaks ning võimaldavad joonist kiiresti muuta. Pealdised ja viited tagavad, et tekstis saab objektidele viidata ja lugeja eristab rühma hinnanguid allikatest pärit faktidest.</w:t>
      </w:r>
    </w:p>
    <w:p>
      <w:r>
        <w:rPr>
          <w:b/>
          <w:bCs/>
        </w:rPr>
        <w:t xml:space="preserve">Milliseid oskusi arendasime?</w:t>
      </w:r>
      <w:r>
        <w:t xml:space="preserve"> Probleemi eristamist riskist, põhjuslike seoste modelleerimist, eesmärkide sõnastamist püsiseisunditena (mitte „uus logo“), huvipoolte hindamist ja vastandlike huvide ühitamist, kaalutud otsustusanalüüsi koos tundlikkusanalüüsiga, Wordi jooniste ala ja pealdiste kasutamist ning tehisaru väljundi kriitilist hindamist.</w:t>
      </w:r>
    </w:p>
    <w:p>
      <w:r>
        <w:rPr>
          <w:b/>
          <w:bCs/>
        </w:rPr>
        <w:t xml:space="preserve">Mis toetas ja mis takistas õppimist?</w:t>
      </w:r>
      <w:r>
        <w:t xml:space="preserve"> Toetasid slaidikogu näited (slaid 17, 29 ja 33), rühmaliikmete rollijaotus (omanik, ekspert, projektijuht, kvaliteedikontroll) ning tehisaru kiire tagasiside. Takistasid see, et fännibaasi killustumise kohta puuduvad avalikud kvantitatiivsed andmed (need tuleb koguda turu-uuringuga), ning see, et huvi- ja mõjuhinnangud on subjektiivsed, kuni neid pole huvipooltega valideeritud.</w:t>
      </w:r>
    </w:p>
    <w:p>
      <w:r>
        <w:rPr>
          <w:b/>
          <w:bCs/>
        </w:rPr>
        <w:t xml:space="preserve">Kas alternatiivsed ideed täidavad kaardistatud eesmärke erinevalt?</w:t>
      </w:r>
      <w:r>
        <w:t xml:space="preserve"> Jah. Tabelist 5 nähtub, et vana vapi taastamine (A) ja kahetasandiline bränd (B) katavad sümboolika haru, logo ümberkujundamine koos fännidega (C) ja kommunikatsiooniprogramm (D) kaasamise ja kommunikatsiooni haru. Ükski alternatiiv üksi ei kata kõiki alameesmärke, seetõttu on parim lahendus kombinatsioon B+D.</w:t>
      </w:r>
    </w:p>
    <w:p>
      <w:r>
        <w:rPr>
          <w:b/>
          <w:bCs/>
        </w:rPr>
        <w:t xml:space="preserve">Millist tagasisidet saime tehisarult ja kas täiendasime tööd?</w:t>
      </w:r>
      <w:r>
        <w:t xml:space="preserve"> Tehisaru tagasiside ja avatud küsimused on kokku võetud lisas 3.</w:t>
      </w:r>
    </w:p>
    <w:p>
      <w:r>
        <w:rPr>
          <w:b/>
          <w:bCs/>
        </w:rPr>
        <w:t xml:space="preserve">Kuidas tagasime rühmas usalduse ja vastutuse?</w:t>
      </w:r>
      <w:r>
        <w:t xml:space="preserve"> Usalduse ja vastutuse tagame teadmisega, et meil kõigil on ühine eesmärk – omandada kõrgharidus. Lisaks on igal objektil nimeline vastutaja ja kaasteostaja (lisa 1), kes kontrollib vastutaja tööd enne vahetähtaega. Kõik versioonid ja tehisaruga peetud vestlused on Google Workspace’is kõigile nähtavad ning kiired küsimused lahendatakse Messengeri grupis, mis loob läbipaistvuse ja võimaldab iga liikme panust hinnata.</w:t>
      </w:r>
    </w:p>
    <w:p>
      <w:pPr>
        <w:pStyle w:val="LisaPealkiri"/>
        <w:pageBreakBefore/>
      </w:pPr>
      <w:r>
        <w:t xml:space="preserve">Lisa 3. Vestlus tehisaruga</w:t>
      </w:r>
    </w:p>
    <w:p>
      <w:r>
        <w:t xml:space="preserve">Tehisaruna kasutati keelemudelit Claude (Anthropic, 2026), päringud koostas Robi Mustsaar. Täielik vestlus on rühma Google Workspace’i kaustas kõigile liikmetele nähtav.</w:t>
      </w:r>
    </w:p>
    <w:p>
      <w:r>
        <w:rPr>
          <w:b/>
          <w:bCs/>
        </w:rPr>
        <w:t xml:space="preserve">Päringud (lühendatult):</w:t>
      </w:r>
      <w:r>
        <w:t xml:space="preserve"> 1) koostada slaidikogu 2 ja seonduvate juhendite põhjal alapeatükk 1.2 koos tervikliku struktuuri ja lisadega; 2) kohandada töö projektile „Juventus uuesti ja paremini“ rühma antud lähteandmetega (meeskond, huvipooled, spetsialistid, eelarve 96 800 €, teostusfaas 3 kuud); 3) vormistada töö Pärnu kolledži üliõpilastööde juhendi järgi.</w:t>
      </w:r>
    </w:p>
    <w:p>
      <w:r>
        <w:rPr>
          <w:b/>
          <w:bCs/>
        </w:rPr>
        <w:t xml:space="preserve">Peamine tagasiside ja avatud küsimused:</w:t>
      </w:r>
    </w:p>
    <w:p>
      <w:pPr>
        <w:pStyle w:val="ListParagraph"/>
        <w:numPr>
          <w:ilvl w:val="0"/>
          <w:numId w:val="4"/>
        </w:numPr>
        <w:spacing w:before="0"/>
      </w:pPr>
      <w:r>
        <w:t xml:space="preserve">„Uus logo“ on projekti tulem, mitte eesmärk – eesmärk on fännide samastumine klubiga.</w:t>
      </w:r>
    </w:p>
    <w:p>
      <w:pPr>
        <w:pStyle w:val="ListParagraph"/>
        <w:numPr>
          <w:ilvl w:val="0"/>
          <w:numId w:val="4"/>
        </w:numPr>
        <w:spacing w:before="0"/>
      </w:pPr>
      <w:r>
        <w:t xml:space="preserve">96 800 € ja 3 kuud ei piisa täielikuks globaalseks rebrändinguks, seetõttu eelistati olemasolevat „J“-kaubamärki kasutavaid alternatiive.</w:t>
      </w:r>
    </w:p>
    <w:p>
      <w:pPr>
        <w:pStyle w:val="ListParagraph"/>
        <w:numPr>
          <w:ilvl w:val="0"/>
          <w:numId w:val="4"/>
        </w:numPr>
        <w:spacing w:before="0"/>
      </w:pPr>
      <w:r>
        <w:t xml:space="preserve">Eelarve jaotus kategooriate kaupa (tabel 7) on näidisjaotus – kinnitavad Ragnar Dietrich ja Herman Ra Truvek.</w:t>
      </w:r>
    </w:p>
    <w:p>
      <w:pPr>
        <w:pStyle w:val="ListParagraph"/>
        <w:numPr>
          <w:ilvl w:val="0"/>
          <w:numId w:val="4"/>
        </w:numPr>
        <w:spacing w:before="0"/>
      </w:pPr>
      <w:r>
        <w:t xml:space="preserve">Torino härja kasutusõigus pärandvapis tuleb kontrollida – Hugo-Christopher Saar.</w:t>
      </w:r>
    </w:p>
    <w:p>
      <w:r>
        <w:t xml:space="preserve">Rühma hinnangul kiirendas tehisaru töö ülesehitust ja allikate leidmist; sisu õigsuse ja lõpliku teksti eest vastutab rühm.</w:t>
      </w:r>
    </w:p>
    <w:sectPr>
      <w:footerReference w:type="default" r:id="rId7"/>
      <w:footerReference w:type="first" r:id="rId8"/>
      <w:pgSz w:w="11906" w:h="16838" w:orient="portrait"/>
      <w:pgMar w:top="1701" w:right="1134" w:bottom="1701" w:left="2268" w:header="708" w:footer="851"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ind w:left="360" w:hanging="360"/>
      </w:pPr>
    </w:lvl>
  </w:abstractNum>
  <w:abstractNum w:abstractNumId="3" w15:restartNumberingAfterBreak="0">
    <w:multiLevelType w:val="hybridMultilevel"/>
    <w:lvl w:ilvl="0" w15:tentative="1">
      <w:start w:val="1"/>
      <w:numFmt w:val="decimal"/>
      <w:lvlText w:val="%1."/>
      <w:lvlJc w:val="left"/>
      <w:pPr>
        <w:spacing w:before="0"/>
        <w:ind w:left="360" w:hanging="360"/>
      </w:pPr>
    </w:lvl>
  </w:abstractNum>
  <w:abstractNum w:abstractNumId="4" w15:restartNumberingAfterBreak="0">
    <w:multiLevelType w:val="hybridMultilevel"/>
    <w:lvl w:ilvl="0" w15:tentative="1">
      <w:start w:val="1"/>
      <w:numFmt w:val="decimal"/>
      <w:lvlText w:val="%1."/>
      <w:lvlJc w:val="left"/>
      <w:pPr>
        <w:spacing w:before="0"/>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240" w:line="360"/>
      <w:jc w:val="both"/>
    </w:pPr>
    <w:rPr>
      <w:rFonts w:ascii="Times New Roman" w:cs="Times New Roman" w:eastAsia="Times New Roman" w:hAnsi="Times New Roman"/>
      <w:sz w:val="24"/>
      <w:szCs w:val="24"/>
    </w:rPr>
  </w:style>
  <w:style w:type="paragraph" w:styleId="Heading1">
    <w:name w:val="Heading 1"/>
    <w:basedOn w:val="Normal"/>
    <w:next w:val="Normal"/>
    <w:qFormat/>
    <w:pPr>
      <w:keepNext/>
      <w:spacing w:after="0" w:before="1440"/>
      <w:jc w:val="left"/>
      <w:outlineLvl w:val="0"/>
    </w:pPr>
    <w:rPr>
      <w:rFonts w:ascii="Arial" w:cs="Arial" w:eastAsia="Arial" w:hAnsi="Arial"/>
      <w:b/>
      <w:bCs/>
      <w:caps/>
      <w:sz w:val="32"/>
      <w:szCs w:val="32"/>
    </w:rPr>
  </w:style>
  <w:style w:type="paragraph" w:styleId="Heading2">
    <w:name w:val="Heading 2"/>
    <w:basedOn w:val="Normal"/>
    <w:next w:val="Normal"/>
    <w:qFormat/>
    <w:pPr>
      <w:keepNext/>
      <w:spacing w:after="0" w:before="480"/>
      <w:jc w:val="left"/>
      <w:outlineLvl w:val="1"/>
    </w:pPr>
    <w:rPr>
      <w:rFonts w:ascii="Arial" w:cs="Arial" w:eastAsia="Arial" w:hAnsi="Arial"/>
      <w:b/>
      <w:bCs/>
      <w:sz w:val="28"/>
      <w:szCs w:val="28"/>
    </w:rPr>
  </w:style>
  <w:style w:type="paragraph" w:styleId="Heading3">
    <w:name w:val="Heading 3"/>
    <w:basedOn w:val="Normal"/>
    <w:next w:val="Normal"/>
    <w:qFormat/>
    <w:pPr>
      <w:keepNext/>
      <w:spacing w:after="0" w:before="480"/>
      <w:jc w:val="left"/>
      <w:outlineLvl w:val="2"/>
    </w:pPr>
    <w:rPr>
      <w:rFonts w:ascii="Arial" w:cs="Arial" w:eastAsia="Arial" w:hAnsi="Arial"/>
      <w:b/>
      <w:bCs/>
      <w:sz w:val="24"/>
      <w:szCs w:val="24"/>
    </w:rPr>
  </w:style>
  <w:style w:type="paragraph" w:styleId="LisaPealkiri">
    <w:name w:val="Lisa pealkiri"/>
    <w:basedOn w:val="Normal"/>
    <w:next w:val="Normal"/>
    <w:qFormat/>
    <w:pPr>
      <w:keepNext/>
      <w:spacing w:after="0" w:before="240"/>
      <w:jc w:val="left"/>
      <w:outlineLvl w:val="1"/>
    </w:pPr>
    <w:rPr>
      <w:rFonts w:ascii="Times New Roman" w:cs="Times New Roman" w:eastAsia="Times New Roman" w:hAnsi="Times New Roman"/>
      <w:b/>
      <w:bCs/>
      <w:sz w:val="24"/>
      <w:szCs w:val="24"/>
    </w:rPr>
  </w:style>
  <w:style w:type="paragraph" w:styleId="Caption">
    <w:name w:val="caption"/>
    <w:basedOn w:val="Normal"/>
    <w:next w:val="Normal"/>
    <w:qFormat/>
    <w:pPr>
      <w:spacing w:after="0" w:before="120" w:line="360"/>
      <w:jc w:val="left"/>
    </w:pPr>
    <w:rPr>
      <w:b w:val="false"/>
      <w:bCs w:val="false"/>
      <w:i w:val="false"/>
      <w:iCs w:val="false"/>
      <w:color w:val="000000"/>
      <w:sz w:val="24"/>
      <w:szCs w:val="24"/>
    </w:rPr>
  </w:style>
  <w:style w:type="paragraph" w:styleId="TableText">
    <w:name w:val="Tabeli tekst"/>
    <w:basedOn w:val="Normal"/>
    <w:pPr>
      <w:spacing w:after="0" w:before="0" w:line="240"/>
      <w:jc w:val="left"/>
    </w:pPr>
    <w:rPr>
      <w:sz w:val="22"/>
      <w:szCs w:val="22"/>
    </w:rPr>
  </w:style>
  <w:style w:type="paragraph" w:styleId="Planned">
    <w:name w:val="Eeldatav sisu"/>
    <w:basedOn w:val="Normal"/>
    <w:rPr>
      <w:i/>
      <w:iCs/>
      <w:color w:val="7F7F7F"/>
    </w:rPr>
  </w:style>
  <w:style w:type="paragraph" w:styleId="Reference">
    <w:name w:val="Allikaloend"/>
    <w:basedOn w:val="Normal"/>
    <w:pPr>
      <w:spacing w:before="0"/>
      <w:ind w:left="567" w:hanging="567"/>
      <w:jc w:val="left"/>
    </w:pPr>
  </w:style>
  <w:style w:type="paragraph" w:styleId="TocHeading">
    <w:name w:val="TOC Heading"/>
    <w:basedOn w:val="Normal"/>
    <w:pPr>
      <w:spacing w:after="240" w:before="1440"/>
      <w:jc w:val="left"/>
    </w:pPr>
    <w:rPr>
      <w:rFonts w:ascii="Arial" w:cs="Arial" w:eastAsia="Arial" w:hAnsi="Arial"/>
      <w:b/>
      <w:bCs/>
      <w:sz w:val="32"/>
      <w:szCs w:val="32"/>
    </w:rPr>
  </w:style>
  <w:style w:type="paragraph" w:styleId="TOC1">
    <w:name w:val="toc 1"/>
    <w:basedOn w:val="Normal"/>
    <w:next w:val="Normal"/>
    <w:pPr>
      <w:spacing w:after="0" w:before="0" w:line="360"/>
      <w:ind w:left="0"/>
      <w:jc w:val="left"/>
    </w:pPr>
    <w:rPr>
      <w:rFonts w:ascii="Times New Roman" w:cs="Times New Roman" w:eastAsia="Times New Roman" w:hAnsi="Times New Roman"/>
      <w:sz w:val="24"/>
      <w:szCs w:val="24"/>
    </w:rPr>
  </w:style>
  <w:style w:type="paragraph" w:styleId="TOC2">
    <w:name w:val="toc 2"/>
    <w:basedOn w:val="Normal"/>
    <w:next w:val="Normal"/>
    <w:pPr>
      <w:spacing w:after="0" w:before="0" w:line="360"/>
      <w:ind w:left="284"/>
      <w:jc w:val="left"/>
    </w:pPr>
    <w:rPr>
      <w:rFonts w:ascii="Times New Roman" w:cs="Times New Roman" w:eastAsia="Times New Roman" w:hAnsi="Times New Roman"/>
      <w:sz w:val="24"/>
      <w:szCs w:val="24"/>
    </w:rPr>
  </w:style>
  <w:style w:type="paragraph" w:styleId="TOC3">
    <w:name w:val="toc 3"/>
    <w:basedOn w:val="Normal"/>
    <w:next w:val="Normal"/>
    <w:pPr>
      <w:spacing w:after="0" w:before="0" w:line="360"/>
      <w:ind w:left="568"/>
      <w:jc w:val="left"/>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Juventus uuesti ja paremini</dc:title>
  <dc:creator>Rühm</dc:creator>
  <cp:lastModifiedBy>Un-named</cp:lastModifiedBy>
  <cp:revision>1</cp:revision>
  <dcterms:created xsi:type="dcterms:W3CDTF">2026-10-04T12:37:50.826Z</dcterms:created>
  <dcterms:modified xsi:type="dcterms:W3CDTF">2026-10-04T12:37:50.826Z</dcterms:modified>
</cp:coreProperties>
</file>

<file path=docProps/custom.xml><?xml version="1.0" encoding="utf-8"?>
<Properties xmlns="http://schemas.openxmlformats.org/officeDocument/2006/custom-properties" xmlns:vt="http://schemas.openxmlformats.org/officeDocument/2006/docPropsVTypes"/>
</file>