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Contrato de Servicios</w:t>
      </w:r>
    </w:p>
    <w:p>
      <w:r>
        <w:t xml:space="preserve">Este contrato describe los servicios que el Proveedor prestará al Cliente, los honorarios pagaderos y las responsabilidades de ambas partes. Entra en vigor el 1 de octubre de 2026.</w:t>
      </w:r>
    </w:p>
    <w:p>
      <w:pPr>
        <w:pStyle w:val="Heading2"/>
      </w:pPr>
      <w:r>
        <w:t xml:space="preserve">Honorarios y pago</w:t>
      </w:r>
    </w:p>
    <w:p>
      <w:r>
        <w:t xml:space="preserve">El Cliente pagará una cuota mensual de USD 2.400. Las facturas se emiten el primer día hábil de cada mes y vencen a los 30 días.</w:t>
      </w:r>
    </w:p>
    <w:p>
      <w:pPr>
        <w:pStyle w:val="Heading2"/>
      </w:pPr>
      <w:r>
        <w:t xml:space="preserve">Entregables</w:t>
      </w:r>
    </w:p>
    <w:p>
      <w:pPr>
        <w:pStyle w:val="ListParagraph"/>
        <w:numPr>
          <w:ilvl w:val="0"/>
          <w:numId w:val="1"/>
        </w:numPr>
      </w:pPr>
      <w:r>
        <w:t xml:space="preserve">Módulo de facturación</w:t>
      </w:r>
    </w:p>
    <w:p>
      <w:pPr>
        <w:pStyle w:val="ListParagraph"/>
        <w:numPr>
          <w:ilvl w:val="0"/>
          <w:numId w:val="1"/>
        </w:numPr>
      </w:pPr>
      <w:r>
        <w:t xml:space="preserve">Módulo de informes</w:t>
      </w:r>
    </w:p>
    <w:p>
      <w:pPr>
        <w:pStyle w:val="ListParagraph"/>
        <w:numPr>
          <w:ilvl w:val="0"/>
          <w:numId w:val="1"/>
        </w:numPr>
      </w:pPr>
      <w:r>
        <w:t xml:space="preserve">Soporte en horario laboral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message fixtures</dc:creator>
  <cp:lastModifiedBy>Un-named</cp:lastModifiedBy>
  <cp:revision>1</cp:revision>
  <dcterms:created xsi:type="dcterms:W3CDTF">2026-09-05T13:24:37.496Z</dcterms:created>
  <dcterms:modified xsi:type="dcterms:W3CDTF">2026-09-05T13:24:37.496Z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