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Pemetaan Kendali Trareon ke UU No. 27 Tahun 2022</w:t>
      </w:r>
    </w:p>
    <w:p>
      <w:r>
        <w:rPr>
          <w:b/>
        </w:rPr>
        <w:t>Undang-Undang Republik Indonesia Nomor 27 Tahun 2022 tentang Pelindungan Data Pribadi</w:t>
      </w:r>
      <w:r>
        <w:t xml:space="preserve"> ("UU PDP").</w:t>
      </w:r>
    </w:p>
    <w:p>
      <w:pPr>
        <w:spacing w:before="120" w:after="120"/>
        <w:ind w:left="480"/>
      </w:pPr>
      <w:r>
        <w:rPr>
          <w:b/>
          <w:sz w:val="20"/>
        </w:rPr>
        <w:t>Status dokumen.</w:t>
      </w:r>
      <w:r>
        <w:rPr>
          <w:i/>
          <w:sz w:val="20"/>
        </w:rPr>
        <w:t xml:space="preserve"> Pemetaan kendali, bukan pernyataan kepatuhan dan bukan nasihat hukum. Kewajiban UU PDP dibebankan pada </w:t>
      </w:r>
      <w:r>
        <w:rPr>
          <w:b/>
          <w:sz w:val="20"/>
        </w:rPr>
        <w:t>Pengendali Data Pribadi</w:t>
      </w:r>
      <w:r>
        <w:rPr>
          <w:i/>
          <w:sz w:val="20"/>
        </w:rPr>
        <w:t xml:space="preserve"> — yaitu instansi yang merekam rapat — bukan pada aplikasi. Kolom "siapa" di setiap tabel menyebut pihak yang bertanggung jawab.</w:t>
      </w:r>
    </w:p>
    <w:p>
      <w:pPr>
        <w:spacing w:before="120" w:after="120"/>
        <w:ind w:left="480"/>
      </w:pPr>
      <w:r>
        <w:rPr>
          <w:b/>
          <w:sz w:val="20"/>
        </w:rPr>
        <w:t>Verifikasi nomor pasal.</w:t>
      </w:r>
      <w:r>
        <w:rPr>
          <w:i/>
          <w:sz w:val="20"/>
        </w:rPr>
        <w:t xml:space="preserve"> Nomor pasal dan pokok materinya diverifikasi pada </w:t>
      </w:r>
      <w:r>
        <w:rPr>
          <w:b/>
          <w:sz w:val="20"/>
        </w:rPr>
        <w:t>7 Oktober 2026</w:t>
      </w:r>
      <w:r>
        <w:rPr>
          <w:i/>
          <w:sz w:val="20"/>
        </w:rPr>
        <w:t xml:space="preserve"> terhadap: - teks resmi: &lt;https://peraturan.bpk.go.id/Download/224884/UU%20Nomor%2027%20Tahun%202022.pdf&gt; - penelusuran per pasal: &lt;https://pasal.id/peraturan/uu/uu-no-27-tahun-2022&gt;</w:t>
      </w:r>
    </w:p>
    <w:p>
      <w:pPr>
        <w:spacing w:before="120" w:after="120"/>
        <w:ind w:left="480"/>
      </w:pPr>
      <w:r>
        <w:rPr>
          <w:i/>
          <w:sz w:val="20"/>
        </w:rPr>
        <w:t xml:space="preserve">Pasal 31, 34, 46, dan 53 diverifikasi dengan membaca kutipan teks pasalnya. Pasal lain diverifikasi pada tingkat </w:t>
      </w:r>
      <w:r>
        <w:rPr>
          <w:b/>
          <w:sz w:val="20"/>
        </w:rPr>
        <w:t>pokok materi</w:t>
      </w:r>
      <w:r>
        <w:rPr>
          <w:i/>
          <w:sz w:val="20"/>
        </w:rPr>
        <w:t xml:space="preserve"> (judul/subjek pasal) dari sumber di atas; bila instansi akan mengutip bunyi pasal dalam dokumen resmi, kutip dari PDF BPK, bukan dari sini. Hal yang tidak dapat diverifikasi diberi tanda </w:t>
      </w:r>
      <w:r>
        <w:rPr>
          <w:b/>
          <w:sz w:val="20"/>
        </w:rPr>
        <w:t>(belum diverifikasi)</w:t>
      </w:r>
      <w:r>
        <w:rPr>
          <w:i/>
          <w:sz w:val="20"/>
        </w:rPr>
        <w:t>.</w:t>
      </w:r>
    </w:p>
    <w:p>
      <w:pPr>
        <w:jc w:val="center"/>
      </w:pPr>
      <w:r>
        <w:rPr>
          <w:sz w:val="18"/>
        </w:rPr>
        <w:t>· · ·</w:t>
      </w:r>
    </w:p>
    <w:p>
      <w:pPr>
        <w:pStyle w:val="Heading2"/>
      </w:pPr>
      <w:r>
        <w:t>0. Peran para pihak</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pPr>
            <w:r>
              <w:rPr>
                <w:b/>
                <w:sz w:val="18"/>
              </w:rPr>
              <w:t>Peran UU PDP</w:t>
            </w:r>
          </w:p>
        </w:tc>
        <w:tc>
          <w:tcPr>
            <w:tcW w:type="dxa" w:w="4320"/>
          </w:tcPr>
          <w:p>
            <w:pPr>
              <w:spacing w:after="40"/>
            </w:pPr>
            <w:r>
              <w:rPr>
                <w:b/>
                <w:sz w:val="18"/>
              </w:rPr>
              <w:t>Dalam penggelaran Trareon</w:t>
            </w:r>
          </w:p>
        </w:tc>
      </w:tr>
      <w:tr>
        <w:tc>
          <w:tcPr>
            <w:tcW w:type="dxa" w:w="4320"/>
          </w:tcPr>
          <w:p>
            <w:pPr>
              <w:spacing w:after="40"/>
            </w:pPr>
            <w:r>
              <w:rPr>
                <w:b/>
                <w:sz w:val="18"/>
              </w:rPr>
              <w:t>Subjek Data Pribadi</w:t>
            </w:r>
          </w:p>
        </w:tc>
        <w:tc>
          <w:tcPr>
            <w:tcW w:type="dxa" w:w="4320"/>
          </w:tcPr>
          <w:p>
            <w:pPr>
              <w:spacing w:after="40"/>
            </w:pPr>
            <w:r>
              <w:rPr>
                <w:sz w:val="18"/>
              </w:rPr>
              <w:t>Peserta rapat yang suaranya direkam dan namanya muncul di transkrip/notulen</w:t>
            </w:r>
          </w:p>
        </w:tc>
      </w:tr>
      <w:tr>
        <w:tc>
          <w:tcPr>
            <w:tcW w:type="dxa" w:w="4320"/>
          </w:tcPr>
          <w:p>
            <w:pPr>
              <w:spacing w:after="40"/>
            </w:pPr>
            <w:r>
              <w:rPr>
                <w:b/>
                <w:sz w:val="18"/>
              </w:rPr>
              <w:t>Pengendali Data Pribadi</w:t>
            </w:r>
          </w:p>
        </w:tc>
        <w:tc>
          <w:tcPr>
            <w:tcW w:type="dxa" w:w="4320"/>
          </w:tcPr>
          <w:p>
            <w:pPr>
              <w:spacing w:after="40"/>
            </w:pPr>
            <w:r>
              <w:rPr>
                <w:sz w:val="18"/>
              </w:rPr>
              <w:t>Instansi yang menyelenggarakan rapat dan memutuskan rapat itu direkam</w:t>
            </w:r>
          </w:p>
        </w:tc>
      </w:tr>
      <w:tr>
        <w:tc>
          <w:tcPr>
            <w:tcW w:type="dxa" w:w="4320"/>
          </w:tcPr>
          <w:p>
            <w:pPr>
              <w:spacing w:after="40"/>
            </w:pPr>
            <w:r>
              <w:rPr>
                <w:b/>
                <w:sz w:val="18"/>
              </w:rPr>
              <w:t>Prosesor Data Pribadi</w:t>
            </w:r>
          </w:p>
        </w:tc>
        <w:tc>
          <w:tcPr>
            <w:tcW w:type="dxa" w:w="4320"/>
          </w:tcPr>
          <w:p>
            <w:pPr>
              <w:spacing w:after="40"/>
            </w:pPr>
            <w:r>
              <w:rPr>
                <w:b/>
                <w:sz w:val="18"/>
              </w:rPr>
              <w:t>Tidak ada.</w:t>
            </w:r>
            <w:r>
              <w:rPr>
                <w:sz w:val="18"/>
              </w:rPr>
              <w:t xml:space="preserve"> Trareon berjalan di perangkat notulis; tidak ada pihak ketiga yang memproses data atas nama instansi — kecuali instansi sendiri mengarahkan endpoint LLM ke server luar (lihat risiko R-1 di §6)</w:t>
            </w:r>
          </w:p>
        </w:tc>
      </w:tr>
      <w:tr>
        <w:tc>
          <w:tcPr>
            <w:tcW w:type="dxa" w:w="4320"/>
          </w:tcPr>
          <w:p>
            <w:pPr>
              <w:spacing w:after="40"/>
            </w:pPr>
            <w:r>
              <w:rPr>
                <w:sz w:val="18"/>
              </w:rPr>
              <w:t>Pengembang Trareon</w:t>
            </w:r>
          </w:p>
        </w:tc>
        <w:tc>
          <w:tcPr>
            <w:tcW w:type="dxa" w:w="4320"/>
          </w:tcPr>
          <w:p>
            <w:pPr>
              <w:spacing w:after="40"/>
            </w:pPr>
            <w:r>
              <w:rPr>
                <w:sz w:val="18"/>
              </w:rPr>
              <w:t>Penyedia perangkat lunak. Tidak menerima, tidak menyimpan, dan tidak dapat mengakses data rapat</w:t>
            </w:r>
          </w:p>
        </w:tc>
      </w:tr>
    </w:tbl>
    <w:p>
      <w:pPr>
        <w:spacing w:after="40"/>
      </w:pPr>
    </w:p>
    <w:p>
      <w:r>
        <w:t xml:space="preserve">Konsekuensi penting: karena tidak ada prosesor, instansi </w:t>
      </w:r>
      <w:r>
        <w:rPr>
          <w:b/>
        </w:rPr>
        <w:t>tidak perlu</w:t>
      </w:r>
      <w:r>
        <w:t xml:space="preserve"> perjanjian pemrosesan data (Pasal 51–52) untuk pemakaian Trareon pada konfigurasi baku. Ini perbedaan nyata dibanding layanan notulen berbasis awan, yang selalu memunculkan prosesor dan sering memunculkan transfer lintas yurisdiksi (Pasal 56).</w:t>
      </w:r>
    </w:p>
    <w:p>
      <w:pPr>
        <w:jc w:val="center"/>
      </w:pPr>
      <w:r>
        <w:rPr>
          <w:sz w:val="18"/>
        </w:rPr>
        <w:t>· · ·</w:t>
      </w:r>
    </w:p>
    <w:p>
      <w:pPr>
        <w:pStyle w:val="Heading2"/>
      </w:pPr>
      <w:r>
        <w:t>1. Hak Subjek Data Pribadi (Pasal 5–15)</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spacing w:after="40"/>
            </w:pPr>
            <w:r>
              <w:rPr>
                <w:b/>
                <w:sz w:val="18"/>
              </w:rPr>
              <w:t>Pasal</w:t>
            </w:r>
          </w:p>
        </w:tc>
        <w:tc>
          <w:tcPr>
            <w:tcW w:type="dxa" w:w="2160"/>
          </w:tcPr>
          <w:p>
            <w:pPr>
              <w:spacing w:after="40"/>
            </w:pPr>
            <w:r>
              <w:rPr>
                <w:b/>
                <w:sz w:val="18"/>
              </w:rPr>
              <w:t>Hak</w:t>
            </w:r>
          </w:p>
        </w:tc>
        <w:tc>
          <w:tcPr>
            <w:tcW w:type="dxa" w:w="2160"/>
          </w:tcPr>
          <w:p>
            <w:pPr>
              <w:spacing w:after="40"/>
            </w:pPr>
            <w:r>
              <w:rPr>
                <w:b/>
                <w:sz w:val="18"/>
              </w:rPr>
              <w:t>Kendali Trareon</w:t>
            </w:r>
          </w:p>
        </w:tc>
        <w:tc>
          <w:tcPr>
            <w:tcW w:type="dxa" w:w="2160"/>
          </w:tcPr>
          <w:p>
            <w:pPr>
              <w:spacing w:after="40"/>
            </w:pPr>
            <w:r>
              <w:rPr>
                <w:b/>
                <w:sz w:val="18"/>
              </w:rPr>
              <w:t>Siapa</w:t>
            </w:r>
          </w:p>
        </w:tc>
      </w:tr>
      <w:tr>
        <w:tc>
          <w:tcPr>
            <w:tcW w:type="dxa" w:w="2160"/>
          </w:tcPr>
          <w:p>
            <w:pPr>
              <w:spacing w:after="40"/>
            </w:pPr>
            <w:r>
              <w:rPr>
                <w:sz w:val="18"/>
              </w:rPr>
              <w:t>5</w:t>
            </w:r>
          </w:p>
        </w:tc>
        <w:tc>
          <w:tcPr>
            <w:tcW w:type="dxa" w:w="2160"/>
          </w:tcPr>
          <w:p>
            <w:pPr>
              <w:spacing w:after="40"/>
            </w:pPr>
            <w:r>
              <w:rPr>
                <w:sz w:val="18"/>
              </w:rPr>
              <w:t>Hak atas informasi identitas pengendali, dasar hukum, tujuan, akuntabilitas</w:t>
            </w:r>
          </w:p>
        </w:tc>
        <w:tc>
          <w:tcPr>
            <w:tcW w:type="dxa" w:w="2160"/>
          </w:tcPr>
          <w:p>
            <w:pPr>
              <w:spacing w:after="40"/>
            </w:pPr>
            <w:r>
              <w:rPr>
                <w:b/>
                <w:sz w:val="18"/>
              </w:rPr>
              <w:t>Pemberitahuan perekaman</w:t>
            </w:r>
            <w:r>
              <w:rPr>
                <w:sz w:val="18"/>
              </w:rPr>
              <w:t xml:space="preserve"> — teks siap-tempel yang dibuat aplikasi dan dapat disunting instansi (</w:t>
            </w:r>
            <w:r>
              <w:rPr>
                <w:rFonts w:ascii="Consolas" w:hAnsi="Consolas"/>
                <w:sz w:val="18"/>
              </w:rPr>
              <w:t>rust_core/src/pdp/mod.rs</w:t>
            </w:r>
            <w:r>
              <w:rPr>
                <w:sz w:val="18"/>
              </w:rPr>
              <w:t xml:space="preserve">, </w:t>
            </w:r>
            <w:r>
              <w:rPr>
                <w:rFonts w:ascii="Consolas" w:hAnsi="Consolas"/>
                <w:sz w:val="18"/>
              </w:rPr>
              <w:t>DEFAULT_CONSENT_NOTICE</w:t>
            </w:r>
            <w:r>
              <w:rPr>
                <w:sz w:val="18"/>
              </w:rPr>
              <w:t xml:space="preserve">, </w:t>
            </w:r>
            <w:r>
              <w:rPr>
                <w:rFonts w:ascii="Consolas" w:hAnsi="Consolas"/>
                <w:sz w:val="18"/>
              </w:rPr>
              <w:t>consent_notice()</w:t>
            </w:r>
            <w:r>
              <w:rPr>
                <w:sz w:val="18"/>
              </w:rPr>
              <w:t>), dapat disalin ke obrolan Zoom/Meet/Teams dari Pengaturan → Kepatuhan PDP</w:t>
            </w:r>
          </w:p>
        </w:tc>
        <w:tc>
          <w:tcPr>
            <w:tcW w:type="dxa" w:w="2160"/>
          </w:tcPr>
          <w:p>
            <w:pPr>
              <w:spacing w:after="40"/>
            </w:pPr>
            <w:r>
              <w:rPr>
                <w:sz w:val="18"/>
              </w:rPr>
              <w:t>Teks: Trareon · Penyampaian: instansi</w:t>
            </w:r>
          </w:p>
        </w:tc>
      </w:tr>
      <w:tr>
        <w:tc>
          <w:tcPr>
            <w:tcW w:type="dxa" w:w="2160"/>
          </w:tcPr>
          <w:p>
            <w:pPr>
              <w:spacing w:after="40"/>
            </w:pPr>
            <w:r>
              <w:rPr>
                <w:sz w:val="18"/>
              </w:rPr>
              <w:t>6</w:t>
            </w:r>
          </w:p>
        </w:tc>
        <w:tc>
          <w:tcPr>
            <w:tcW w:type="dxa" w:w="2160"/>
          </w:tcPr>
          <w:p>
            <w:pPr>
              <w:spacing w:after="40"/>
            </w:pPr>
            <w:r>
              <w:rPr>
                <w:sz w:val="18"/>
              </w:rPr>
              <w:t>Hak melengkapi/memperbarui/memperbaiki</w:t>
            </w:r>
          </w:p>
        </w:tc>
        <w:tc>
          <w:tcPr>
            <w:tcW w:type="dxa" w:w="2160"/>
          </w:tcPr>
          <w:p>
            <w:pPr>
              <w:spacing w:after="40"/>
            </w:pPr>
            <w:r>
              <w:rPr>
                <w:sz w:val="18"/>
              </w:rPr>
              <w:t xml:space="preserve">Transkrip dan notulen </w:t>
            </w:r>
            <w:r>
              <w:rPr>
                <w:b/>
                <w:sz w:val="18"/>
              </w:rPr>
              <w:t>dapat disunting penuh</w:t>
            </w:r>
            <w:r>
              <w:rPr>
                <w:sz w:val="18"/>
              </w:rPr>
              <w:t xml:space="preserve"> di aplikasi; nama pembicara dapat diubah; notulen hasil LLM selalu melewati formulir sunting sebelum diekspor</w:t>
            </w:r>
          </w:p>
        </w:tc>
        <w:tc>
          <w:tcPr>
            <w:tcW w:type="dxa" w:w="2160"/>
          </w:tcPr>
          <w:p>
            <w:pPr>
              <w:spacing w:after="40"/>
            </w:pPr>
            <w:r>
              <w:rPr>
                <w:sz w:val="18"/>
              </w:rPr>
              <w:t>Instansi</w:t>
            </w:r>
          </w:p>
        </w:tc>
      </w:tr>
      <w:tr>
        <w:tc>
          <w:tcPr>
            <w:tcW w:type="dxa" w:w="2160"/>
          </w:tcPr>
          <w:p>
            <w:pPr>
              <w:spacing w:after="40"/>
            </w:pPr>
            <w:r>
              <w:rPr>
                <w:sz w:val="18"/>
              </w:rPr>
              <w:t>7</w:t>
            </w:r>
          </w:p>
        </w:tc>
        <w:tc>
          <w:tcPr>
            <w:tcW w:type="dxa" w:w="2160"/>
          </w:tcPr>
          <w:p>
            <w:pPr>
              <w:spacing w:after="40"/>
            </w:pPr>
            <w:r>
              <w:rPr>
                <w:sz w:val="18"/>
              </w:rPr>
              <w:t>Hak memperoleh akses dan salinan</w:t>
            </w:r>
          </w:p>
        </w:tc>
        <w:tc>
          <w:tcPr>
            <w:tcW w:type="dxa" w:w="2160"/>
          </w:tcPr>
          <w:p>
            <w:pPr>
              <w:spacing w:after="40"/>
            </w:pPr>
            <w:r>
              <w:rPr>
                <w:sz w:val="18"/>
              </w:rPr>
              <w:t>Seluruh data satu rapat berada di satu direktori sesi; ekspor tersedia dalam Markdown, DOCX, PDF, dan teks</w:t>
            </w:r>
          </w:p>
        </w:tc>
        <w:tc>
          <w:tcPr>
            <w:tcW w:type="dxa" w:w="2160"/>
          </w:tcPr>
          <w:p>
            <w:pPr>
              <w:spacing w:after="40"/>
            </w:pPr>
            <w:r>
              <w:rPr>
                <w:sz w:val="18"/>
              </w:rPr>
              <w:t>Instansi</w:t>
            </w:r>
          </w:p>
        </w:tc>
      </w:tr>
      <w:tr>
        <w:tc>
          <w:tcPr>
            <w:tcW w:type="dxa" w:w="2160"/>
          </w:tcPr>
          <w:p>
            <w:pPr>
              <w:spacing w:after="40"/>
            </w:pPr>
            <w:r>
              <w:rPr>
                <w:sz w:val="18"/>
              </w:rPr>
              <w:t>8</w:t>
            </w:r>
          </w:p>
        </w:tc>
        <w:tc>
          <w:tcPr>
            <w:tcW w:type="dxa" w:w="2160"/>
          </w:tcPr>
          <w:p>
            <w:pPr>
              <w:spacing w:after="40"/>
            </w:pPr>
            <w:r>
              <w:rPr>
                <w:sz w:val="18"/>
              </w:rPr>
              <w:t>Hak mengakhiri pemrosesan, menghapus dan/atau memusnahkan</w:t>
            </w:r>
          </w:p>
        </w:tc>
        <w:tc>
          <w:tcPr>
            <w:tcW w:type="dxa" w:w="2160"/>
          </w:tcPr>
          <w:p>
            <w:pPr>
              <w:spacing w:after="40"/>
            </w:pPr>
            <w:r>
              <w:rPr>
                <w:sz w:val="18"/>
              </w:rPr>
              <w:t xml:space="preserve">Hapus sesi dari Pustaka; penghapusan terencana via kebijakan retensi (lihat §4 dan </w:t>
            </w:r>
            <w:r>
              <w:rPr>
                <w:rFonts w:ascii="Consolas" w:hAnsi="Consolas"/>
                <w:sz w:val="18"/>
              </w:rPr>
              <w:t>PROSEDUR-RETENSI-DAN-PENGHAPUSAN.md</w:t>
            </w:r>
            <w:r>
              <w:rPr>
                <w:sz w:val="18"/>
              </w:rPr>
              <w:t>)</w:t>
            </w:r>
          </w:p>
        </w:tc>
        <w:tc>
          <w:tcPr>
            <w:tcW w:type="dxa" w:w="2160"/>
          </w:tcPr>
          <w:p>
            <w:pPr>
              <w:spacing w:after="40"/>
            </w:pPr>
            <w:r>
              <w:rPr>
                <w:sz w:val="18"/>
              </w:rPr>
              <w:t>Instansi</w:t>
            </w:r>
          </w:p>
        </w:tc>
      </w:tr>
      <w:tr>
        <w:tc>
          <w:tcPr>
            <w:tcW w:type="dxa" w:w="2160"/>
          </w:tcPr>
          <w:p>
            <w:pPr>
              <w:spacing w:after="40"/>
            </w:pPr>
            <w:r>
              <w:rPr>
                <w:sz w:val="18"/>
              </w:rPr>
              <w:t>9</w:t>
            </w:r>
          </w:p>
        </w:tc>
        <w:tc>
          <w:tcPr>
            <w:tcW w:type="dxa" w:w="2160"/>
          </w:tcPr>
          <w:p>
            <w:pPr>
              <w:spacing w:after="40"/>
            </w:pPr>
            <w:r>
              <w:rPr>
                <w:sz w:val="18"/>
              </w:rPr>
              <w:t>Hak menarik persetujuan</w:t>
            </w:r>
          </w:p>
        </w:tc>
        <w:tc>
          <w:tcPr>
            <w:tcW w:type="dxa" w:w="2160"/>
          </w:tcPr>
          <w:p>
            <w:pPr>
              <w:spacing w:after="40"/>
            </w:pPr>
            <w:r>
              <w:rPr>
                <w:sz w:val="18"/>
              </w:rPr>
              <w:t>Tidak ada mekanisme persetujuan di dalam aplikasi — persetujuan dikelola instansi di luar aplikasi. Setelah ditarik, instansi menjalankan prosedur penghapusan §4</w:t>
            </w:r>
          </w:p>
        </w:tc>
        <w:tc>
          <w:tcPr>
            <w:tcW w:type="dxa" w:w="2160"/>
          </w:tcPr>
          <w:p>
            <w:pPr>
              <w:spacing w:after="40"/>
            </w:pPr>
            <w:r>
              <w:rPr>
                <w:b/>
                <w:sz w:val="18"/>
              </w:rPr>
              <w:t>Instansi</w:t>
            </w:r>
            <w:r>
              <w:rPr>
                <w:sz w:val="18"/>
              </w:rPr>
              <w:t xml:space="preserve"> (Trareon: tidak ada kendali)</w:t>
            </w:r>
          </w:p>
        </w:tc>
      </w:tr>
      <w:tr>
        <w:tc>
          <w:tcPr>
            <w:tcW w:type="dxa" w:w="2160"/>
          </w:tcPr>
          <w:p>
            <w:pPr>
              <w:spacing w:after="40"/>
            </w:pPr>
            <w:r>
              <w:rPr>
                <w:sz w:val="18"/>
              </w:rPr>
              <w:t>10</w:t>
            </w:r>
          </w:p>
        </w:tc>
        <w:tc>
          <w:tcPr>
            <w:tcW w:type="dxa" w:w="2160"/>
          </w:tcPr>
          <w:p>
            <w:pPr>
              <w:spacing w:after="40"/>
            </w:pPr>
            <w:r>
              <w:rPr>
                <w:sz w:val="18"/>
              </w:rPr>
              <w:t>Hak menolak pengambilan keputusan otomatis</w:t>
            </w:r>
          </w:p>
        </w:tc>
        <w:tc>
          <w:tcPr>
            <w:tcW w:type="dxa" w:w="2160"/>
          </w:tcPr>
          <w:p>
            <w:pPr>
              <w:spacing w:after="40"/>
            </w:pPr>
            <w:r>
              <w:rPr>
                <w:sz w:val="18"/>
              </w:rPr>
              <w:t xml:space="preserve">Trareon </w:t>
            </w:r>
            <w:r>
              <w:rPr>
                <w:b/>
                <w:sz w:val="18"/>
              </w:rPr>
              <w:t>tidak mengambil keputusan apa pun</w:t>
            </w:r>
            <w:r>
              <w:rPr>
                <w:sz w:val="18"/>
              </w:rPr>
              <w:t xml:space="preserve"> tentang orang. Keluaran LLM adalah draf dokumen yang wajib ditinjau manusia; tidak ada penskoran, pemeringkatan, atau rekomendasi tentang individu</w:t>
            </w:r>
          </w:p>
        </w:tc>
        <w:tc>
          <w:tcPr>
            <w:tcW w:type="dxa" w:w="2160"/>
          </w:tcPr>
          <w:p>
            <w:pPr>
              <w:spacing w:after="40"/>
            </w:pPr>
            <w:r>
              <w:rPr>
                <w:sz w:val="18"/>
              </w:rPr>
              <w:t>Trareon (secara desain)</w:t>
            </w:r>
          </w:p>
        </w:tc>
      </w:tr>
      <w:tr>
        <w:tc>
          <w:tcPr>
            <w:tcW w:type="dxa" w:w="2160"/>
          </w:tcPr>
          <w:p>
            <w:pPr>
              <w:spacing w:after="40"/>
            </w:pPr>
            <w:r>
              <w:rPr>
                <w:sz w:val="18"/>
              </w:rPr>
              <w:t>11</w:t>
            </w:r>
          </w:p>
        </w:tc>
        <w:tc>
          <w:tcPr>
            <w:tcW w:type="dxa" w:w="2160"/>
          </w:tcPr>
          <w:p>
            <w:pPr>
              <w:spacing w:after="40"/>
            </w:pPr>
            <w:r>
              <w:rPr>
                <w:sz w:val="18"/>
              </w:rPr>
              <w:t>Hak menunda atau membatasi pemrosesan</w:t>
            </w:r>
          </w:p>
        </w:tc>
        <w:tc>
          <w:tcPr>
            <w:tcW w:type="dxa" w:w="2160"/>
          </w:tcPr>
          <w:p>
            <w:pPr>
              <w:spacing w:after="40"/>
            </w:pPr>
            <w:r>
              <w:rPr>
                <w:sz w:val="18"/>
              </w:rPr>
              <w:t>Tidak ada status "ditangguhkan" per sesi di aplikasi. Yang tersedia: hentikan perekaman, hapus audio saja (transkrip tetap), atau hapus seluruh sesi</w:t>
            </w:r>
          </w:p>
        </w:tc>
        <w:tc>
          <w:tcPr>
            <w:tcW w:type="dxa" w:w="2160"/>
          </w:tcPr>
          <w:p>
            <w:pPr>
              <w:spacing w:after="40"/>
            </w:pPr>
            <w:r>
              <w:rPr>
                <w:b/>
                <w:sz w:val="18"/>
              </w:rPr>
              <w:t>Sebagian</w:t>
            </w:r>
            <w:r>
              <w:rPr>
                <w:sz w:val="18"/>
              </w:rPr>
              <w:t xml:space="preserve"> — lihat kesenjangan G-3 di §6</w:t>
            </w:r>
          </w:p>
        </w:tc>
      </w:tr>
      <w:tr>
        <w:tc>
          <w:tcPr>
            <w:tcW w:type="dxa" w:w="2160"/>
          </w:tcPr>
          <w:p>
            <w:pPr>
              <w:spacing w:after="40"/>
            </w:pPr>
            <w:r>
              <w:rPr>
                <w:sz w:val="18"/>
              </w:rPr>
              <w:t>12</w:t>
            </w:r>
          </w:p>
        </w:tc>
        <w:tc>
          <w:tcPr>
            <w:tcW w:type="dxa" w:w="2160"/>
          </w:tcPr>
          <w:p>
            <w:pPr>
              <w:spacing w:after="40"/>
            </w:pPr>
            <w:r>
              <w:rPr>
                <w:sz w:val="18"/>
              </w:rPr>
              <w:t>Hak menuntut dan menerima ganti kerugian</w:t>
            </w:r>
          </w:p>
        </w:tc>
        <w:tc>
          <w:tcPr>
            <w:tcW w:type="dxa" w:w="2160"/>
          </w:tcPr>
          <w:p>
            <w:pPr>
              <w:spacing w:after="40"/>
            </w:pPr>
            <w:r>
              <w:rPr>
                <w:sz w:val="18"/>
              </w:rPr>
              <w:t>Di luar lingkup perangkat lunak</w:t>
            </w:r>
          </w:p>
        </w:tc>
        <w:tc>
          <w:tcPr>
            <w:tcW w:type="dxa" w:w="2160"/>
          </w:tcPr>
          <w:p>
            <w:pPr>
              <w:spacing w:after="40"/>
            </w:pPr>
            <w:r>
              <w:rPr>
                <w:sz w:val="18"/>
              </w:rPr>
              <w:t>Instansi</w:t>
            </w:r>
          </w:p>
        </w:tc>
      </w:tr>
      <w:tr>
        <w:tc>
          <w:tcPr>
            <w:tcW w:type="dxa" w:w="2160"/>
          </w:tcPr>
          <w:p>
            <w:pPr>
              <w:spacing w:after="40"/>
            </w:pPr>
            <w:r>
              <w:rPr>
                <w:sz w:val="18"/>
              </w:rPr>
              <w:t>13</w:t>
            </w:r>
          </w:p>
        </w:tc>
        <w:tc>
          <w:tcPr>
            <w:tcW w:type="dxa" w:w="2160"/>
          </w:tcPr>
          <w:p>
            <w:pPr>
              <w:spacing w:after="40"/>
            </w:pPr>
            <w:r>
              <w:rPr>
                <w:sz w:val="18"/>
              </w:rPr>
              <w:t>Hak portabilitas dalam format yang dapat dibaca sistem lain</w:t>
            </w:r>
          </w:p>
        </w:tc>
        <w:tc>
          <w:tcPr>
            <w:tcW w:type="dxa" w:w="2160"/>
          </w:tcPr>
          <w:p>
            <w:pPr>
              <w:spacing w:after="40"/>
            </w:pPr>
            <w:r>
              <w:rPr>
                <w:sz w:val="18"/>
              </w:rPr>
              <w:t xml:space="preserve">Ekspor Markdown/DOCX/PDF; </w:t>
            </w:r>
            <w:r>
              <w:rPr>
                <w:b/>
                <w:sz w:val="18"/>
              </w:rPr>
              <w:t>sidecar metadata SRIKANDI</w:t>
            </w:r>
            <w:r>
              <w:rPr>
                <w:sz w:val="18"/>
              </w:rPr>
              <w:t xml:space="preserve"> (</w:t>
            </w:r>
            <w:r>
              <w:rPr>
                <w:rFonts w:ascii="Consolas" w:hAnsi="Consolas"/>
                <w:sz w:val="18"/>
              </w:rPr>
              <w:t>rust_core/src/srikandi.rs</w:t>
            </w:r>
            <w:r>
              <w:rPr>
                <w:sz w:val="18"/>
              </w:rPr>
              <w:t>) untuk naskah dinas elektronik</w:t>
            </w:r>
          </w:p>
        </w:tc>
        <w:tc>
          <w:tcPr>
            <w:tcW w:type="dxa" w:w="2160"/>
          </w:tcPr>
          <w:p>
            <w:pPr>
              <w:spacing w:after="40"/>
            </w:pPr>
            <w:r>
              <w:rPr>
                <w:sz w:val="18"/>
              </w:rPr>
              <w:t>Trareon menyediakan format; instansi menyerahkan</w:t>
            </w:r>
          </w:p>
        </w:tc>
      </w:tr>
      <w:tr>
        <w:tc>
          <w:tcPr>
            <w:tcW w:type="dxa" w:w="2160"/>
          </w:tcPr>
          <w:p>
            <w:pPr>
              <w:spacing w:after="40"/>
            </w:pPr>
            <w:r>
              <w:rPr>
                <w:sz w:val="18"/>
              </w:rPr>
              <w:t>14</w:t>
            </w:r>
          </w:p>
        </w:tc>
        <w:tc>
          <w:tcPr>
            <w:tcW w:type="dxa" w:w="2160"/>
          </w:tcPr>
          <w:p>
            <w:pPr>
              <w:spacing w:after="40"/>
            </w:pPr>
            <w:r>
              <w:rPr>
                <w:sz w:val="18"/>
              </w:rPr>
              <w:t>Tata cara pelaksanaan hak</w:t>
            </w:r>
          </w:p>
        </w:tc>
        <w:tc>
          <w:tcPr>
            <w:tcW w:type="dxa" w:w="2160"/>
          </w:tcPr>
          <w:p>
            <w:pPr>
              <w:spacing w:after="40"/>
            </w:pPr>
            <w:r>
              <w:rPr>
                <w:sz w:val="18"/>
              </w:rPr>
              <w:t>Di luar lingkup perangkat lunak</w:t>
            </w:r>
          </w:p>
        </w:tc>
        <w:tc>
          <w:tcPr>
            <w:tcW w:type="dxa" w:w="2160"/>
          </w:tcPr>
          <w:p>
            <w:pPr>
              <w:spacing w:after="40"/>
            </w:pPr>
            <w:r>
              <w:rPr>
                <w:sz w:val="18"/>
              </w:rPr>
              <w:t>Instansi</w:t>
            </w:r>
          </w:p>
        </w:tc>
      </w:tr>
      <w:tr>
        <w:tc>
          <w:tcPr>
            <w:tcW w:type="dxa" w:w="2160"/>
          </w:tcPr>
          <w:p>
            <w:pPr>
              <w:spacing w:after="40"/>
            </w:pPr>
            <w:r>
              <w:rPr>
                <w:sz w:val="18"/>
              </w:rPr>
              <w:t>15</w:t>
            </w:r>
          </w:p>
        </w:tc>
        <w:tc>
          <w:tcPr>
            <w:tcW w:type="dxa" w:w="2160"/>
          </w:tcPr>
          <w:p>
            <w:pPr>
              <w:spacing w:after="40"/>
            </w:pPr>
            <w:r>
              <w:rPr>
                <w:sz w:val="18"/>
              </w:rPr>
              <w:t>Pembatasan hak tertentu</w:t>
            </w:r>
          </w:p>
        </w:tc>
        <w:tc>
          <w:tcPr>
            <w:tcW w:type="dxa" w:w="2160"/>
          </w:tcPr>
          <w:p>
            <w:pPr>
              <w:spacing w:after="40"/>
            </w:pPr>
            <w:r>
              <w:rPr>
                <w:sz w:val="18"/>
              </w:rPr>
              <w:t>Di luar lingkup perangkat lunak</w:t>
            </w:r>
          </w:p>
        </w:tc>
        <w:tc>
          <w:tcPr>
            <w:tcW w:type="dxa" w:w="2160"/>
          </w:tcPr>
          <w:p>
            <w:pPr>
              <w:spacing w:after="40"/>
            </w:pPr>
            <w:r>
              <w:rPr>
                <w:sz w:val="18"/>
              </w:rPr>
              <w:t>Instansi</w:t>
            </w:r>
          </w:p>
        </w:tc>
      </w:tr>
    </w:tbl>
    <w:p>
      <w:pPr>
        <w:spacing w:after="40"/>
      </w:pPr>
    </w:p>
    <w:p>
      <w:pPr>
        <w:jc w:val="center"/>
      </w:pPr>
      <w:r>
        <w:rPr>
          <w:sz w:val="18"/>
        </w:rPr>
        <w:t>· · ·</w:t>
      </w:r>
    </w:p>
    <w:p>
      <w:pPr>
        <w:pStyle w:val="Heading2"/>
      </w:pPr>
      <w:r>
        <w:t>2. Dasar pemrosesan dan pemberitahuan (Pasal 20, 21, 22)</w:t>
      </w:r>
    </w:p>
    <w:p>
      <w:pPr>
        <w:pStyle w:val="Heading3"/>
      </w:pPr>
      <w:r>
        <w:t>Pasal 20 — dasar pemrosesan</w:t>
      </w:r>
    </w:p>
    <w:p>
      <w:r>
        <w:t>Pasal 20 ayat (2) memuat enam dasar pemrosesan: persetujuan; pelaksanaan perjanjian; pemenuhan kewajiban hukum; pelindungan kepentingan vital; pelaksanaan kewenangan/pelayanan publik/kepentingan umum; dan kepentingan sah lainnya.</w:t>
      </w:r>
    </w:p>
    <w:p>
      <w:r>
        <w:t>Untuk notulen rapat instansi, dua yang biasanya relevan:</w:t>
      </w:r>
    </w:p>
    <w:p>
      <w:pPr>
        <w:pStyle w:val="ListBullet"/>
      </w:pPr>
      <w:r>
        <w:rPr>
          <w:b/>
        </w:rPr>
        <w:t>Pasal 20 ayat (2) huruf e</w:t>
      </w:r>
      <w:r>
        <w:t xml:space="preserve"> — pelaksanaan kewenangan, pelayanan</w:t>
      </w:r>
    </w:p>
    <w:p>
      <w:r>
        <w:t>publik, atau kepentingan umum. Ini dasar yang paling lazim untuk rapat dinas: notulen adalah naskah dinas yang wajib dibuat, bukan pilihan.</w:t>
      </w:r>
    </w:p>
    <w:p>
      <w:pPr>
        <w:pStyle w:val="ListBullet"/>
      </w:pPr>
      <w:r>
        <w:rPr>
          <w:b/>
        </w:rPr>
        <w:t>Pasal 20 ayat (2) huruf a</w:t>
      </w:r>
      <w:r>
        <w:t xml:space="preserve"> — persetujuan. Relevan bila rapat</w:t>
      </w:r>
    </w:p>
    <w:p>
      <w:r>
        <w:t>melibatkan pihak luar instansi (narasumber, warga, vendor) yang tidak berada dalam hubungan kedinasan.</w:t>
      </w:r>
    </w:p>
    <w:p>
      <w:r>
        <w:rPr>
          <w:b/>
        </w:rPr>
        <w:t>Trareon tidak memilih dasar pemrosesan dan tidak bisa.</w:t>
      </w:r>
      <w:r>
        <w:t xml:space="preserve"> Instansi menetapkannya dan mencatatnya di DPIA (</w:t>
      </w:r>
      <w:r>
        <w:rPr>
          <w:rFonts w:ascii="Consolas" w:hAnsi="Consolas"/>
          <w:sz w:val="18"/>
        </w:rPr>
        <w:t>TEMPLAT-DPIA.md</w:t>
      </w:r>
      <w:r>
        <w:t xml:space="preserve"> §3). Yang disediakan Trareon adalah kendali yang membuat dasar mana pun bisa dijalankan secara wajar: pemberitahuan sebelum merekam, penyamaran saat ekspor, dan retensi terbatas.</w:t>
      </w:r>
    </w:p>
    <w:p>
      <w:pPr>
        <w:spacing w:before="120" w:after="120"/>
        <w:ind w:left="480"/>
      </w:pPr>
      <w:r>
        <w:rPr>
          <w:i/>
          <w:sz w:val="20"/>
        </w:rPr>
        <w:t xml:space="preserve">Rujukan riset internal: pilihan dasar hukum untuk pemrosesan rekaman rapat terbuka dibahas di </w:t>
      </w:r>
      <w:r>
        <w:rPr>
          <w:rFonts w:ascii="Consolas" w:hAnsi="Consolas"/>
          <w:i/>
          <w:sz w:val="20"/>
        </w:rPr>
        <w:t>trareon-sprints/OPEN-QUESTIONS-LLM-SRIKANDI-LEGAL.md</w:t>
      </w:r>
      <w:r>
        <w:rPr>
          <w:i/>
          <w:sz w:val="20"/>
        </w:rPr>
        <w:t xml:space="preserve"> §C.2, yang menyimpulkan Pasal 20 ayat (2) huruf e sebagai yang paling dapat diterapkan untuk rekaman rapat terbuka lembaga negara.</w:t>
      </w:r>
    </w:p>
    <w:p>
      <w:pPr>
        <w:pStyle w:val="Heading3"/>
      </w:pPr>
      <w:r>
        <w:t>Pasal 21 — kewajiban memberitahu sebelum memproses</w:t>
      </w:r>
    </w:p>
    <w:p>
      <w:r>
        <w:t xml:space="preserve">Pasal 21 mewajibkan pengendali memberitahukan antara lain legalitas pemrosesan, tujuan, jenis dan relevansi data, </w:t>
      </w:r>
      <w:r>
        <w:rPr>
          <w:b/>
        </w:rPr>
        <w:t>jangka waktu retensi</w:t>
      </w:r>
      <w:r>
        <w:t>, rincian informasi yang dikumpulkan, jangka waktu pemrosesan, dan hak subjek data.</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pPr>
            <w:r>
              <w:rPr>
                <w:b/>
                <w:sz w:val="18"/>
              </w:rPr>
              <w:t>Unsur Pasal 21</w:t>
            </w:r>
          </w:p>
        </w:tc>
        <w:tc>
          <w:tcPr>
            <w:tcW w:type="dxa" w:w="4320"/>
          </w:tcPr>
          <w:p>
            <w:pPr>
              <w:spacing w:after="40"/>
            </w:pPr>
            <w:r>
              <w:rPr>
                <w:b/>
                <w:sz w:val="18"/>
              </w:rPr>
              <w:t>Didukung Trareon?</w:t>
            </w:r>
          </w:p>
        </w:tc>
      </w:tr>
      <w:tr>
        <w:tc>
          <w:tcPr>
            <w:tcW w:type="dxa" w:w="4320"/>
          </w:tcPr>
          <w:p>
            <w:pPr>
              <w:spacing w:after="40"/>
            </w:pPr>
            <w:r>
              <w:rPr>
                <w:sz w:val="18"/>
              </w:rPr>
              <w:t>Legalitas dan tujuan pemrosesan</w:t>
            </w:r>
          </w:p>
        </w:tc>
        <w:tc>
          <w:tcPr>
            <w:tcW w:type="dxa" w:w="4320"/>
          </w:tcPr>
          <w:p>
            <w:pPr>
              <w:spacing w:after="40"/>
            </w:pPr>
            <w:r>
              <w:rPr>
                <w:sz w:val="18"/>
              </w:rPr>
              <w:t>Teks pemberitahuan baku menyebut tujuan ("penyusunan notulen"); legalitas harus ditambahkan instansi</w:t>
            </w:r>
          </w:p>
        </w:tc>
      </w:tr>
      <w:tr>
        <w:tc>
          <w:tcPr>
            <w:tcW w:type="dxa" w:w="4320"/>
          </w:tcPr>
          <w:p>
            <w:pPr>
              <w:spacing w:after="40"/>
            </w:pPr>
            <w:r>
              <w:rPr>
                <w:sz w:val="18"/>
              </w:rPr>
              <w:t>Jenis data</w:t>
            </w:r>
          </w:p>
        </w:tc>
        <w:tc>
          <w:tcPr>
            <w:tcW w:type="dxa" w:w="4320"/>
          </w:tcPr>
          <w:p>
            <w:pPr>
              <w:spacing w:after="40"/>
            </w:pPr>
            <w:r>
              <w:rPr>
                <w:sz w:val="18"/>
              </w:rPr>
              <w:t>Teks baku menyebut rekaman dan transkrip</w:t>
            </w:r>
          </w:p>
        </w:tc>
      </w:tr>
      <w:tr>
        <w:tc>
          <w:tcPr>
            <w:tcW w:type="dxa" w:w="4320"/>
          </w:tcPr>
          <w:p>
            <w:pPr>
              <w:spacing w:after="40"/>
            </w:pPr>
            <w:r>
              <w:rPr>
                <w:b/>
                <w:sz w:val="18"/>
              </w:rPr>
              <w:t>Jangka waktu retensi</w:t>
            </w:r>
          </w:p>
        </w:tc>
        <w:tc>
          <w:tcPr>
            <w:tcW w:type="dxa" w:w="4320"/>
          </w:tcPr>
          <w:p>
            <w:pPr>
              <w:spacing w:after="40"/>
            </w:pPr>
            <w:r>
              <w:rPr>
                <w:sz w:val="18"/>
              </w:rPr>
              <w:t xml:space="preserve">Angka diambil dari kebijakan retensi yang diatur instansi (§4); aplikasi </w:t>
            </w:r>
            <w:r>
              <w:rPr>
                <w:b/>
                <w:sz w:val="18"/>
              </w:rPr>
              <w:t>tidak</w:t>
            </w:r>
            <w:r>
              <w:rPr>
                <w:sz w:val="18"/>
              </w:rPr>
              <w:t xml:space="preserve"> otomatis menyisipkannya ke teks pemberitahuan — lihat kesenjangan G-4</w:t>
            </w:r>
          </w:p>
        </w:tc>
      </w:tr>
      <w:tr>
        <w:tc>
          <w:tcPr>
            <w:tcW w:type="dxa" w:w="4320"/>
          </w:tcPr>
          <w:p>
            <w:pPr>
              <w:spacing w:after="40"/>
            </w:pPr>
            <w:r>
              <w:rPr>
                <w:sz w:val="18"/>
              </w:rPr>
              <w:t>Ke mana data pergi</w:t>
            </w:r>
          </w:p>
        </w:tc>
        <w:tc>
          <w:tcPr>
            <w:tcW w:type="dxa" w:w="4320"/>
          </w:tcPr>
          <w:p>
            <w:pPr>
              <w:spacing w:after="40"/>
            </w:pPr>
            <w:r>
              <w:rPr>
                <w:sz w:val="18"/>
              </w:rPr>
              <w:t>Teks baku menyatakan "diproses secara lokal … tidak diunggah ke layanan pihak ketiga" — pernyataan yang dapat dibuktikan secara teknis (§5)</w:t>
            </w:r>
          </w:p>
        </w:tc>
      </w:tr>
      <w:tr>
        <w:tc>
          <w:tcPr>
            <w:tcW w:type="dxa" w:w="4320"/>
          </w:tcPr>
          <w:p>
            <w:pPr>
              <w:spacing w:after="40"/>
            </w:pPr>
            <w:r>
              <w:rPr>
                <w:sz w:val="18"/>
              </w:rPr>
              <w:t>Hak subjek data</w:t>
            </w:r>
          </w:p>
        </w:tc>
        <w:tc>
          <w:tcPr>
            <w:tcW w:type="dxa" w:w="4320"/>
          </w:tcPr>
          <w:p>
            <w:pPr>
              <w:spacing w:after="40"/>
            </w:pPr>
            <w:r>
              <w:rPr>
                <w:b/>
                <w:sz w:val="18"/>
              </w:rPr>
              <w:t>Tidak</w:t>
            </w:r>
            <w:r>
              <w:rPr>
                <w:sz w:val="18"/>
              </w:rPr>
              <w:t xml:space="preserve"> termuat di teks baku; instansi harus menambahkannya</w:t>
            </w:r>
          </w:p>
        </w:tc>
      </w:tr>
    </w:tbl>
    <w:p>
      <w:pPr>
        <w:spacing w:after="40"/>
      </w:pPr>
    </w:p>
    <w:p>
      <w:r>
        <w:t xml:space="preserve">Teks baku sengaja pendek agar benar-benar dibacakan. Instansi yang perlu pemberitahuan Pasal 21 secara lengkap </w:t>
      </w:r>
      <w:r>
        <w:rPr>
          <w:b/>
        </w:rPr>
        <w:t>wajib</w:t>
      </w:r>
      <w:r>
        <w:t xml:space="preserve"> mengganti teks itu di Pengaturan → Kepatuhan PDP → Pemberitahuan perekaman. Lampiran A </w:t>
      </w:r>
      <w:r>
        <w:rPr>
          <w:rFonts w:ascii="Consolas" w:hAnsi="Consolas"/>
          <w:sz w:val="18"/>
        </w:rPr>
        <w:t>TEMPLAT-DPIA.md</w:t>
      </w:r>
      <w:r>
        <w:t xml:space="preserve"> memuat contoh teks yang memenuhi seluruh unsur Pasal 21.</w:t>
      </w:r>
    </w:p>
    <w:p>
      <w:pPr>
        <w:pStyle w:val="Heading3"/>
      </w:pPr>
      <w:r>
        <w:t>Pasal 22 — bentuk permintaan persetujuan</w:t>
      </w:r>
    </w:p>
    <w:p>
      <w:r>
        <w:t xml:space="preserve">Tidak ada kendali Trareon. Persetujuan, bila itu dasar yang dipakai, dikumpulkan instansi di luar aplikasi. Contoh formulir persetujuan yang sudah dipakai proyek ini untuk perekaman dataset ada di </w:t>
      </w:r>
      <w:r>
        <w:rPr>
          <w:rFonts w:ascii="Consolas" w:hAnsi="Consolas"/>
          <w:sz w:val="18"/>
        </w:rPr>
        <w:t>ml/record_kit/CONSENT.md</w:t>
      </w:r>
      <w:r>
        <w:t xml:space="preserve"> dan dapat dijadikan titik awal.</w:t>
      </w:r>
    </w:p>
    <w:p>
      <w:pPr>
        <w:jc w:val="center"/>
      </w:pPr>
      <w:r>
        <w:rPr>
          <w:sz w:val="18"/>
        </w:rPr>
        <w:t>· · ·</w:t>
      </w:r>
    </w:p>
    <w:p>
      <w:pPr>
        <w:pStyle w:val="Heading2"/>
      </w:pPr>
      <w:r>
        <w:t>3. Kewajiban pengendali: ketepatan, pencatatan, keamanan (Pasal 29–39)</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spacing w:after="40"/>
            </w:pPr>
            <w:r>
              <w:rPr>
                <w:b/>
                <w:sz w:val="18"/>
              </w:rPr>
              <w:t>Pasal</w:t>
            </w:r>
          </w:p>
        </w:tc>
        <w:tc>
          <w:tcPr>
            <w:tcW w:type="dxa" w:w="2160"/>
          </w:tcPr>
          <w:p>
            <w:pPr>
              <w:spacing w:after="40"/>
            </w:pPr>
            <w:r>
              <w:rPr>
                <w:b/>
                <w:sz w:val="18"/>
              </w:rPr>
              <w:t>Kewajiban</w:t>
            </w:r>
          </w:p>
        </w:tc>
        <w:tc>
          <w:tcPr>
            <w:tcW w:type="dxa" w:w="2160"/>
          </w:tcPr>
          <w:p>
            <w:pPr>
              <w:spacing w:after="40"/>
            </w:pPr>
            <w:r>
              <w:rPr>
                <w:b/>
                <w:sz w:val="18"/>
              </w:rPr>
              <w:t>Kendali Trareon</w:t>
            </w:r>
          </w:p>
        </w:tc>
        <w:tc>
          <w:tcPr>
            <w:tcW w:type="dxa" w:w="2160"/>
          </w:tcPr>
          <w:p>
            <w:pPr>
              <w:spacing w:after="40"/>
            </w:pPr>
            <w:r>
              <w:rPr>
                <w:b/>
                <w:sz w:val="18"/>
              </w:rPr>
              <w:t>Siapa</w:t>
            </w:r>
          </w:p>
        </w:tc>
      </w:tr>
      <w:tr>
        <w:tc>
          <w:tcPr>
            <w:tcW w:type="dxa" w:w="2160"/>
          </w:tcPr>
          <w:p>
            <w:pPr>
              <w:spacing w:after="40"/>
            </w:pPr>
            <w:r>
              <w:rPr>
                <w:sz w:val="18"/>
              </w:rPr>
              <w:t>29</w:t>
            </w:r>
          </w:p>
        </w:tc>
        <w:tc>
          <w:tcPr>
            <w:tcW w:type="dxa" w:w="2160"/>
          </w:tcPr>
          <w:p>
            <w:pPr>
              <w:spacing w:after="40"/>
            </w:pPr>
            <w:r>
              <w:rPr>
                <w:sz w:val="18"/>
              </w:rPr>
              <w:t>Menjaga ketepatan, kelengkapan, dan konsistensi data</w:t>
            </w:r>
          </w:p>
        </w:tc>
        <w:tc>
          <w:tcPr>
            <w:tcW w:type="dxa" w:w="2160"/>
          </w:tcPr>
          <w:p>
            <w:pPr>
              <w:spacing w:after="40"/>
            </w:pPr>
            <w:r>
              <w:rPr>
                <w:b/>
                <w:sz w:val="18"/>
              </w:rPr>
              <w:t>Provenance</w:t>
            </w:r>
            <w:r>
              <w:rPr>
                <w:sz w:val="18"/>
              </w:rPr>
              <w:t xml:space="preserve"> (</w:t>
            </w:r>
            <w:r>
              <w:rPr>
                <w:rFonts w:ascii="Consolas" w:hAnsi="Consolas"/>
                <w:sz w:val="18"/>
              </w:rPr>
              <w:t>rust_core/src/provenance.rs</w:t>
            </w:r>
            <w:r>
              <w:rPr>
                <w:sz w:val="18"/>
              </w:rPr>
              <w:t xml:space="preserve">): setiap butir notulen tertaut ke nomor segmen transkrip. </w:t>
            </w:r>
            <w:r>
              <w:rPr>
                <w:b/>
                <w:sz w:val="18"/>
              </w:rPr>
              <w:t>Fact check</w:t>
            </w:r>
            <w:r>
              <w:rPr>
                <w:sz w:val="18"/>
              </w:rPr>
              <w:t xml:space="preserve"> (</w:t>
            </w:r>
            <w:r>
              <w:rPr>
                <w:rFonts w:ascii="Consolas" w:hAnsi="Consolas"/>
                <w:sz w:val="18"/>
              </w:rPr>
              <w:t>rust_core/src/notulen/factcheck.rs</w:t>
            </w:r>
            <w:r>
              <w:rPr>
                <w:sz w:val="18"/>
              </w:rPr>
              <w:t xml:space="preserve">): butir yang tidak didukung transkrip ditandai sebelum notulis menyetujui. </w:t>
            </w:r>
            <w:r>
              <w:rPr>
                <w:b/>
                <w:sz w:val="18"/>
              </w:rPr>
              <w:t>Pemeriksaan angka</w:t>
            </w:r>
            <w:r>
              <w:rPr>
                <w:sz w:val="18"/>
              </w:rPr>
              <w:t xml:space="preserve"> (</w:t>
            </w:r>
            <w:r>
              <w:rPr>
                <w:rFonts w:ascii="Consolas" w:hAnsi="Consolas"/>
                <w:sz w:val="18"/>
              </w:rPr>
              <w:t>rust_core/src/notulen/angka.rs</w:t>
            </w:r>
            <w:r>
              <w:rPr>
                <w:sz w:val="18"/>
              </w:rPr>
              <w:t>) untuk nilai rupiah dan persentase</w:t>
            </w:r>
          </w:p>
        </w:tc>
        <w:tc>
          <w:tcPr>
            <w:tcW w:type="dxa" w:w="2160"/>
          </w:tcPr>
          <w:p>
            <w:pPr>
              <w:spacing w:after="40"/>
            </w:pPr>
            <w:r>
              <w:rPr>
                <w:sz w:val="18"/>
              </w:rPr>
              <w:t>Trareon menyediakan alat; ketepatan akhir tanggung jawab notulis</w:t>
            </w:r>
          </w:p>
        </w:tc>
      </w:tr>
      <w:tr>
        <w:tc>
          <w:tcPr>
            <w:tcW w:type="dxa" w:w="2160"/>
          </w:tcPr>
          <w:p>
            <w:pPr>
              <w:spacing w:after="40"/>
            </w:pPr>
            <w:r>
              <w:rPr>
                <w:sz w:val="18"/>
              </w:rPr>
              <w:t>30</w:t>
            </w:r>
          </w:p>
        </w:tc>
        <w:tc>
          <w:tcPr>
            <w:tcW w:type="dxa" w:w="2160"/>
          </w:tcPr>
          <w:p>
            <w:pPr>
              <w:spacing w:after="40"/>
            </w:pPr>
            <w:r>
              <w:rPr>
                <w:sz w:val="18"/>
              </w:rPr>
              <w:t>Memperbarui/memperbaiki dalam 3x24 jam sejak permintaan</w:t>
            </w:r>
          </w:p>
        </w:tc>
        <w:tc>
          <w:tcPr>
            <w:tcW w:type="dxa" w:w="2160"/>
          </w:tcPr>
          <w:p>
            <w:pPr>
              <w:spacing w:after="40"/>
            </w:pPr>
            <w:r>
              <w:rPr>
                <w:sz w:val="18"/>
              </w:rPr>
              <w:t>Penyuntingan transkrip dan notulen tersedia seketika; pemenuhan tenggat adalah proses instansi</w:t>
            </w:r>
          </w:p>
        </w:tc>
        <w:tc>
          <w:tcPr>
            <w:tcW w:type="dxa" w:w="2160"/>
          </w:tcPr>
          <w:p>
            <w:pPr>
              <w:spacing w:after="40"/>
            </w:pPr>
            <w:r>
              <w:rPr>
                <w:sz w:val="18"/>
              </w:rPr>
              <w:t>Instansi</w:t>
            </w:r>
          </w:p>
        </w:tc>
      </w:tr>
      <w:tr>
        <w:tc>
          <w:tcPr>
            <w:tcW w:type="dxa" w:w="2160"/>
          </w:tcPr>
          <w:p>
            <w:pPr>
              <w:spacing w:after="40"/>
            </w:pPr>
            <w:r>
              <w:rPr>
                <w:sz w:val="18"/>
              </w:rPr>
              <w:t>31</w:t>
            </w:r>
          </w:p>
        </w:tc>
        <w:tc>
          <w:tcPr>
            <w:tcW w:type="dxa" w:w="2160"/>
          </w:tcPr>
          <w:p>
            <w:pPr>
              <w:spacing w:after="40"/>
            </w:pPr>
            <w:r>
              <w:rPr>
                <w:b/>
                <w:sz w:val="18"/>
              </w:rPr>
              <w:t>"Pengendali Data Pribadi wajib melakukan perekaman terhadap seluruh kegiatan pemrosesan Data Pribadi."</w:t>
            </w:r>
            <w:r>
              <w:rPr>
                <w:sz w:val="18"/>
              </w:rPr>
              <w:t xml:space="preserve"> (teks diverifikasi)</w:t>
            </w:r>
          </w:p>
        </w:tc>
        <w:tc>
          <w:tcPr>
            <w:tcW w:type="dxa" w:w="2160"/>
          </w:tcPr>
          <w:p>
            <w:pPr>
              <w:spacing w:after="40"/>
            </w:pPr>
            <w:r>
              <w:rPr>
                <w:b/>
                <w:sz w:val="18"/>
              </w:rPr>
              <w:t>Log audit append-only</w:t>
            </w:r>
            <w:r>
              <w:rPr>
                <w:sz w:val="18"/>
              </w:rPr>
              <w:t xml:space="preserve"> (</w:t>
            </w:r>
            <w:r>
              <w:rPr>
                <w:rFonts w:ascii="Consolas" w:hAnsi="Consolas"/>
                <w:sz w:val="18"/>
              </w:rPr>
              <w:t>rust_core/src/pdp/audit.rs</w:t>
            </w:r>
            <w:r>
              <w:rPr>
                <w:sz w:val="18"/>
              </w:rPr>
              <w:t xml:space="preserve">, </w:t>
            </w:r>
            <w:r>
              <w:rPr>
                <w:rFonts w:ascii="Consolas" w:hAnsi="Consolas"/>
                <w:sz w:val="18"/>
              </w:rPr>
              <w:t>audit.jsonl</w:t>
            </w:r>
            <w:r>
              <w:rPr>
                <w:sz w:val="18"/>
              </w:rPr>
              <w:t xml:space="preserve"> di direktori konfigurasi pengguna): mencatat sesi dibuat, transkrip diekspor, ringkasan dikirim ke endpoint, sesi/audio/transkrip dihapus, pemberitahuan diakui, penyamaran diterapkan, retensi dijalankan, log diekspor, model diunduh. </w:t>
            </w:r>
            <w:r>
              <w:rPr>
                <w:b/>
                <w:sz w:val="18"/>
              </w:rPr>
              <w:t>Tidak memuat isi rapat</w:t>
            </w:r>
            <w:r>
              <w:rPr>
                <w:sz w:val="18"/>
              </w:rPr>
              <w:t xml:space="preserve"> — hanya bahwa suatu tindakan terjadi dan ke mana. Dapat diekspor ke CSV</w:t>
            </w:r>
          </w:p>
        </w:tc>
        <w:tc>
          <w:tcPr>
            <w:tcW w:type="dxa" w:w="2160"/>
          </w:tcPr>
          <w:p>
            <w:pPr>
              <w:spacing w:after="40"/>
            </w:pPr>
            <w:r>
              <w:rPr>
                <w:b/>
                <w:sz w:val="18"/>
              </w:rPr>
              <w:t>Trareon memenuhi sebagian besar</w:t>
            </w:r>
            <w:r>
              <w:rPr>
                <w:sz w:val="18"/>
              </w:rPr>
              <w:t xml:space="preserve"> — lihat kesenjangan G-1 (log tidak tahan-ubah)</w:t>
            </w:r>
          </w:p>
        </w:tc>
      </w:tr>
      <w:tr>
        <w:tc>
          <w:tcPr>
            <w:tcW w:type="dxa" w:w="2160"/>
          </w:tcPr>
          <w:p>
            <w:pPr>
              <w:spacing w:after="40"/>
            </w:pPr>
            <w:r>
              <w:rPr>
                <w:sz w:val="18"/>
              </w:rPr>
              <w:t>32</w:t>
            </w:r>
          </w:p>
        </w:tc>
        <w:tc>
          <w:tcPr>
            <w:tcW w:type="dxa" w:w="2160"/>
          </w:tcPr>
          <w:p>
            <w:pPr>
              <w:spacing w:after="40"/>
            </w:pPr>
            <w:r>
              <w:rPr>
                <w:sz w:val="18"/>
              </w:rPr>
              <w:t>Memberikan akses dalam 3x24 jam</w:t>
            </w:r>
          </w:p>
        </w:tc>
        <w:tc>
          <w:tcPr>
            <w:tcW w:type="dxa" w:w="2160"/>
          </w:tcPr>
          <w:p>
            <w:pPr>
              <w:spacing w:after="40"/>
            </w:pPr>
            <w:r>
              <w:rPr>
                <w:sz w:val="18"/>
              </w:rPr>
              <w:t>Data satu rapat ada di satu direktori; ekspor seketika</w:t>
            </w:r>
          </w:p>
        </w:tc>
        <w:tc>
          <w:tcPr>
            <w:tcW w:type="dxa" w:w="2160"/>
          </w:tcPr>
          <w:p>
            <w:pPr>
              <w:spacing w:after="40"/>
            </w:pPr>
            <w:r>
              <w:rPr>
                <w:sz w:val="18"/>
              </w:rPr>
              <w:t>Instansi</w:t>
            </w:r>
          </w:p>
        </w:tc>
      </w:tr>
      <w:tr>
        <w:tc>
          <w:tcPr>
            <w:tcW w:type="dxa" w:w="2160"/>
          </w:tcPr>
          <w:p>
            <w:pPr>
              <w:spacing w:after="40"/>
            </w:pPr>
            <w:r>
              <w:rPr>
                <w:sz w:val="18"/>
              </w:rPr>
              <w:t>33</w:t>
            </w:r>
          </w:p>
        </w:tc>
        <w:tc>
          <w:tcPr>
            <w:tcW w:type="dxa" w:w="2160"/>
          </w:tcPr>
          <w:p>
            <w:pPr>
              <w:spacing w:after="40"/>
            </w:pPr>
            <w:r>
              <w:rPr>
                <w:sz w:val="18"/>
              </w:rPr>
              <w:t>Alasan penolakan akses</w:t>
            </w:r>
          </w:p>
        </w:tc>
        <w:tc>
          <w:tcPr>
            <w:tcW w:type="dxa" w:w="2160"/>
          </w:tcPr>
          <w:p>
            <w:pPr>
              <w:spacing w:after="40"/>
            </w:pPr>
            <w:r>
              <w:rPr>
                <w:sz w:val="18"/>
              </w:rPr>
              <w:t>Di luar lingkup</w:t>
            </w:r>
          </w:p>
        </w:tc>
        <w:tc>
          <w:tcPr>
            <w:tcW w:type="dxa" w:w="2160"/>
          </w:tcPr>
          <w:p>
            <w:pPr>
              <w:spacing w:after="40"/>
            </w:pPr>
            <w:r>
              <w:rPr>
                <w:sz w:val="18"/>
              </w:rPr>
              <w:t>Instansi</w:t>
            </w:r>
          </w:p>
        </w:tc>
      </w:tr>
      <w:tr>
        <w:tc>
          <w:tcPr>
            <w:tcW w:type="dxa" w:w="2160"/>
          </w:tcPr>
          <w:p>
            <w:pPr>
              <w:spacing w:after="40"/>
            </w:pPr>
            <w:r>
              <w:rPr>
                <w:sz w:val="18"/>
              </w:rPr>
              <w:t>34</w:t>
            </w:r>
          </w:p>
        </w:tc>
        <w:tc>
          <w:tcPr>
            <w:tcW w:type="dxa" w:w="2160"/>
          </w:tcPr>
          <w:p>
            <w:pPr>
              <w:spacing w:after="40"/>
            </w:pPr>
            <w:r>
              <w:rPr>
                <w:b/>
                <w:sz w:val="18"/>
              </w:rPr>
              <w:t>Penilaian dampak</w:t>
            </w:r>
            <w:r>
              <w:rPr>
                <w:sz w:val="18"/>
              </w:rPr>
              <w:t xml:space="preserve"> untuk pemrosesan berisiko tinggi (teks diverifikasi; pemicu: keputusan otomatis berakibat hukum, data pribadi spesifik, skala besar, evaluasi/penskoran/pemantauan sistematis)</w:t>
            </w:r>
          </w:p>
        </w:tc>
        <w:tc>
          <w:tcPr>
            <w:tcW w:type="dxa" w:w="2160"/>
          </w:tcPr>
          <w:p>
            <w:pPr>
              <w:spacing w:after="40"/>
            </w:pPr>
            <w:r>
              <w:rPr>
                <w:rFonts w:ascii="Consolas" w:hAnsi="Consolas"/>
                <w:sz w:val="18"/>
              </w:rPr>
              <w:t>TEMPLAT-DPIA.md</w:t>
            </w:r>
            <w:r>
              <w:rPr>
                <w:sz w:val="18"/>
              </w:rPr>
              <w:t xml:space="preserve"> — templat yang sudah terisi bagian teknisnya untuk diselesaikan instansi</w:t>
            </w:r>
          </w:p>
        </w:tc>
        <w:tc>
          <w:tcPr>
            <w:tcW w:type="dxa" w:w="2160"/>
          </w:tcPr>
          <w:p>
            <w:pPr>
              <w:spacing w:after="40"/>
            </w:pPr>
            <w:r>
              <w:rPr>
                <w:sz w:val="18"/>
              </w:rPr>
              <w:t>Instansi mengisi; Trareon menyediakan templat dan fakta teknisnya</w:t>
            </w:r>
          </w:p>
        </w:tc>
      </w:tr>
      <w:tr>
        <w:tc>
          <w:tcPr>
            <w:tcW w:type="dxa" w:w="2160"/>
          </w:tcPr>
          <w:p>
            <w:pPr>
              <w:spacing w:after="40"/>
            </w:pPr>
            <w:r>
              <w:rPr>
                <w:sz w:val="18"/>
              </w:rPr>
              <w:t>35</w:t>
            </w:r>
          </w:p>
        </w:tc>
        <w:tc>
          <w:tcPr>
            <w:tcW w:type="dxa" w:w="2160"/>
          </w:tcPr>
          <w:p>
            <w:pPr>
              <w:spacing w:after="40"/>
            </w:pPr>
            <w:r>
              <w:rPr>
                <w:sz w:val="18"/>
              </w:rPr>
              <w:t>Langkah teknis dan operasional pengamanan</w:t>
            </w:r>
          </w:p>
        </w:tc>
        <w:tc>
          <w:tcPr>
            <w:tcW w:type="dxa" w:w="2160"/>
          </w:tcPr>
          <w:p>
            <w:pPr>
              <w:spacing w:after="40"/>
            </w:pPr>
            <w:r>
              <w:rPr>
                <w:sz w:val="18"/>
              </w:rPr>
              <w:t>Lihat tabel §3.1</w:t>
            </w:r>
          </w:p>
        </w:tc>
        <w:tc>
          <w:tcPr>
            <w:tcW w:type="dxa" w:w="2160"/>
          </w:tcPr>
          <w:p>
            <w:pPr>
              <w:spacing w:after="40"/>
            </w:pPr>
            <w:r>
              <w:rPr>
                <w:sz w:val="18"/>
              </w:rPr>
              <w:t>Terbagi</w:t>
            </w:r>
          </w:p>
        </w:tc>
      </w:tr>
      <w:tr>
        <w:tc>
          <w:tcPr>
            <w:tcW w:type="dxa" w:w="2160"/>
          </w:tcPr>
          <w:p>
            <w:pPr>
              <w:spacing w:after="40"/>
            </w:pPr>
            <w:r>
              <w:rPr>
                <w:sz w:val="18"/>
              </w:rPr>
              <w:t>36</w:t>
            </w:r>
          </w:p>
        </w:tc>
        <w:tc>
          <w:tcPr>
            <w:tcW w:type="dxa" w:w="2160"/>
          </w:tcPr>
          <w:p>
            <w:pPr>
              <w:spacing w:after="40"/>
            </w:pPr>
            <w:r>
              <w:rPr>
                <w:sz w:val="18"/>
              </w:rPr>
              <w:t>Menjaga kerahasiaan</w:t>
            </w:r>
          </w:p>
        </w:tc>
        <w:tc>
          <w:tcPr>
            <w:tcW w:type="dxa" w:w="2160"/>
          </w:tcPr>
          <w:p>
            <w:pPr>
              <w:spacing w:after="40"/>
            </w:pPr>
            <w:r>
              <w:rPr>
                <w:sz w:val="18"/>
              </w:rPr>
              <w:t xml:space="preserve">Tidak ada akun, tidak ada berbagi, tidak ada unggahan pada konfigurasi baku; data berada di direktori konfigurasi per-pengguna, bukan </w:t>
            </w:r>
            <w:r>
              <w:rPr>
                <w:rFonts w:ascii="Consolas" w:hAnsi="Consolas"/>
                <w:sz w:val="18"/>
              </w:rPr>
              <w:t>/tmp</w:t>
            </w:r>
            <w:r>
              <w:rPr>
                <w:sz w:val="18"/>
              </w:rPr>
              <w:t xml:space="preserve"> (</w:t>
            </w:r>
            <w:r>
              <w:rPr>
                <w:rFonts w:ascii="Consolas" w:hAnsi="Consolas"/>
                <w:sz w:val="18"/>
              </w:rPr>
              <w:t>rust_core/src/session.rs:1113</w:t>
            </w:r>
            <w:r>
              <w:rPr>
                <w:sz w:val="18"/>
              </w:rPr>
              <w:t>)</w:t>
            </w:r>
          </w:p>
        </w:tc>
        <w:tc>
          <w:tcPr>
            <w:tcW w:type="dxa" w:w="2160"/>
          </w:tcPr>
          <w:p>
            <w:pPr>
              <w:spacing w:after="40"/>
            </w:pPr>
            <w:r>
              <w:rPr>
                <w:sz w:val="18"/>
              </w:rPr>
              <w:t>Terbagi</w:t>
            </w:r>
          </w:p>
        </w:tc>
      </w:tr>
      <w:tr>
        <w:tc>
          <w:tcPr>
            <w:tcW w:type="dxa" w:w="2160"/>
          </w:tcPr>
          <w:p>
            <w:pPr>
              <w:spacing w:after="40"/>
            </w:pPr>
            <w:r>
              <w:rPr>
                <w:sz w:val="18"/>
              </w:rPr>
              <w:t>37</w:t>
            </w:r>
          </w:p>
        </w:tc>
        <w:tc>
          <w:tcPr>
            <w:tcW w:type="dxa" w:w="2160"/>
          </w:tcPr>
          <w:p>
            <w:pPr>
              <w:spacing w:after="40"/>
            </w:pPr>
            <w:r>
              <w:rPr>
                <w:sz w:val="18"/>
              </w:rPr>
              <w:t>Mengawasi pihak yang terlibat pemrosesan</w:t>
            </w:r>
          </w:p>
        </w:tc>
        <w:tc>
          <w:tcPr>
            <w:tcW w:type="dxa" w:w="2160"/>
          </w:tcPr>
          <w:p>
            <w:pPr>
              <w:spacing w:after="40"/>
            </w:pPr>
            <w:r>
              <w:rPr>
                <w:sz w:val="18"/>
              </w:rPr>
              <w:t>Satu pengguna, satu perangkat; tidak ada pihak lain yang terlibat</w:t>
            </w:r>
          </w:p>
        </w:tc>
        <w:tc>
          <w:tcPr>
            <w:tcW w:type="dxa" w:w="2160"/>
          </w:tcPr>
          <w:p>
            <w:pPr>
              <w:spacing w:after="40"/>
            </w:pPr>
            <w:r>
              <w:rPr>
                <w:sz w:val="18"/>
              </w:rPr>
              <w:t>Instansi</w:t>
            </w:r>
          </w:p>
        </w:tc>
      </w:tr>
      <w:tr>
        <w:tc>
          <w:tcPr>
            <w:tcW w:type="dxa" w:w="2160"/>
          </w:tcPr>
          <w:p>
            <w:pPr>
              <w:spacing w:after="40"/>
            </w:pPr>
            <w:r>
              <w:rPr>
                <w:sz w:val="18"/>
              </w:rPr>
              <w:t>38</w:t>
            </w:r>
          </w:p>
        </w:tc>
        <w:tc>
          <w:tcPr>
            <w:tcW w:type="dxa" w:w="2160"/>
          </w:tcPr>
          <w:p>
            <w:pPr>
              <w:spacing w:after="40"/>
            </w:pPr>
            <w:r>
              <w:rPr>
                <w:sz w:val="18"/>
              </w:rPr>
              <w:t>Melindungi dari pemrosesan yang tidak sah</w:t>
            </w:r>
          </w:p>
        </w:tc>
        <w:tc>
          <w:tcPr>
            <w:tcW w:type="dxa" w:w="2160"/>
          </w:tcPr>
          <w:p>
            <w:pPr>
              <w:spacing w:after="40"/>
            </w:pPr>
            <w:r>
              <w:rPr>
                <w:sz w:val="18"/>
              </w:rPr>
              <w:t>Lihat §5 (bukti luring)</w:t>
            </w:r>
          </w:p>
        </w:tc>
        <w:tc>
          <w:tcPr>
            <w:tcW w:type="dxa" w:w="2160"/>
          </w:tcPr>
          <w:p>
            <w:pPr>
              <w:spacing w:after="40"/>
            </w:pPr>
            <w:r>
              <w:rPr>
                <w:sz w:val="18"/>
              </w:rPr>
              <w:t>Trareon</w:t>
            </w:r>
          </w:p>
        </w:tc>
      </w:tr>
      <w:tr>
        <w:tc>
          <w:tcPr>
            <w:tcW w:type="dxa" w:w="2160"/>
          </w:tcPr>
          <w:p>
            <w:pPr>
              <w:spacing w:after="40"/>
            </w:pPr>
            <w:r>
              <w:rPr>
                <w:sz w:val="18"/>
              </w:rPr>
              <w:t>39</w:t>
            </w:r>
          </w:p>
        </w:tc>
        <w:tc>
          <w:tcPr>
            <w:tcW w:type="dxa" w:w="2160"/>
          </w:tcPr>
          <w:p>
            <w:pPr>
              <w:spacing w:after="40"/>
            </w:pPr>
            <w:r>
              <w:rPr>
                <w:sz w:val="18"/>
              </w:rPr>
              <w:t>Mencegah akses tidak sah dengan sistem keamanan</w:t>
            </w:r>
          </w:p>
        </w:tc>
        <w:tc>
          <w:tcPr>
            <w:tcW w:type="dxa" w:w="2160"/>
          </w:tcPr>
          <w:p>
            <w:pPr>
              <w:spacing w:after="40"/>
            </w:pPr>
            <w:r>
              <w:rPr>
                <w:b/>
                <w:sz w:val="18"/>
              </w:rPr>
              <w:t>Kesenjangan nyata</w:t>
            </w:r>
            <w:r>
              <w:rPr>
                <w:sz w:val="18"/>
              </w:rPr>
              <w:t xml:space="preserve"> — Trareon tidak memiliki enkripsi penyimpanan maupun autentikasi tingkat aplikasi. Lihat kesenjangan G-2 dan kewajiban instansi K-1</w:t>
            </w:r>
          </w:p>
        </w:tc>
        <w:tc>
          <w:tcPr>
            <w:tcW w:type="dxa" w:w="2160"/>
          </w:tcPr>
          <w:p>
            <w:pPr>
              <w:spacing w:after="40"/>
            </w:pPr>
            <w:r>
              <w:rPr>
                <w:b/>
                <w:sz w:val="18"/>
              </w:rPr>
              <w:t>Instansi</w:t>
            </w:r>
          </w:p>
        </w:tc>
      </w:tr>
    </w:tbl>
    <w:p>
      <w:pPr>
        <w:spacing w:after="40"/>
      </w:pPr>
    </w:p>
    <w:p>
      <w:pPr>
        <w:pStyle w:val="Heading3"/>
      </w:pPr>
      <w:r>
        <w:t>3.1 Langkah pengamanan (Pasal 35, 39) secara rinci</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pPr>
            <w:r>
              <w:rPr>
                <w:b/>
                <w:sz w:val="18"/>
              </w:rPr>
              <w:t>Langkah</w:t>
            </w:r>
          </w:p>
        </w:tc>
        <w:tc>
          <w:tcPr>
            <w:tcW w:type="dxa" w:w="2880"/>
          </w:tcPr>
          <w:p>
            <w:pPr>
              <w:spacing w:after="40"/>
            </w:pPr>
            <w:r>
              <w:rPr>
                <w:b/>
                <w:sz w:val="18"/>
              </w:rPr>
              <w:t>Ada di Trareon</w:t>
            </w:r>
          </w:p>
        </w:tc>
        <w:tc>
          <w:tcPr>
            <w:tcW w:type="dxa" w:w="2880"/>
          </w:tcPr>
          <w:p>
            <w:pPr>
              <w:spacing w:after="40"/>
            </w:pPr>
            <w:r>
              <w:rPr>
                <w:b/>
                <w:sz w:val="18"/>
              </w:rPr>
              <w:t>Catatan</w:t>
            </w:r>
          </w:p>
        </w:tc>
      </w:tr>
      <w:tr>
        <w:tc>
          <w:tcPr>
            <w:tcW w:type="dxa" w:w="2880"/>
          </w:tcPr>
          <w:p>
            <w:pPr>
              <w:spacing w:after="40"/>
            </w:pPr>
            <w:r>
              <w:rPr>
                <w:sz w:val="18"/>
              </w:rPr>
              <w:t>Data tidak keluar perangkat saat transkripsi</w:t>
            </w:r>
          </w:p>
        </w:tc>
        <w:tc>
          <w:tcPr>
            <w:tcW w:type="dxa" w:w="2880"/>
          </w:tcPr>
          <w:p>
            <w:pPr>
              <w:spacing w:after="40"/>
            </w:pPr>
            <w:r>
              <w:rPr>
                <w:b/>
                <w:sz w:val="18"/>
              </w:rPr>
              <w:t>Ya, diuji otomatis</w:t>
            </w:r>
          </w:p>
        </w:tc>
        <w:tc>
          <w:tcPr>
            <w:tcW w:type="dxa" w:w="2880"/>
          </w:tcPr>
          <w:p>
            <w:pPr>
              <w:spacing w:after="40"/>
            </w:pPr>
            <w:r>
              <w:rPr>
                <w:rFonts w:ascii="Consolas" w:hAnsi="Consolas"/>
                <w:sz w:val="18"/>
              </w:rPr>
              <w:t>rust_core/src/privacy.rs::transcribe_path_no_network_calls</w:t>
            </w:r>
          </w:p>
        </w:tc>
      </w:tr>
      <w:tr>
        <w:tc>
          <w:tcPr>
            <w:tcW w:type="dxa" w:w="2880"/>
          </w:tcPr>
          <w:p>
            <w:pPr>
              <w:spacing w:after="40"/>
            </w:pPr>
            <w:r>
              <w:rPr>
                <w:sz w:val="18"/>
              </w:rPr>
              <w:t>Minimisasi saat pengungkapan</w:t>
            </w:r>
          </w:p>
        </w:tc>
        <w:tc>
          <w:tcPr>
            <w:tcW w:type="dxa" w:w="2880"/>
          </w:tcPr>
          <w:p>
            <w:pPr>
              <w:spacing w:after="40"/>
            </w:pPr>
            <w:r>
              <w:rPr>
                <w:b/>
                <w:sz w:val="18"/>
              </w:rPr>
              <w:t>Ya</w:t>
            </w:r>
          </w:p>
        </w:tc>
        <w:tc>
          <w:tcPr>
            <w:tcW w:type="dxa" w:w="2880"/>
          </w:tcPr>
          <w:p>
            <w:pPr>
              <w:spacing w:after="40"/>
            </w:pPr>
            <w:r>
              <w:rPr>
                <w:sz w:val="18"/>
              </w:rPr>
              <w:t>Penyamaran NIK, NPWP, telepon, email, nomor rekening, nama pilihan — hanya pada salinan ekspor</w:t>
            </w:r>
          </w:p>
        </w:tc>
      </w:tr>
      <w:tr>
        <w:tc>
          <w:tcPr>
            <w:tcW w:type="dxa" w:w="2880"/>
          </w:tcPr>
          <w:p>
            <w:pPr>
              <w:spacing w:after="40"/>
            </w:pPr>
            <w:r>
              <w:rPr>
                <w:sz w:val="18"/>
              </w:rPr>
              <w:t>Pembatasan penyimpanan</w:t>
            </w:r>
          </w:p>
        </w:tc>
        <w:tc>
          <w:tcPr>
            <w:tcW w:type="dxa" w:w="2880"/>
          </w:tcPr>
          <w:p>
            <w:pPr>
              <w:spacing w:after="40"/>
            </w:pPr>
            <w:r>
              <w:rPr>
                <w:b/>
                <w:sz w:val="18"/>
              </w:rPr>
              <w:t>Ya, manual</w:t>
            </w:r>
          </w:p>
        </w:tc>
        <w:tc>
          <w:tcPr>
            <w:tcW w:type="dxa" w:w="2880"/>
          </w:tcPr>
          <w:p>
            <w:pPr>
              <w:spacing w:after="40"/>
            </w:pPr>
            <w:r>
              <w:rPr>
                <w:sz w:val="18"/>
              </w:rPr>
              <w:t>Kebijakan retensi dengan jam terpisah untuk audio dan transkrip</w:t>
            </w:r>
          </w:p>
        </w:tc>
      </w:tr>
      <w:tr>
        <w:tc>
          <w:tcPr>
            <w:tcW w:type="dxa" w:w="2880"/>
          </w:tcPr>
          <w:p>
            <w:pPr>
              <w:spacing w:after="40"/>
            </w:pPr>
            <w:r>
              <w:rPr>
                <w:sz w:val="18"/>
              </w:rPr>
              <w:t>Pencatatan aktivitas</w:t>
            </w:r>
          </w:p>
        </w:tc>
        <w:tc>
          <w:tcPr>
            <w:tcW w:type="dxa" w:w="2880"/>
          </w:tcPr>
          <w:p>
            <w:pPr>
              <w:spacing w:after="40"/>
            </w:pPr>
            <w:r>
              <w:rPr>
                <w:b/>
                <w:sz w:val="18"/>
              </w:rPr>
              <w:t>Ya</w:t>
            </w:r>
          </w:p>
        </w:tc>
        <w:tc>
          <w:tcPr>
            <w:tcW w:type="dxa" w:w="2880"/>
          </w:tcPr>
          <w:p>
            <w:pPr>
              <w:spacing w:after="40"/>
            </w:pPr>
            <w:r>
              <w:rPr>
                <w:rFonts w:ascii="Consolas" w:hAnsi="Consolas"/>
                <w:sz w:val="18"/>
              </w:rPr>
              <w:t>audit.jsonl</w:t>
            </w:r>
          </w:p>
        </w:tc>
      </w:tr>
      <w:tr>
        <w:tc>
          <w:tcPr>
            <w:tcW w:type="dxa" w:w="2880"/>
          </w:tcPr>
          <w:p>
            <w:pPr>
              <w:spacing w:after="40"/>
            </w:pPr>
            <w:r>
              <w:rPr>
                <w:sz w:val="18"/>
              </w:rPr>
              <w:t>Penulisan berkas atomik (temp + rename)</w:t>
            </w:r>
          </w:p>
        </w:tc>
        <w:tc>
          <w:tcPr>
            <w:tcW w:type="dxa" w:w="2880"/>
          </w:tcPr>
          <w:p>
            <w:pPr>
              <w:spacing w:after="40"/>
            </w:pPr>
            <w:r>
              <w:rPr>
                <w:b/>
                <w:sz w:val="18"/>
              </w:rPr>
              <w:t>Ya</w:t>
            </w:r>
          </w:p>
        </w:tc>
        <w:tc>
          <w:tcPr>
            <w:tcW w:type="dxa" w:w="2880"/>
          </w:tcPr>
          <w:p>
            <w:pPr>
              <w:spacing w:after="40"/>
            </w:pPr>
            <w:r>
              <w:rPr>
                <w:sz w:val="18"/>
              </w:rPr>
              <w:t>Mencegah berkas setengah tertulis saat daya mati</w:t>
            </w:r>
          </w:p>
        </w:tc>
      </w:tr>
      <w:tr>
        <w:tc>
          <w:tcPr>
            <w:tcW w:type="dxa" w:w="2880"/>
          </w:tcPr>
          <w:p>
            <w:pPr>
              <w:spacing w:after="40"/>
            </w:pPr>
            <w:r>
              <w:rPr>
                <w:sz w:val="18"/>
              </w:rPr>
              <w:t>Isolasi per-pengguna OS</w:t>
            </w:r>
          </w:p>
        </w:tc>
        <w:tc>
          <w:tcPr>
            <w:tcW w:type="dxa" w:w="2880"/>
          </w:tcPr>
          <w:p>
            <w:pPr>
              <w:spacing w:after="40"/>
            </w:pPr>
            <w:r>
              <w:rPr>
                <w:b/>
                <w:sz w:val="18"/>
              </w:rPr>
              <w:t>Ya</w:t>
            </w:r>
          </w:p>
        </w:tc>
        <w:tc>
          <w:tcPr>
            <w:tcW w:type="dxa" w:w="2880"/>
          </w:tcPr>
          <w:p>
            <w:pPr>
              <w:spacing w:after="40"/>
            </w:pPr>
            <w:r>
              <w:rPr>
                <w:sz w:val="18"/>
              </w:rPr>
              <w:t>Direktori konfigurasi pengguna</w:t>
            </w:r>
          </w:p>
        </w:tc>
      </w:tr>
      <w:tr>
        <w:tc>
          <w:tcPr>
            <w:tcW w:type="dxa" w:w="2880"/>
          </w:tcPr>
          <w:p>
            <w:pPr>
              <w:spacing w:after="40"/>
            </w:pPr>
            <w:r>
              <w:rPr>
                <w:b/>
                <w:sz w:val="18"/>
              </w:rPr>
              <w:t>Enkripsi saat disimpan</w:t>
            </w:r>
          </w:p>
        </w:tc>
        <w:tc>
          <w:tcPr>
            <w:tcW w:type="dxa" w:w="2880"/>
          </w:tcPr>
          <w:p>
            <w:pPr>
              <w:spacing w:after="40"/>
            </w:pPr>
            <w:r>
              <w:rPr>
                <w:b/>
                <w:sz w:val="18"/>
              </w:rPr>
              <w:t>Tidak</w:t>
            </w:r>
          </w:p>
        </w:tc>
        <w:tc>
          <w:tcPr>
            <w:tcW w:type="dxa" w:w="2880"/>
          </w:tcPr>
          <w:p>
            <w:pPr>
              <w:spacing w:after="40"/>
            </w:pPr>
            <w:r>
              <w:rPr>
                <w:sz w:val="18"/>
              </w:rPr>
              <w:t xml:space="preserve">Tidak ada enkripsi tingkat aplikasi. Bergantung pada LUKS/BitLocker/FileVault — </w:t>
            </w:r>
            <w:r>
              <w:rPr>
                <w:b/>
                <w:sz w:val="18"/>
              </w:rPr>
              <w:t>wajib</w:t>
            </w:r>
            <w:r>
              <w:rPr>
                <w:sz w:val="18"/>
              </w:rPr>
              <w:t xml:space="preserve"> diaktifkan instansi</w:t>
            </w:r>
          </w:p>
        </w:tc>
      </w:tr>
      <w:tr>
        <w:tc>
          <w:tcPr>
            <w:tcW w:type="dxa" w:w="2880"/>
          </w:tcPr>
          <w:p>
            <w:pPr>
              <w:spacing w:after="40"/>
            </w:pPr>
            <w:r>
              <w:rPr>
                <w:b/>
                <w:sz w:val="18"/>
              </w:rPr>
              <w:t>Autentikasi tingkat aplikasi</w:t>
            </w:r>
          </w:p>
        </w:tc>
        <w:tc>
          <w:tcPr>
            <w:tcW w:type="dxa" w:w="2880"/>
          </w:tcPr>
          <w:p>
            <w:pPr>
              <w:spacing w:after="40"/>
            </w:pPr>
            <w:r>
              <w:rPr>
                <w:b/>
                <w:sz w:val="18"/>
              </w:rPr>
              <w:t>Tidak</w:t>
            </w:r>
          </w:p>
        </w:tc>
        <w:tc>
          <w:tcPr>
            <w:tcW w:type="dxa" w:w="2880"/>
          </w:tcPr>
          <w:p>
            <w:pPr>
              <w:spacing w:after="40"/>
            </w:pPr>
            <w:r>
              <w:rPr>
                <w:sz w:val="18"/>
              </w:rPr>
              <w:t>Siapa pun yang membuka sesi OS pengguna dapat membuka Trareon. Batas keamanannya adalah akun OS</w:t>
            </w:r>
          </w:p>
        </w:tc>
      </w:tr>
      <w:tr>
        <w:tc>
          <w:tcPr>
            <w:tcW w:type="dxa" w:w="2880"/>
          </w:tcPr>
          <w:p>
            <w:pPr>
              <w:spacing w:after="40"/>
            </w:pPr>
            <w:r>
              <w:rPr>
                <w:sz w:val="18"/>
              </w:rPr>
              <w:t>Kendali akses berbasis peran</w:t>
            </w:r>
          </w:p>
        </w:tc>
        <w:tc>
          <w:tcPr>
            <w:tcW w:type="dxa" w:w="2880"/>
          </w:tcPr>
          <w:p>
            <w:pPr>
              <w:spacing w:after="40"/>
            </w:pPr>
            <w:r>
              <w:rPr>
                <w:b/>
                <w:sz w:val="18"/>
              </w:rPr>
              <w:t>Tidak</w:t>
            </w:r>
          </w:p>
        </w:tc>
        <w:tc>
          <w:tcPr>
            <w:tcW w:type="dxa" w:w="2880"/>
          </w:tcPr>
          <w:p>
            <w:pPr>
              <w:spacing w:after="40"/>
            </w:pPr>
            <w:r>
              <w:rPr>
                <w:sz w:val="18"/>
              </w:rPr>
              <w:t>Aplikasi desktop satu pengguna; tidak relevan secara arsitektur</w:t>
            </w:r>
          </w:p>
        </w:tc>
      </w:tr>
      <w:tr>
        <w:tc>
          <w:tcPr>
            <w:tcW w:type="dxa" w:w="2880"/>
          </w:tcPr>
          <w:p>
            <w:pPr>
              <w:spacing w:after="40"/>
            </w:pPr>
            <w:r>
              <w:rPr>
                <w:sz w:val="18"/>
              </w:rPr>
              <w:t>Log tahan-ubah (hash chain/tanda tangan)</w:t>
            </w:r>
          </w:p>
        </w:tc>
        <w:tc>
          <w:tcPr>
            <w:tcW w:type="dxa" w:w="2880"/>
          </w:tcPr>
          <w:p>
            <w:pPr>
              <w:spacing w:after="40"/>
            </w:pPr>
            <w:r>
              <w:rPr>
                <w:b/>
                <w:sz w:val="18"/>
              </w:rPr>
              <w:t>Tidak</w:t>
            </w:r>
          </w:p>
        </w:tc>
        <w:tc>
          <w:tcPr>
            <w:tcW w:type="dxa" w:w="2880"/>
          </w:tcPr>
          <w:p>
            <w:pPr>
              <w:spacing w:after="40"/>
            </w:pPr>
            <w:r>
              <w:rPr>
                <w:sz w:val="18"/>
              </w:rPr>
              <w:t>Lihat G-1</w:t>
            </w:r>
          </w:p>
        </w:tc>
      </w:tr>
    </w:tbl>
    <w:p>
      <w:pPr>
        <w:spacing w:after="40"/>
      </w:pPr>
    </w:p>
    <w:p>
      <w:pPr>
        <w:jc w:val="center"/>
      </w:pPr>
      <w:r>
        <w:rPr>
          <w:sz w:val="18"/>
        </w:rPr>
        <w:t>· · ·</w:t>
      </w:r>
    </w:p>
    <w:p>
      <w:pPr>
        <w:pStyle w:val="Heading2"/>
      </w:pPr>
      <w:r>
        <w:t>4. Penghentian, penghapusan, pemusnahan (Pasal 40–45)</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pPr>
            <w:r>
              <w:rPr>
                <w:b/>
                <w:sz w:val="18"/>
              </w:rPr>
              <w:t>Pasal</w:t>
            </w:r>
          </w:p>
        </w:tc>
        <w:tc>
          <w:tcPr>
            <w:tcW w:type="dxa" w:w="2880"/>
          </w:tcPr>
          <w:p>
            <w:pPr>
              <w:spacing w:after="40"/>
            </w:pPr>
            <w:r>
              <w:rPr>
                <w:b/>
                <w:sz w:val="18"/>
              </w:rPr>
              <w:t>Kewajiban</w:t>
            </w:r>
          </w:p>
        </w:tc>
        <w:tc>
          <w:tcPr>
            <w:tcW w:type="dxa" w:w="2880"/>
          </w:tcPr>
          <w:p>
            <w:pPr>
              <w:spacing w:after="40"/>
            </w:pPr>
            <w:r>
              <w:rPr>
                <w:b/>
                <w:sz w:val="18"/>
              </w:rPr>
              <w:t>Kendali Trareon</w:t>
            </w:r>
          </w:p>
        </w:tc>
      </w:tr>
      <w:tr>
        <w:tc>
          <w:tcPr>
            <w:tcW w:type="dxa" w:w="2880"/>
          </w:tcPr>
          <w:p>
            <w:pPr>
              <w:spacing w:after="40"/>
            </w:pPr>
            <w:r>
              <w:rPr>
                <w:sz w:val="18"/>
              </w:rPr>
              <w:t>40</w:t>
            </w:r>
          </w:p>
        </w:tc>
        <w:tc>
          <w:tcPr>
            <w:tcW w:type="dxa" w:w="2880"/>
          </w:tcPr>
          <w:p>
            <w:pPr>
              <w:spacing w:after="40"/>
            </w:pPr>
            <w:r>
              <w:rPr>
                <w:sz w:val="18"/>
              </w:rPr>
              <w:t>Menghentikan pemrosesan setelah persetujuan ditarik (3x24 jam)</w:t>
            </w:r>
          </w:p>
        </w:tc>
        <w:tc>
          <w:tcPr>
            <w:tcW w:type="dxa" w:w="2880"/>
          </w:tcPr>
          <w:p>
            <w:pPr>
              <w:spacing w:after="40"/>
            </w:pPr>
            <w:r>
              <w:rPr>
                <w:sz w:val="18"/>
              </w:rPr>
              <w:t>Hentikan perekaman; hapus sesi. Proses instansi</w:t>
            </w:r>
          </w:p>
        </w:tc>
      </w:tr>
      <w:tr>
        <w:tc>
          <w:tcPr>
            <w:tcW w:type="dxa" w:w="2880"/>
          </w:tcPr>
          <w:p>
            <w:pPr>
              <w:spacing w:after="40"/>
            </w:pPr>
            <w:r>
              <w:rPr>
                <w:sz w:val="18"/>
              </w:rPr>
              <w:t>41</w:t>
            </w:r>
          </w:p>
        </w:tc>
        <w:tc>
          <w:tcPr>
            <w:tcW w:type="dxa" w:w="2880"/>
          </w:tcPr>
          <w:p>
            <w:pPr>
              <w:spacing w:after="40"/>
            </w:pPr>
            <w:r>
              <w:rPr>
                <w:sz w:val="18"/>
              </w:rPr>
              <w:t>Menunda/membatasi pemrosesan (3x24 jam)</w:t>
            </w:r>
          </w:p>
        </w:tc>
        <w:tc>
          <w:tcPr>
            <w:tcW w:type="dxa" w:w="2880"/>
          </w:tcPr>
          <w:p>
            <w:pPr>
              <w:spacing w:after="40"/>
            </w:pPr>
            <w:r>
              <w:rPr>
                <w:sz w:val="18"/>
              </w:rPr>
              <w:t>Lihat kesenjangan G-3</w:t>
            </w:r>
          </w:p>
        </w:tc>
      </w:tr>
      <w:tr>
        <w:tc>
          <w:tcPr>
            <w:tcW w:type="dxa" w:w="2880"/>
          </w:tcPr>
          <w:p>
            <w:pPr>
              <w:spacing w:after="40"/>
            </w:pPr>
            <w:r>
              <w:rPr>
                <w:sz w:val="18"/>
              </w:rPr>
              <w:t>42</w:t>
            </w:r>
          </w:p>
        </w:tc>
        <w:tc>
          <w:tcPr>
            <w:tcW w:type="dxa" w:w="2880"/>
          </w:tcPr>
          <w:p>
            <w:pPr>
              <w:spacing w:after="40"/>
            </w:pPr>
            <w:r>
              <w:rPr>
                <w:sz w:val="18"/>
              </w:rPr>
              <w:t>Penghentian pemrosesan (masa retensi berakhir, tujuan tercapai, atau permintaan subjek)</w:t>
            </w:r>
          </w:p>
        </w:tc>
        <w:tc>
          <w:tcPr>
            <w:tcW w:type="dxa" w:w="2880"/>
          </w:tcPr>
          <w:p>
            <w:pPr>
              <w:spacing w:after="40"/>
            </w:pPr>
            <w:r>
              <w:rPr>
                <w:sz w:val="18"/>
              </w:rPr>
              <w:t>Kebijakan retensi menghitung sesi yang melewati batas</w:t>
            </w:r>
          </w:p>
        </w:tc>
      </w:tr>
      <w:tr>
        <w:tc>
          <w:tcPr>
            <w:tcW w:type="dxa" w:w="2880"/>
          </w:tcPr>
          <w:p>
            <w:pPr>
              <w:spacing w:after="40"/>
            </w:pPr>
            <w:r>
              <w:rPr>
                <w:sz w:val="18"/>
              </w:rPr>
              <w:t>43</w:t>
            </w:r>
          </w:p>
        </w:tc>
        <w:tc>
          <w:tcPr>
            <w:tcW w:type="dxa" w:w="2880"/>
          </w:tcPr>
          <w:p>
            <w:pPr>
              <w:spacing w:after="40"/>
            </w:pPr>
            <w:r>
              <w:rPr>
                <w:b/>
                <w:sz w:val="18"/>
              </w:rPr>
              <w:t>Penghapusan</w:t>
            </w:r>
            <w:r>
              <w:rPr>
                <w:sz w:val="18"/>
              </w:rPr>
              <w:t xml:space="preserve"> data pribadi</w:t>
            </w:r>
          </w:p>
        </w:tc>
        <w:tc>
          <w:tcPr>
            <w:tcW w:type="dxa" w:w="2880"/>
          </w:tcPr>
          <w:p>
            <w:pPr>
              <w:spacing w:after="40"/>
            </w:pPr>
            <w:r>
              <w:rPr>
                <w:rFonts w:ascii="Consolas" w:hAnsi="Consolas"/>
                <w:sz w:val="18"/>
              </w:rPr>
              <w:t>rust_core/src/pdp/retention.rs::apply</w:t>
            </w:r>
            <w:r>
              <w:rPr>
                <w:sz w:val="18"/>
              </w:rPr>
              <w:t xml:space="preserve"> menghapus berkas audio dan/atau seluruh direktori sesi, setelah pengguna melihat daftarnya dan mengonfirmasi. Dicatat ke log audit sebagai </w:t>
            </w:r>
            <w:r>
              <w:rPr>
                <w:rFonts w:ascii="Consolas" w:hAnsi="Consolas"/>
                <w:sz w:val="18"/>
              </w:rPr>
              <w:t>AudioDeleted</w:t>
            </w:r>
            <w:r>
              <w:rPr>
                <w:sz w:val="18"/>
              </w:rPr>
              <w:t xml:space="preserve"> / </w:t>
            </w:r>
            <w:r>
              <w:rPr>
                <w:rFonts w:ascii="Consolas" w:hAnsi="Consolas"/>
                <w:sz w:val="18"/>
              </w:rPr>
              <w:t>TranscriptDeleted</w:t>
            </w:r>
            <w:r>
              <w:rPr>
                <w:sz w:val="18"/>
              </w:rPr>
              <w:t xml:space="preserve"> / </w:t>
            </w:r>
            <w:r>
              <w:rPr>
                <w:rFonts w:ascii="Consolas" w:hAnsi="Consolas"/>
                <w:sz w:val="18"/>
              </w:rPr>
              <w:t>RetentionApplied</w:t>
            </w:r>
          </w:p>
        </w:tc>
      </w:tr>
      <w:tr>
        <w:tc>
          <w:tcPr>
            <w:tcW w:type="dxa" w:w="2880"/>
          </w:tcPr>
          <w:p>
            <w:pPr>
              <w:spacing w:after="40"/>
            </w:pPr>
            <w:r>
              <w:rPr>
                <w:sz w:val="18"/>
              </w:rPr>
              <w:t>44</w:t>
            </w:r>
          </w:p>
        </w:tc>
        <w:tc>
          <w:tcPr>
            <w:tcW w:type="dxa" w:w="2880"/>
          </w:tcPr>
          <w:p>
            <w:pPr>
              <w:spacing w:after="40"/>
            </w:pPr>
            <w:r>
              <w:rPr>
                <w:b/>
                <w:sz w:val="18"/>
              </w:rPr>
              <w:t>Pemusnahan</w:t>
            </w:r>
            <w:r>
              <w:rPr>
                <w:sz w:val="18"/>
              </w:rPr>
              <w:t xml:space="preserve"> data pribadi</w:t>
            </w:r>
          </w:p>
        </w:tc>
        <w:tc>
          <w:tcPr>
            <w:tcW w:type="dxa" w:w="2880"/>
          </w:tcPr>
          <w:p>
            <w:pPr>
              <w:spacing w:after="40"/>
            </w:pPr>
            <w:r>
              <w:rPr>
                <w:b/>
                <w:sz w:val="18"/>
              </w:rPr>
              <w:t>Sebagian.</w:t>
            </w:r>
            <w:r>
              <w:rPr>
                <w:sz w:val="18"/>
              </w:rPr>
              <w:t xml:space="preserve"> Trareon menghapus berkas lewat panggilan berkas OS biasa; ia </w:t>
            </w:r>
            <w:r>
              <w:rPr>
                <w:b/>
                <w:sz w:val="18"/>
              </w:rPr>
              <w:t>tidak</w:t>
            </w:r>
            <w:r>
              <w:rPr>
                <w:sz w:val="18"/>
              </w:rPr>
              <w:t xml:space="preserve"> menimpa blok disk dan tidak dapat menjangkau salinan di cadangan atau di berkas jurnal berkas-sistem. Pemusnahan yang memenuhi syarat memerlukan prosedur instansi — lihat </w:t>
            </w:r>
            <w:r>
              <w:rPr>
                <w:rFonts w:ascii="Consolas" w:hAnsi="Consolas"/>
                <w:sz w:val="18"/>
              </w:rPr>
              <w:t>PROSEDUR-RETENSI-DAN-PENGHAPUSAN.md</w:t>
            </w:r>
            <w:r>
              <w:rPr>
                <w:sz w:val="18"/>
              </w:rPr>
              <w:t xml:space="preserve"> §5</w:t>
            </w:r>
          </w:p>
        </w:tc>
      </w:tr>
      <w:tr>
        <w:tc>
          <w:tcPr>
            <w:tcW w:type="dxa" w:w="2880"/>
          </w:tcPr>
          <w:p>
            <w:pPr>
              <w:spacing w:after="40"/>
            </w:pPr>
            <w:r>
              <w:rPr>
                <w:sz w:val="18"/>
              </w:rPr>
              <w:t>45</w:t>
            </w:r>
          </w:p>
        </w:tc>
        <w:tc>
          <w:tcPr>
            <w:tcW w:type="dxa" w:w="2880"/>
          </w:tcPr>
          <w:p>
            <w:pPr>
              <w:spacing w:after="40"/>
            </w:pPr>
            <w:r>
              <w:rPr>
                <w:sz w:val="18"/>
              </w:rPr>
              <w:t>Pemberitahuan penghapusan/pemusnahan</w:t>
            </w:r>
          </w:p>
        </w:tc>
        <w:tc>
          <w:tcPr>
            <w:tcW w:type="dxa" w:w="2880"/>
          </w:tcPr>
          <w:p>
            <w:pPr>
              <w:spacing w:after="40"/>
            </w:pPr>
            <w:r>
              <w:rPr>
                <w:b/>
                <w:sz w:val="18"/>
              </w:rPr>
              <w:t>Tidak ada</w:t>
            </w:r>
            <w:r>
              <w:rPr>
                <w:sz w:val="18"/>
              </w:rPr>
              <w:t xml:space="preserve"> pemberitahuan otomatis ke subjek data. Log audit menyediakan catatan untuk dirujuk dalam pemberitahuan manual instansi</w:t>
            </w:r>
          </w:p>
        </w:tc>
      </w:tr>
    </w:tbl>
    <w:p>
      <w:pPr>
        <w:spacing w:after="40"/>
      </w:pPr>
    </w:p>
    <w:p>
      <w:r>
        <w:t xml:space="preserve">Keputusan desain yang perlu disebut: </w:t>
      </w:r>
      <w:r>
        <w:rPr>
          <w:b/>
        </w:rPr>
        <w:t>tidak ada yang dihapus secara otomatis.</w:t>
      </w:r>
      <w:r>
        <w:t xml:space="preserve"> </w:t>
      </w:r>
      <w:r>
        <w:rPr>
          <w:rFonts w:ascii="Consolas" w:hAnsi="Consolas"/>
          <w:sz w:val="18"/>
        </w:rPr>
        <w:t>retention::plan</w:t>
      </w:r>
      <w:r>
        <w:t xml:space="preserve"> murni dan tidak menghapus apa pun; </w:t>
      </w:r>
      <w:r>
        <w:rPr>
          <w:rFonts w:ascii="Consolas" w:hAnsi="Consolas"/>
          <w:sz w:val="18"/>
        </w:rPr>
        <w:t>retention::apply</w:t>
      </w:r>
      <w:r>
        <w:t xml:space="preserve"> hanya berjalan setelah pengguna melihat daftar dan menekan "Hapus sekarang". Alasannya tertulis di </w:t>
      </w:r>
      <w:r>
        <w:rPr>
          <w:rFonts w:ascii="Consolas" w:hAnsi="Consolas"/>
          <w:sz w:val="18"/>
        </w:rPr>
        <w:t>rust_core/src/pdp/retention.rs:11</w:t>
      </w:r>
      <w:r>
        <w:t xml:space="preserve"> — penghapusan otomatis yang baru diketahui pengguna setelah terjadi tidak dapat dibedakan dari kehilangan data. Konsekuensi kepatuhannya: </w:t>
      </w:r>
      <w:r>
        <w:rPr>
          <w:b/>
        </w:rPr>
        <w:t>pemenuhan masa retensi menjadi proses yang harus dijadwalkan instansi</w:t>
      </w:r>
      <w:r>
        <w:t xml:space="preserve">, bukan sesuatu yang terjadi sendiri. Prosedurnya ada di </w:t>
      </w:r>
      <w:r>
        <w:rPr>
          <w:rFonts w:ascii="Consolas" w:hAnsi="Consolas"/>
          <w:sz w:val="18"/>
        </w:rPr>
        <w:t>PROSEDUR-RETENSI-DAN-PENGHAPUSAN.md</w:t>
      </w:r>
      <w:r>
        <w:t xml:space="preserve"> §3.</w:t>
      </w:r>
    </w:p>
    <w:p>
      <w:pPr>
        <w:jc w:val="center"/>
      </w:pPr>
      <w:r>
        <w:rPr>
          <w:sz w:val="18"/>
        </w:rPr>
        <w:t>· · ·</w:t>
      </w:r>
    </w:p>
    <w:p>
      <w:pPr>
        <w:pStyle w:val="Heading2"/>
      </w:pPr>
      <w:r>
        <w:t>5. Kegagalan pelindungan dan akuntabilitas (Pasal 46, 47)</w:t>
      </w:r>
    </w:p>
    <w:p>
      <w:pPr>
        <w:pStyle w:val="Heading3"/>
      </w:pPr>
      <w:r>
        <w:t>Pasal 46 — pemberitahuan kegagalan pelindungan</w:t>
      </w:r>
    </w:p>
    <w:p>
      <w:r>
        <w:t xml:space="preserve">Teks diverifikasi: dalam hal terjadi kegagalan pelindungan data pribadi, pengendali wajib menyampaikan pemberitahuan tertulis </w:t>
      </w:r>
      <w:r>
        <w:rPr>
          <w:b/>
        </w:rPr>
        <w:t>paling lambat 3 x 24 jam</w:t>
      </w:r>
      <w:r>
        <w:t xml:space="preserve"> kepada subjek data pribadi dan lembaga, memuat sekurangnya: data pribadi yang terungkap; kapan dan bagaimana terungkap; serta upaya penanganan dan pemulihan.</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pPr>
            <w:r>
              <w:rPr>
                <w:b/>
                <w:sz w:val="18"/>
              </w:rPr>
              <w:t>Unsur</w:t>
            </w:r>
          </w:p>
        </w:tc>
        <w:tc>
          <w:tcPr>
            <w:tcW w:type="dxa" w:w="4320"/>
          </w:tcPr>
          <w:p>
            <w:pPr>
              <w:spacing w:after="40"/>
            </w:pPr>
            <w:r>
              <w:rPr>
                <w:b/>
                <w:sz w:val="18"/>
              </w:rPr>
              <w:t>Yang dapat dipasok Trareon</w:t>
            </w:r>
          </w:p>
        </w:tc>
      </w:tr>
      <w:tr>
        <w:tc>
          <w:tcPr>
            <w:tcW w:type="dxa" w:w="4320"/>
          </w:tcPr>
          <w:p>
            <w:pPr>
              <w:spacing w:after="40"/>
            </w:pPr>
            <w:r>
              <w:rPr>
                <w:sz w:val="18"/>
              </w:rPr>
              <w:t>Data pribadi apa yang terungkap</w:t>
            </w:r>
          </w:p>
        </w:tc>
        <w:tc>
          <w:tcPr>
            <w:tcW w:type="dxa" w:w="4320"/>
          </w:tcPr>
          <w:p>
            <w:pPr>
              <w:spacing w:after="40"/>
            </w:pPr>
            <w:r>
              <w:rPr>
                <w:sz w:val="18"/>
              </w:rPr>
              <w:t xml:space="preserve">Log audit menyebut sesi dan tujuan ekspor, </w:t>
            </w:r>
            <w:r>
              <w:rPr>
                <w:b/>
                <w:sz w:val="18"/>
              </w:rPr>
              <w:t>bukan isinya</w:t>
            </w:r>
            <w:r>
              <w:rPr>
                <w:sz w:val="18"/>
              </w:rPr>
              <w:t>. Isi harus ditentukan dari berkas sesi yang masih ada</w:t>
            </w:r>
          </w:p>
        </w:tc>
      </w:tr>
      <w:tr>
        <w:tc>
          <w:tcPr>
            <w:tcW w:type="dxa" w:w="4320"/>
          </w:tcPr>
          <w:p>
            <w:pPr>
              <w:spacing w:after="40"/>
            </w:pPr>
            <w:r>
              <w:rPr>
                <w:sz w:val="18"/>
              </w:rPr>
              <w:t>Kapan dan bagaimana</w:t>
            </w:r>
          </w:p>
        </w:tc>
        <w:tc>
          <w:tcPr>
            <w:tcW w:type="dxa" w:w="4320"/>
          </w:tcPr>
          <w:p>
            <w:pPr>
              <w:spacing w:after="40"/>
            </w:pPr>
            <w:r>
              <w:rPr>
                <w:sz w:val="18"/>
              </w:rPr>
              <w:t>Cap waktu log audit untuk setiap ekspor, pengiriman ke endpoint, dan penghapusan</w:t>
            </w:r>
          </w:p>
        </w:tc>
      </w:tr>
      <w:tr>
        <w:tc>
          <w:tcPr>
            <w:tcW w:type="dxa" w:w="4320"/>
          </w:tcPr>
          <w:p>
            <w:pPr>
              <w:spacing w:after="40"/>
            </w:pPr>
            <w:r>
              <w:rPr>
                <w:sz w:val="18"/>
              </w:rPr>
              <w:t>Upaya penanganan</w:t>
            </w:r>
          </w:p>
        </w:tc>
        <w:tc>
          <w:tcPr>
            <w:tcW w:type="dxa" w:w="4320"/>
          </w:tcPr>
          <w:p>
            <w:pPr>
              <w:spacing w:after="40"/>
            </w:pPr>
            <w:r>
              <w:rPr>
                <w:sz w:val="18"/>
              </w:rPr>
              <w:t>Proses instansi</w:t>
            </w:r>
          </w:p>
        </w:tc>
      </w:tr>
    </w:tbl>
    <w:p>
      <w:pPr>
        <w:spacing w:after="40"/>
      </w:pPr>
    </w:p>
    <w:p>
      <w:r>
        <w:t xml:space="preserve">Trareon </w:t>
      </w:r>
      <w:r>
        <w:rPr>
          <w:b/>
        </w:rPr>
        <w:t>tidak</w:t>
      </w:r>
      <w:r>
        <w:t xml:space="preserve"> mendeteksi insiden, </w:t>
      </w:r>
      <w:r>
        <w:rPr>
          <w:b/>
        </w:rPr>
        <w:t>tidak</w:t>
      </w:r>
      <w:r>
        <w:t xml:space="preserve"> memberi peringatan, dan </w:t>
      </w:r>
      <w:r>
        <w:rPr>
          <w:b/>
        </w:rPr>
        <w:t>tidak</w:t>
      </w:r>
      <w:r>
        <w:t xml:space="preserve"> melaporkan apa pun ke mana pun. Deteksi dan pelaporan adalah kewajiban instansi, dan untuk instansi pemerintah disalurkan lewat CSIRT/mekanisme BSSN (lihat </w:t>
      </w:r>
      <w:r>
        <w:rPr>
          <w:rFonts w:ascii="Consolas" w:hAnsi="Consolas"/>
          <w:sz w:val="18"/>
        </w:rPr>
        <w:t>PEMETAAN-ISO-27001-27701.md</w:t>
      </w:r>
      <w:r>
        <w:t xml:space="preserve"> §4).</w:t>
      </w:r>
    </w:p>
    <w:p>
      <w:pPr>
        <w:pStyle w:val="Heading3"/>
      </w:pPr>
      <w:r>
        <w:t>Pasal 47 — akuntabilitas</w:t>
      </w:r>
    </w:p>
    <w:p>
      <w:r>
        <w:t xml:space="preserve">Yang membuat akuntabilitas Trareon tidak sekadar pernyataan di README adalah bahwa klaim utamanya </w:t>
      </w:r>
      <w:r>
        <w:rPr>
          <w:b/>
        </w:rPr>
        <w:t>diperiksa oleh uji yang menggagalkan build</w:t>
      </w:r>
      <w:r>
        <w:t>:</w:t>
      </w:r>
    </w:p>
    <w:p>
      <w:pPr>
        <w:spacing w:after="0"/>
        <w:ind w:left="360"/>
      </w:pPr>
      <w:r>
        <w:rPr>
          <w:rFonts w:ascii="Consolas" w:hAnsi="Consolas" w:eastAsia="Consolas"/>
          <w:sz w:val="16"/>
        </w:rPr>
        <w:t>cd rust_core &amp;&amp; cargo test --lib privacy        # gerbang luring sisi Rust</w:t>
      </w:r>
    </w:p>
    <w:p>
      <w:pPr>
        <w:spacing w:after="0"/>
        <w:ind w:left="360"/>
      </w:pPr>
      <w:r>
        <w:rPr>
          <w:rFonts w:ascii="Consolas" w:hAnsi="Consolas" w:eastAsia="Consolas"/>
          <w:sz w:val="16"/>
        </w:rPr>
        <w:t>flutter test test/privacy_proof_test.dart       # gerbang luring sisi Dart</w:t>
      </w:r>
    </w:p>
    <w:p>
      <w:r>
        <w:t>Uji-uji itu memindai berkas sumber jalur transkripsi untuk pola jaringan (</w:t>
      </w:r>
      <w:r>
        <w:rPr>
          <w:rFonts w:ascii="Consolas" w:hAnsi="Consolas"/>
          <w:sz w:val="18"/>
        </w:rPr>
        <w:t>reqwest</w:t>
      </w:r>
      <w:r>
        <w:t xml:space="preserve">, </w:t>
      </w:r>
      <w:r>
        <w:rPr>
          <w:rFonts w:ascii="Consolas" w:hAnsi="Consolas"/>
          <w:sz w:val="18"/>
        </w:rPr>
        <w:t>http://</w:t>
      </w:r>
      <w:r>
        <w:t xml:space="preserve">, </w:t>
      </w:r>
      <w:r>
        <w:rPr>
          <w:rFonts w:ascii="Consolas" w:hAnsi="Consolas"/>
          <w:sz w:val="18"/>
        </w:rPr>
        <w:t>https://</w:t>
      </w:r>
      <w:r>
        <w:t xml:space="preserve">, </w:t>
      </w:r>
      <w:r>
        <w:rPr>
          <w:rFonts w:ascii="Consolas" w:hAnsi="Consolas"/>
          <w:sz w:val="18"/>
        </w:rPr>
        <w:t>tokio::net</w:t>
      </w:r>
      <w:r>
        <w:t>) dan menggagalkan build bila salah satu muncul (</w:t>
      </w:r>
      <w:r>
        <w:rPr>
          <w:rFonts w:ascii="Consolas" w:hAnsi="Consolas"/>
          <w:sz w:val="18"/>
        </w:rPr>
        <w:t>rust_core/src/privacy.rs:60-200</w:t>
      </w:r>
      <w:r>
        <w:t>). Uji terpisah memastikan modul fitur yang didokumentasikan sebagai lokal — arsip, PDP, provenance, map-reduce, notulen, SRIKANDI — tidak dapat membuka soket.</w:t>
      </w:r>
    </w:p>
    <w:p>
      <w:r>
        <w:t>Konsekuensi untuk pengadaan: pernyataan "transkripsi tidak pernah meninggalkan perangkat" dapat diverifikasi panitia dengan menjalankan satu perintah pada kode sumber, bukan dengan mempercayai brosur.</w:t>
      </w:r>
    </w:p>
    <w:p>
      <w:pPr>
        <w:jc w:val="center"/>
      </w:pPr>
      <w:r>
        <w:rPr>
          <w:sz w:val="18"/>
        </w:rPr>
        <w:t>· · ·</w:t>
      </w:r>
    </w:p>
    <w:p>
      <w:pPr>
        <w:pStyle w:val="Heading2"/>
      </w:pPr>
      <w:r>
        <w:t>6. Risiko, kesenjangan, dan kewajiban instansi</w:t>
      </w:r>
    </w:p>
    <w:p>
      <w:pPr>
        <w:pStyle w:val="Heading3"/>
      </w:pPr>
      <w:r>
        <w:t>Risiko konfigurasi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spacing w:after="40"/>
            </w:pPr>
            <w:r>
              <w:rPr>
                <w:b/>
                <w:sz w:val="18"/>
              </w:rPr>
              <w:t>ID</w:t>
            </w:r>
          </w:p>
        </w:tc>
        <w:tc>
          <w:tcPr>
            <w:tcW w:type="dxa" w:w="2160"/>
          </w:tcPr>
          <w:p>
            <w:pPr>
              <w:spacing w:after="40"/>
            </w:pPr>
            <w:r>
              <w:rPr>
                <w:b/>
                <w:sz w:val="18"/>
              </w:rPr>
              <w:t>Risiko</w:t>
            </w:r>
          </w:p>
        </w:tc>
        <w:tc>
          <w:tcPr>
            <w:tcW w:type="dxa" w:w="2160"/>
          </w:tcPr>
          <w:p>
            <w:pPr>
              <w:spacing w:after="40"/>
            </w:pPr>
            <w:r>
              <w:rPr>
                <w:b/>
                <w:sz w:val="18"/>
              </w:rPr>
              <w:t>Penjelasan</w:t>
            </w:r>
          </w:p>
        </w:tc>
        <w:tc>
          <w:tcPr>
            <w:tcW w:type="dxa" w:w="2160"/>
          </w:tcPr>
          <w:p>
            <w:pPr>
              <w:spacing w:after="40"/>
            </w:pPr>
            <w:r>
              <w:rPr>
                <w:b/>
                <w:sz w:val="18"/>
              </w:rPr>
              <w:t>Mitigasi</w:t>
            </w:r>
          </w:p>
        </w:tc>
      </w:tr>
      <w:tr>
        <w:tc>
          <w:tcPr>
            <w:tcW w:type="dxa" w:w="2160"/>
          </w:tcPr>
          <w:p>
            <w:pPr>
              <w:spacing w:after="40"/>
            </w:pPr>
            <w:r>
              <w:rPr>
                <w:b/>
                <w:sz w:val="18"/>
              </w:rPr>
              <w:t>R-1</w:t>
            </w:r>
          </w:p>
        </w:tc>
        <w:tc>
          <w:tcPr>
            <w:tcW w:type="dxa" w:w="2160"/>
          </w:tcPr>
          <w:p>
            <w:pPr>
              <w:spacing w:after="40"/>
            </w:pPr>
            <w:r>
              <w:rPr>
                <w:b/>
                <w:sz w:val="18"/>
              </w:rPr>
              <w:t>Endpoint LLM dapat diarahkan ke luar perangkat</w:t>
            </w:r>
          </w:p>
        </w:tc>
        <w:tc>
          <w:tcPr>
            <w:tcW w:type="dxa" w:w="2160"/>
          </w:tcPr>
          <w:p>
            <w:pPr>
              <w:spacing w:after="40"/>
            </w:pPr>
            <w:r>
              <w:rPr>
                <w:sz w:val="18"/>
              </w:rPr>
              <w:t>Endpoint ringkasan/notulen dapat dikonfigurasi (</w:t>
            </w:r>
            <w:r>
              <w:rPr>
                <w:rFonts w:ascii="Consolas" w:hAnsi="Consolas"/>
                <w:sz w:val="18"/>
              </w:rPr>
              <w:t>rust_core/src/summary.rs</w:t>
            </w:r>
            <w:r>
              <w:rPr>
                <w:sz w:val="18"/>
              </w:rPr>
              <w:t xml:space="preserve">, </w:t>
            </w:r>
            <w:r>
              <w:rPr>
                <w:rFonts w:ascii="Consolas" w:hAnsi="Consolas"/>
                <w:sz w:val="18"/>
              </w:rPr>
              <w:t>SummaryEndpoint.base_url</w:t>
            </w:r>
            <w:r>
              <w:rPr>
                <w:sz w:val="18"/>
              </w:rPr>
              <w:t>). Baku-nya loopback (</w:t>
            </w:r>
            <w:r>
              <w:rPr>
                <w:rFonts w:ascii="Consolas" w:hAnsi="Consolas"/>
                <w:sz w:val="18"/>
              </w:rPr>
              <w:t>http://localhost:11434</w:t>
            </w:r>
            <w:r>
              <w:rPr>
                <w:sz w:val="18"/>
              </w:rPr>
              <w:t xml:space="preserve">), tetapi instansi </w:t>
            </w:r>
            <w:r>
              <w:rPr>
                <w:b/>
                <w:sz w:val="18"/>
              </w:rPr>
              <w:t>dapat</w:t>
            </w:r>
            <w:r>
              <w:rPr>
                <w:sz w:val="18"/>
              </w:rPr>
              <w:t xml:space="preserve"> mengarahkannya ke penyedia awan. Bila itu dilakukan, transkrip dikirim keluar perangkat, muncul Prosesor Data Pribadi (Pasal 51–52), dan bila penyedia di luar negeri muncul juga transfer lintas yurisdiksi (Pasal 56)</w:t>
            </w:r>
          </w:p>
        </w:tc>
        <w:tc>
          <w:tcPr>
            <w:tcW w:type="dxa" w:w="2160"/>
          </w:tcPr>
          <w:p>
            <w:pPr>
              <w:spacing w:after="40"/>
            </w:pPr>
            <w:r>
              <w:rPr>
                <w:sz w:val="18"/>
              </w:rPr>
              <w:t xml:space="preserve">Instansi </w:t>
            </w:r>
            <w:r>
              <w:rPr>
                <w:b/>
                <w:sz w:val="18"/>
              </w:rPr>
              <w:t>wajib</w:t>
            </w:r>
            <w:r>
              <w:rPr>
                <w:sz w:val="18"/>
              </w:rPr>
              <w:t xml:space="preserve"> menetapkan dalam kebijakan bahwa endpoint tetap loopback, dan memverifikasinya di Pengaturan → Ringkasan AI. Setiap pengiriman tercatat di log audit sebagai </w:t>
            </w:r>
            <w:r>
              <w:rPr>
                <w:rFonts w:ascii="Consolas" w:hAnsi="Consolas"/>
                <w:sz w:val="18"/>
              </w:rPr>
              <w:t>SummarySent</w:t>
            </w:r>
          </w:p>
        </w:tc>
      </w:tr>
      <w:tr>
        <w:tc>
          <w:tcPr>
            <w:tcW w:type="dxa" w:w="2160"/>
          </w:tcPr>
          <w:p>
            <w:pPr>
              <w:spacing w:after="40"/>
            </w:pPr>
            <w:r>
              <w:rPr>
                <w:b/>
                <w:sz w:val="18"/>
              </w:rPr>
              <w:t>R-2</w:t>
            </w:r>
          </w:p>
        </w:tc>
        <w:tc>
          <w:tcPr>
            <w:tcW w:type="dxa" w:w="2160"/>
          </w:tcPr>
          <w:p>
            <w:pPr>
              <w:spacing w:after="40"/>
            </w:pPr>
            <w:r>
              <w:rPr>
                <w:sz w:val="18"/>
              </w:rPr>
              <w:t>Unduhan model menyentuh internet</w:t>
            </w:r>
          </w:p>
        </w:tc>
        <w:tc>
          <w:tcPr>
            <w:tcW w:type="dxa" w:w="2160"/>
          </w:tcPr>
          <w:p>
            <w:pPr>
              <w:spacing w:after="40"/>
            </w:pPr>
            <w:r>
              <w:rPr>
                <w:sz w:val="18"/>
              </w:rPr>
              <w:t xml:space="preserve">Unduh model Whisper menghubungi </w:t>
            </w:r>
            <w:r>
              <w:rPr>
                <w:rFonts w:ascii="Consolas" w:hAnsi="Consolas"/>
                <w:sz w:val="18"/>
              </w:rPr>
              <w:t>huggingface.co</w:t>
            </w:r>
            <w:r>
              <w:rPr>
                <w:sz w:val="18"/>
              </w:rPr>
              <w:t xml:space="preserve"> (SHA256 dipin di kode, </w:t>
            </w:r>
            <w:r>
              <w:rPr>
                <w:rFonts w:ascii="Consolas" w:hAnsi="Consolas"/>
                <w:sz w:val="18"/>
              </w:rPr>
              <w:t>rust_core/src/model.rs:70-131</w:t>
            </w:r>
            <w:r>
              <w:rPr>
                <w:sz w:val="18"/>
              </w:rPr>
              <w:t xml:space="preserve">). Dimulai pengguna, bukan otomatis. </w:t>
            </w:r>
            <w:r>
              <w:rPr>
                <w:b/>
                <w:sz w:val="18"/>
              </w:rPr>
              <w:t>Tidak ada data rapat yang dikirim</w:t>
            </w:r>
            <w:r>
              <w:rPr>
                <w:sz w:val="18"/>
              </w:rPr>
              <w:t xml:space="preserve"> — hanya permintaan GET</w:t>
            </w:r>
          </w:p>
        </w:tc>
        <w:tc>
          <w:tcPr>
            <w:tcW w:type="dxa" w:w="2160"/>
          </w:tcPr>
          <w:p>
            <w:pPr>
              <w:spacing w:after="40"/>
            </w:pPr>
            <w:r>
              <w:rPr>
                <w:sz w:val="18"/>
              </w:rPr>
              <w:t>Instansi dapat memasang model lebih dulu ke direktori model dan menjalankan Trareon di jaringan tertutup</w:t>
            </w:r>
          </w:p>
        </w:tc>
      </w:tr>
      <w:tr>
        <w:tc>
          <w:tcPr>
            <w:tcW w:type="dxa" w:w="2160"/>
          </w:tcPr>
          <w:p>
            <w:pPr>
              <w:spacing w:after="40"/>
            </w:pPr>
            <w:r>
              <w:rPr>
                <w:b/>
                <w:sz w:val="18"/>
              </w:rPr>
              <w:t>R-3</w:t>
            </w:r>
          </w:p>
        </w:tc>
        <w:tc>
          <w:tcPr>
            <w:tcW w:type="dxa" w:w="2160"/>
          </w:tcPr>
          <w:p>
            <w:pPr>
              <w:spacing w:after="40"/>
            </w:pPr>
            <w:r>
              <w:rPr>
                <w:sz w:val="18"/>
              </w:rPr>
              <w:t>Pemeriksaan pembaruan menyentuh internet</w:t>
            </w:r>
          </w:p>
        </w:tc>
        <w:tc>
          <w:tcPr>
            <w:tcW w:type="dxa" w:w="2160"/>
          </w:tcPr>
          <w:p>
            <w:pPr>
              <w:spacing w:after="40"/>
            </w:pPr>
            <w:r>
              <w:rPr>
                <w:sz w:val="18"/>
              </w:rPr>
              <w:t>"Cek Pembaruan" menghubungi repositori rilis. Dimulai pengguna; tercatat di Laporan Privasi</w:t>
            </w:r>
          </w:p>
        </w:tc>
        <w:tc>
          <w:tcPr>
            <w:tcW w:type="dxa" w:w="2160"/>
          </w:tcPr>
          <w:p>
            <w:pPr>
              <w:spacing w:after="40"/>
            </w:pPr>
            <w:r>
              <w:rPr>
                <w:sz w:val="18"/>
              </w:rPr>
              <w:t>Matikan/jangan gunakan di jaringan tertutup</w:t>
            </w:r>
          </w:p>
        </w:tc>
      </w:tr>
    </w:tbl>
    <w:p>
      <w:pPr>
        <w:spacing w:after="40"/>
      </w:pPr>
    </w:p>
    <w:p>
      <w:r>
        <w:t xml:space="preserve">Keempat/kelima titik keluar jaringan dicatat lengkap di </w:t>
      </w:r>
      <w:r>
        <w:rPr>
          <w:rFonts w:ascii="Consolas" w:hAnsi="Consolas"/>
          <w:sz w:val="18"/>
        </w:rPr>
        <w:t>ALUR-DATA.md</w:t>
      </w:r>
      <w:r>
        <w:t xml:space="preserve"> §3 dan di </w:t>
      </w:r>
      <w:r>
        <w:rPr>
          <w:rFonts w:ascii="Consolas" w:hAnsi="Consolas"/>
          <w:sz w:val="18"/>
        </w:rPr>
        <w:t>lib/state/privacy_report_model.dart:5-24</w:t>
      </w:r>
      <w:r>
        <w:t xml:space="preserve">. Layar </w:t>
      </w:r>
      <w:r>
        <w:rPr>
          <w:b/>
        </w:rPr>
        <w:t>Laporan Privasi</w:t>
      </w:r>
      <w:r>
        <w:t xml:space="preserve"> di aplikasi menghitung setiap panggilan jaringan sejak aplikasi dibuka, sehingga pengguna dapat melihat sendiri bahwa transkripsi tidak menambah hitungan.</w:t>
      </w:r>
    </w:p>
    <w:p>
      <w:pPr>
        <w:pStyle w:val="Heading3"/>
      </w:pPr>
      <w:r>
        <w:t>Kesenjangan kendali Trareon (jujur)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spacing w:after="40"/>
            </w:pPr>
            <w:r>
              <w:rPr>
                <w:b/>
                <w:sz w:val="18"/>
              </w:rPr>
              <w:t>ID</w:t>
            </w:r>
          </w:p>
        </w:tc>
        <w:tc>
          <w:tcPr>
            <w:tcW w:type="dxa" w:w="2160"/>
          </w:tcPr>
          <w:p>
            <w:pPr>
              <w:spacing w:after="40"/>
            </w:pPr>
            <w:r>
              <w:rPr>
                <w:b/>
                <w:sz w:val="18"/>
              </w:rPr>
              <w:t>Kesenjangan</w:t>
            </w:r>
          </w:p>
        </w:tc>
        <w:tc>
          <w:tcPr>
            <w:tcW w:type="dxa" w:w="2160"/>
          </w:tcPr>
          <w:p>
            <w:pPr>
              <w:spacing w:after="40"/>
            </w:pPr>
            <w:r>
              <w:rPr>
                <w:b/>
                <w:sz w:val="18"/>
              </w:rPr>
              <w:t>Pasal terkait</w:t>
            </w:r>
          </w:p>
        </w:tc>
        <w:tc>
          <w:tcPr>
            <w:tcW w:type="dxa" w:w="2160"/>
          </w:tcPr>
          <w:p>
            <w:pPr>
              <w:spacing w:after="40"/>
            </w:pPr>
            <w:r>
              <w:rPr>
                <w:b/>
                <w:sz w:val="18"/>
              </w:rPr>
              <w:t>Status</w:t>
            </w:r>
          </w:p>
        </w:tc>
      </w:tr>
      <w:tr>
        <w:tc>
          <w:tcPr>
            <w:tcW w:type="dxa" w:w="2160"/>
          </w:tcPr>
          <w:p>
            <w:pPr>
              <w:spacing w:after="40"/>
            </w:pPr>
            <w:r>
              <w:rPr>
                <w:b/>
                <w:sz w:val="18"/>
              </w:rPr>
              <w:t>G-1</w:t>
            </w:r>
          </w:p>
        </w:tc>
        <w:tc>
          <w:tcPr>
            <w:tcW w:type="dxa" w:w="2160"/>
          </w:tcPr>
          <w:p>
            <w:pPr>
              <w:spacing w:after="40"/>
            </w:pPr>
            <w:r>
              <w:rPr>
                <w:sz w:val="18"/>
              </w:rPr>
              <w:t xml:space="preserve">Log audit append-only secara konvensi API, </w:t>
            </w:r>
            <w:r>
              <w:rPr>
                <w:b/>
                <w:sz w:val="18"/>
              </w:rPr>
              <w:t>tidak tahan-ubah secara kriptografis</w:t>
            </w:r>
            <w:r>
              <w:rPr>
                <w:sz w:val="18"/>
              </w:rPr>
              <w:t xml:space="preserve">. Tidak ada hash chain, tidak ada tanda tangan. Pengguna dengan akses tulis ke </w:t>
            </w:r>
            <w:r>
              <w:rPr>
                <w:rFonts w:ascii="Consolas" w:hAnsi="Consolas"/>
                <w:sz w:val="18"/>
              </w:rPr>
              <w:t>audit.jsonl</w:t>
            </w:r>
            <w:r>
              <w:rPr>
                <w:sz w:val="18"/>
              </w:rPr>
              <w:t xml:space="preserve"> dapat menyuntingnya</w:t>
            </w:r>
          </w:p>
        </w:tc>
        <w:tc>
          <w:tcPr>
            <w:tcW w:type="dxa" w:w="2160"/>
          </w:tcPr>
          <w:p>
            <w:pPr>
              <w:spacing w:after="40"/>
            </w:pPr>
            <w:r>
              <w:rPr>
                <w:sz w:val="18"/>
              </w:rPr>
              <w:t>31, 47</w:t>
            </w:r>
          </w:p>
        </w:tc>
        <w:tc>
          <w:tcPr>
            <w:tcW w:type="dxa" w:w="2160"/>
          </w:tcPr>
          <w:p>
            <w:pPr>
              <w:spacing w:after="40"/>
            </w:pPr>
            <w:r>
              <w:rPr>
                <w:sz w:val="18"/>
              </w:rPr>
              <w:t>Terbuka. Kandidat backlog: rantai hash per entri</w:t>
            </w:r>
          </w:p>
        </w:tc>
      </w:tr>
      <w:tr>
        <w:tc>
          <w:tcPr>
            <w:tcW w:type="dxa" w:w="2160"/>
          </w:tcPr>
          <w:p>
            <w:pPr>
              <w:spacing w:after="40"/>
            </w:pPr>
            <w:r>
              <w:rPr>
                <w:b/>
                <w:sz w:val="18"/>
              </w:rPr>
              <w:t>G-2</w:t>
            </w:r>
          </w:p>
        </w:tc>
        <w:tc>
          <w:tcPr>
            <w:tcW w:type="dxa" w:w="2160"/>
          </w:tcPr>
          <w:p>
            <w:pPr>
              <w:spacing w:after="40"/>
            </w:pPr>
            <w:r>
              <w:rPr>
                <w:b/>
                <w:sz w:val="18"/>
              </w:rPr>
              <w:t>Tidak ada enkripsi saat disimpan dan tidak ada autentikasi aplikasi</w:t>
            </w:r>
          </w:p>
        </w:tc>
        <w:tc>
          <w:tcPr>
            <w:tcW w:type="dxa" w:w="2160"/>
          </w:tcPr>
          <w:p>
            <w:pPr>
              <w:spacing w:after="40"/>
            </w:pPr>
            <w:r>
              <w:rPr>
                <w:sz w:val="18"/>
              </w:rPr>
              <w:t>35, 39</w:t>
            </w:r>
          </w:p>
        </w:tc>
        <w:tc>
          <w:tcPr>
            <w:tcW w:type="dxa" w:w="2160"/>
          </w:tcPr>
          <w:p>
            <w:pPr>
              <w:spacing w:after="40"/>
            </w:pPr>
            <w:r>
              <w:rPr>
                <w:sz w:val="18"/>
              </w:rPr>
              <w:t>Terbuka secara desain; dialihkan ke kendali OS (K-1)</w:t>
            </w:r>
          </w:p>
        </w:tc>
      </w:tr>
      <w:tr>
        <w:tc>
          <w:tcPr>
            <w:tcW w:type="dxa" w:w="2160"/>
          </w:tcPr>
          <w:p>
            <w:pPr>
              <w:spacing w:after="40"/>
            </w:pPr>
            <w:r>
              <w:rPr>
                <w:b/>
                <w:sz w:val="18"/>
              </w:rPr>
              <w:t>G-3</w:t>
            </w:r>
          </w:p>
        </w:tc>
        <w:tc>
          <w:tcPr>
            <w:tcW w:type="dxa" w:w="2160"/>
          </w:tcPr>
          <w:p>
            <w:pPr>
              <w:spacing w:after="40"/>
            </w:pPr>
            <w:r>
              <w:rPr>
                <w:sz w:val="18"/>
              </w:rPr>
              <w:t>Tidak ada status "pemrosesan ditangguhkan" per sesi</w:t>
            </w:r>
          </w:p>
        </w:tc>
        <w:tc>
          <w:tcPr>
            <w:tcW w:type="dxa" w:w="2160"/>
          </w:tcPr>
          <w:p>
            <w:pPr>
              <w:spacing w:after="40"/>
            </w:pPr>
            <w:r>
              <w:rPr>
                <w:sz w:val="18"/>
              </w:rPr>
              <w:t>11, 41</w:t>
            </w:r>
          </w:p>
        </w:tc>
        <w:tc>
          <w:tcPr>
            <w:tcW w:type="dxa" w:w="2160"/>
          </w:tcPr>
          <w:p>
            <w:pPr>
              <w:spacing w:after="40"/>
            </w:pPr>
            <w:r>
              <w:rPr>
                <w:sz w:val="18"/>
              </w:rPr>
              <w:t>Terbuka. Yang tersedia hanya hapus audio / hapus sesi</w:t>
            </w:r>
          </w:p>
        </w:tc>
      </w:tr>
      <w:tr>
        <w:tc>
          <w:tcPr>
            <w:tcW w:type="dxa" w:w="2160"/>
          </w:tcPr>
          <w:p>
            <w:pPr>
              <w:spacing w:after="40"/>
            </w:pPr>
            <w:r>
              <w:rPr>
                <w:b/>
                <w:sz w:val="18"/>
              </w:rPr>
              <w:t>G-4</w:t>
            </w:r>
          </w:p>
        </w:tc>
        <w:tc>
          <w:tcPr>
            <w:tcW w:type="dxa" w:w="2160"/>
          </w:tcPr>
          <w:p>
            <w:pPr>
              <w:spacing w:after="40"/>
            </w:pPr>
            <w:r>
              <w:rPr>
                <w:sz w:val="18"/>
              </w:rPr>
              <w:t>Teks pemberitahuan baku tidak otomatis memuat masa retensi dan daftar hak subjek data</w:t>
            </w:r>
          </w:p>
        </w:tc>
        <w:tc>
          <w:tcPr>
            <w:tcW w:type="dxa" w:w="2160"/>
          </w:tcPr>
          <w:p>
            <w:pPr>
              <w:spacing w:after="40"/>
            </w:pPr>
            <w:r>
              <w:rPr>
                <w:sz w:val="18"/>
              </w:rPr>
              <w:t>21</w:t>
            </w:r>
          </w:p>
        </w:tc>
        <w:tc>
          <w:tcPr>
            <w:tcW w:type="dxa" w:w="2160"/>
          </w:tcPr>
          <w:p>
            <w:pPr>
              <w:spacing w:after="40"/>
            </w:pPr>
            <w:r>
              <w:rPr>
                <w:sz w:val="18"/>
              </w:rPr>
              <w:t>Terbuka; instansi menggantinya secara manual</w:t>
            </w:r>
          </w:p>
        </w:tc>
      </w:tr>
      <w:tr>
        <w:tc>
          <w:tcPr>
            <w:tcW w:type="dxa" w:w="2160"/>
          </w:tcPr>
          <w:p>
            <w:pPr>
              <w:spacing w:after="40"/>
            </w:pPr>
            <w:r>
              <w:rPr>
                <w:b/>
                <w:sz w:val="18"/>
              </w:rPr>
              <w:t>G-5</w:t>
            </w:r>
          </w:p>
        </w:tc>
        <w:tc>
          <w:tcPr>
            <w:tcW w:type="dxa" w:w="2160"/>
          </w:tcPr>
          <w:p>
            <w:pPr>
              <w:spacing w:after="40"/>
            </w:pPr>
            <w:r>
              <w:rPr>
                <w:sz w:val="18"/>
              </w:rPr>
              <w:t>Penghapusan adalah unlink berkas biasa, bukan pemusnahan aman</w:t>
            </w:r>
          </w:p>
        </w:tc>
        <w:tc>
          <w:tcPr>
            <w:tcW w:type="dxa" w:w="2160"/>
          </w:tcPr>
          <w:p>
            <w:pPr>
              <w:spacing w:after="40"/>
            </w:pPr>
            <w:r>
              <w:rPr>
                <w:sz w:val="18"/>
              </w:rPr>
              <w:t>44</w:t>
            </w:r>
          </w:p>
        </w:tc>
        <w:tc>
          <w:tcPr>
            <w:tcW w:type="dxa" w:w="2160"/>
          </w:tcPr>
          <w:p>
            <w:pPr>
              <w:spacing w:after="40"/>
            </w:pPr>
            <w:r>
              <w:rPr>
                <w:sz w:val="18"/>
              </w:rPr>
              <w:t>Terbuka secara desain; dialihkan ke prosedur instansi</w:t>
            </w:r>
          </w:p>
        </w:tc>
      </w:tr>
      <w:tr>
        <w:tc>
          <w:tcPr>
            <w:tcW w:type="dxa" w:w="2160"/>
          </w:tcPr>
          <w:p>
            <w:pPr>
              <w:spacing w:after="40"/>
            </w:pPr>
            <w:r>
              <w:rPr>
                <w:b/>
                <w:sz w:val="18"/>
              </w:rPr>
              <w:t>G-6</w:t>
            </w:r>
          </w:p>
        </w:tc>
        <w:tc>
          <w:tcPr>
            <w:tcW w:type="dxa" w:w="2160"/>
          </w:tcPr>
          <w:p>
            <w:pPr>
              <w:spacing w:after="40"/>
            </w:pPr>
            <w:r>
              <w:rPr>
                <w:sz w:val="18"/>
              </w:rPr>
              <w:t>Tidak ada pemberitahuan otomatis ke subjek data saat data dihapus</w:t>
            </w:r>
          </w:p>
        </w:tc>
        <w:tc>
          <w:tcPr>
            <w:tcW w:type="dxa" w:w="2160"/>
          </w:tcPr>
          <w:p>
            <w:pPr>
              <w:spacing w:after="40"/>
            </w:pPr>
            <w:r>
              <w:rPr>
                <w:sz w:val="18"/>
              </w:rPr>
              <w:t>45</w:t>
            </w:r>
          </w:p>
        </w:tc>
        <w:tc>
          <w:tcPr>
            <w:tcW w:type="dxa" w:w="2160"/>
          </w:tcPr>
          <w:p>
            <w:pPr>
              <w:spacing w:after="40"/>
            </w:pPr>
            <w:r>
              <w:rPr>
                <w:sz w:val="18"/>
              </w:rPr>
              <w:t>Terbuka; manual</w:t>
            </w:r>
          </w:p>
        </w:tc>
      </w:tr>
    </w:tbl>
    <w:p>
      <w:pPr>
        <w:spacing w:after="40"/>
      </w:pPr>
    </w:p>
    <w:p>
      <w:pPr>
        <w:pStyle w:val="Heading3"/>
      </w:pPr>
      <w:r>
        <w:t>Kewajiban yang tetap pada instansi</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pPr>
            <w:r>
              <w:rPr>
                <w:b/>
                <w:sz w:val="18"/>
              </w:rPr>
              <w:t>ID</w:t>
            </w:r>
          </w:p>
        </w:tc>
        <w:tc>
          <w:tcPr>
            <w:tcW w:type="dxa" w:w="2880"/>
          </w:tcPr>
          <w:p>
            <w:pPr>
              <w:spacing w:after="40"/>
            </w:pPr>
            <w:r>
              <w:rPr>
                <w:b/>
                <w:sz w:val="18"/>
              </w:rPr>
              <w:t>Kewajiban</w:t>
            </w:r>
          </w:p>
        </w:tc>
        <w:tc>
          <w:tcPr>
            <w:tcW w:type="dxa" w:w="2880"/>
          </w:tcPr>
          <w:p>
            <w:pPr>
              <w:spacing w:after="40"/>
            </w:pPr>
            <w:r>
              <w:rPr>
                <w:b/>
                <w:sz w:val="18"/>
              </w:rPr>
              <w:t>Pasal</w:t>
            </w:r>
          </w:p>
        </w:tc>
      </w:tr>
      <w:tr>
        <w:tc>
          <w:tcPr>
            <w:tcW w:type="dxa" w:w="2880"/>
          </w:tcPr>
          <w:p>
            <w:pPr>
              <w:spacing w:after="40"/>
            </w:pPr>
            <w:r>
              <w:rPr>
                <w:b/>
                <w:sz w:val="18"/>
              </w:rPr>
              <w:t>K-1</w:t>
            </w:r>
          </w:p>
        </w:tc>
        <w:tc>
          <w:tcPr>
            <w:tcW w:type="dxa" w:w="2880"/>
          </w:tcPr>
          <w:p>
            <w:pPr>
              <w:spacing w:after="40"/>
            </w:pPr>
            <w:r>
              <w:rPr>
                <w:sz w:val="18"/>
              </w:rPr>
              <w:t>Mengaktifkan enkripsi cakram penuh (LUKS/BitLocker/FileVault) pada setiap laptop notulis, dengan sandi akun OS yang kuat dan kunci layar otomatis</w:t>
            </w:r>
          </w:p>
        </w:tc>
        <w:tc>
          <w:tcPr>
            <w:tcW w:type="dxa" w:w="2880"/>
          </w:tcPr>
          <w:p>
            <w:pPr>
              <w:spacing w:after="40"/>
            </w:pPr>
            <w:r>
              <w:rPr>
                <w:sz w:val="18"/>
              </w:rPr>
              <w:t>35, 39</w:t>
            </w:r>
          </w:p>
        </w:tc>
      </w:tr>
      <w:tr>
        <w:tc>
          <w:tcPr>
            <w:tcW w:type="dxa" w:w="2880"/>
          </w:tcPr>
          <w:p>
            <w:pPr>
              <w:spacing w:after="40"/>
            </w:pPr>
            <w:r>
              <w:rPr>
                <w:b/>
                <w:sz w:val="18"/>
              </w:rPr>
              <w:t>K-2</w:t>
            </w:r>
          </w:p>
        </w:tc>
        <w:tc>
          <w:tcPr>
            <w:tcW w:type="dxa" w:w="2880"/>
          </w:tcPr>
          <w:p>
            <w:pPr>
              <w:spacing w:after="40"/>
            </w:pPr>
            <w:r>
              <w:rPr>
                <w:sz w:val="18"/>
              </w:rPr>
              <w:t>Menetapkan dan mendokumentasikan dasar pemrosesan</w:t>
            </w:r>
          </w:p>
        </w:tc>
        <w:tc>
          <w:tcPr>
            <w:tcW w:type="dxa" w:w="2880"/>
          </w:tcPr>
          <w:p>
            <w:pPr>
              <w:spacing w:after="40"/>
            </w:pPr>
            <w:r>
              <w:rPr>
                <w:sz w:val="18"/>
              </w:rPr>
              <w:t>20</w:t>
            </w:r>
          </w:p>
        </w:tc>
      </w:tr>
      <w:tr>
        <w:tc>
          <w:tcPr>
            <w:tcW w:type="dxa" w:w="2880"/>
          </w:tcPr>
          <w:p>
            <w:pPr>
              <w:spacing w:after="40"/>
            </w:pPr>
            <w:r>
              <w:rPr>
                <w:b/>
                <w:sz w:val="18"/>
              </w:rPr>
              <w:t>K-3</w:t>
            </w:r>
          </w:p>
        </w:tc>
        <w:tc>
          <w:tcPr>
            <w:tcW w:type="dxa" w:w="2880"/>
          </w:tcPr>
          <w:p>
            <w:pPr>
              <w:spacing w:after="40"/>
            </w:pPr>
            <w:r>
              <w:rPr>
                <w:sz w:val="18"/>
              </w:rPr>
              <w:t>Menyampaikan pemberitahuan Pasal 21 yang lengkap sebelum merekam, dan mengelola persetujuan bila dasarnya persetujuan</w:t>
            </w:r>
          </w:p>
        </w:tc>
        <w:tc>
          <w:tcPr>
            <w:tcW w:type="dxa" w:w="2880"/>
          </w:tcPr>
          <w:p>
            <w:pPr>
              <w:spacing w:after="40"/>
            </w:pPr>
            <w:r>
              <w:rPr>
                <w:sz w:val="18"/>
              </w:rPr>
              <w:t>21, 22</w:t>
            </w:r>
          </w:p>
        </w:tc>
      </w:tr>
      <w:tr>
        <w:tc>
          <w:tcPr>
            <w:tcW w:type="dxa" w:w="2880"/>
          </w:tcPr>
          <w:p>
            <w:pPr>
              <w:spacing w:after="40"/>
            </w:pPr>
            <w:r>
              <w:rPr>
                <w:b/>
                <w:sz w:val="18"/>
              </w:rPr>
              <w:t>K-4</w:t>
            </w:r>
          </w:p>
        </w:tc>
        <w:tc>
          <w:tcPr>
            <w:tcW w:type="dxa" w:w="2880"/>
          </w:tcPr>
          <w:p>
            <w:pPr>
              <w:spacing w:after="40"/>
            </w:pPr>
            <w:r>
              <w:rPr>
                <w:sz w:val="18"/>
              </w:rPr>
              <w:t>Melakukan DPIA bila pemicu Pasal 34 terpenuhi (mis. rapat membahas data kesehatan/keuangan pribadi pegawai, atau perekaman rapat berskala besar dan sistematis)</w:t>
            </w:r>
          </w:p>
        </w:tc>
        <w:tc>
          <w:tcPr>
            <w:tcW w:type="dxa" w:w="2880"/>
          </w:tcPr>
          <w:p>
            <w:pPr>
              <w:spacing w:after="40"/>
            </w:pPr>
            <w:r>
              <w:rPr>
                <w:sz w:val="18"/>
              </w:rPr>
              <w:t>34</w:t>
            </w:r>
          </w:p>
        </w:tc>
      </w:tr>
      <w:tr>
        <w:tc>
          <w:tcPr>
            <w:tcW w:type="dxa" w:w="2880"/>
          </w:tcPr>
          <w:p>
            <w:pPr>
              <w:spacing w:after="40"/>
            </w:pPr>
            <w:r>
              <w:rPr>
                <w:b/>
                <w:sz w:val="18"/>
              </w:rPr>
              <w:t>K-5</w:t>
            </w:r>
          </w:p>
        </w:tc>
        <w:tc>
          <w:tcPr>
            <w:tcW w:type="dxa" w:w="2880"/>
          </w:tcPr>
          <w:p>
            <w:pPr>
              <w:spacing w:after="40"/>
            </w:pPr>
            <w:r>
              <w:rPr>
                <w:sz w:val="18"/>
              </w:rPr>
              <w:t xml:space="preserve">Menetapkan masa retensi, </w:t>
            </w:r>
            <w:r>
              <w:rPr>
                <w:b/>
                <w:sz w:val="18"/>
              </w:rPr>
              <w:t>menjadwalkan</w:t>
            </w:r>
            <w:r>
              <w:rPr>
                <w:sz w:val="18"/>
              </w:rPr>
              <w:t xml:space="preserve"> eksekusinya, dan mencatat hasilnya</w:t>
            </w:r>
          </w:p>
        </w:tc>
        <w:tc>
          <w:tcPr>
            <w:tcW w:type="dxa" w:w="2880"/>
          </w:tcPr>
          <w:p>
            <w:pPr>
              <w:spacing w:after="40"/>
            </w:pPr>
            <w:r>
              <w:rPr>
                <w:sz w:val="18"/>
              </w:rPr>
              <w:t>42–44</w:t>
            </w:r>
          </w:p>
        </w:tc>
      </w:tr>
      <w:tr>
        <w:tc>
          <w:tcPr>
            <w:tcW w:type="dxa" w:w="2880"/>
          </w:tcPr>
          <w:p>
            <w:pPr>
              <w:spacing w:after="40"/>
            </w:pPr>
            <w:r>
              <w:rPr>
                <w:b/>
                <w:sz w:val="18"/>
              </w:rPr>
              <w:t>K-6</w:t>
            </w:r>
          </w:p>
        </w:tc>
        <w:tc>
          <w:tcPr>
            <w:tcW w:type="dxa" w:w="2880"/>
          </w:tcPr>
          <w:p>
            <w:pPr>
              <w:spacing w:after="40"/>
            </w:pPr>
            <w:r>
              <w:rPr>
                <w:sz w:val="18"/>
              </w:rPr>
              <w:t xml:space="preserve">Menunjuk Pejabat Pelindungan Data Pribadi bila termasuk kriteria Pasal 53 — yang mencakup pemrosesan untuk pelayanan publik, sehingga </w:t>
            </w:r>
            <w:r>
              <w:rPr>
                <w:b/>
                <w:sz w:val="18"/>
              </w:rPr>
              <w:t>sebagian besar instansi pemerintah termasuk</w:t>
            </w:r>
          </w:p>
        </w:tc>
        <w:tc>
          <w:tcPr>
            <w:tcW w:type="dxa" w:w="2880"/>
          </w:tcPr>
          <w:p>
            <w:pPr>
              <w:spacing w:after="40"/>
            </w:pPr>
            <w:r>
              <w:rPr>
                <w:sz w:val="18"/>
              </w:rPr>
              <w:t>53</w:t>
            </w:r>
          </w:p>
        </w:tc>
      </w:tr>
      <w:tr>
        <w:tc>
          <w:tcPr>
            <w:tcW w:type="dxa" w:w="2880"/>
          </w:tcPr>
          <w:p>
            <w:pPr>
              <w:spacing w:after="40"/>
            </w:pPr>
            <w:r>
              <w:rPr>
                <w:b/>
                <w:sz w:val="18"/>
              </w:rPr>
              <w:t>K-7</w:t>
            </w:r>
          </w:p>
        </w:tc>
        <w:tc>
          <w:tcPr>
            <w:tcW w:type="dxa" w:w="2880"/>
          </w:tcPr>
          <w:p>
            <w:pPr>
              <w:spacing w:after="40"/>
            </w:pPr>
            <w:r>
              <w:rPr>
                <w:sz w:val="18"/>
              </w:rPr>
              <w:t>Menyiapkan prosedur penanganan dan pemberitahuan kegagalan pelindungan dalam 3x24 jam</w:t>
            </w:r>
          </w:p>
        </w:tc>
        <w:tc>
          <w:tcPr>
            <w:tcW w:type="dxa" w:w="2880"/>
          </w:tcPr>
          <w:p>
            <w:pPr>
              <w:spacing w:after="40"/>
            </w:pPr>
            <w:r>
              <w:rPr>
                <w:sz w:val="18"/>
              </w:rPr>
              <w:t>46</w:t>
            </w:r>
          </w:p>
        </w:tc>
      </w:tr>
      <w:tr>
        <w:tc>
          <w:tcPr>
            <w:tcW w:type="dxa" w:w="2880"/>
          </w:tcPr>
          <w:p>
            <w:pPr>
              <w:spacing w:after="40"/>
            </w:pPr>
            <w:r>
              <w:rPr>
                <w:b/>
                <w:sz w:val="18"/>
              </w:rPr>
              <w:t>K-8</w:t>
            </w:r>
          </w:p>
        </w:tc>
        <w:tc>
          <w:tcPr>
            <w:tcW w:type="dxa" w:w="2880"/>
          </w:tcPr>
          <w:p>
            <w:pPr>
              <w:spacing w:after="40"/>
            </w:pPr>
            <w:r>
              <w:rPr>
                <w:sz w:val="18"/>
              </w:rPr>
              <w:t>Menjaga endpoint LLM tetap lokal, atau — bila tidak — melaksanakan seluruh kewajiban prosesor dan transfer lintas negara</w:t>
            </w:r>
          </w:p>
        </w:tc>
        <w:tc>
          <w:tcPr>
            <w:tcW w:type="dxa" w:w="2880"/>
          </w:tcPr>
          <w:p>
            <w:pPr>
              <w:spacing w:after="40"/>
            </w:pPr>
            <w:r>
              <w:rPr>
                <w:sz w:val="18"/>
              </w:rPr>
              <w:t>51, 52, 56</w:t>
            </w:r>
          </w:p>
        </w:tc>
      </w:tr>
      <w:tr>
        <w:tc>
          <w:tcPr>
            <w:tcW w:type="dxa" w:w="2880"/>
          </w:tcPr>
          <w:p>
            <w:pPr>
              <w:spacing w:after="40"/>
            </w:pPr>
            <w:r>
              <w:rPr>
                <w:b/>
                <w:sz w:val="18"/>
              </w:rPr>
              <w:t>K-9</w:t>
            </w:r>
          </w:p>
        </w:tc>
        <w:tc>
          <w:tcPr>
            <w:tcW w:type="dxa" w:w="2880"/>
          </w:tcPr>
          <w:p>
            <w:pPr>
              <w:spacing w:after="40"/>
            </w:pPr>
            <w:r>
              <w:rPr>
                <w:sz w:val="18"/>
              </w:rPr>
              <w:t xml:space="preserve">Menyimpan catatan kegiatan pemrosesan tingkat instansi; </w:t>
            </w:r>
            <w:r>
              <w:rPr>
                <w:rFonts w:ascii="Consolas" w:hAnsi="Consolas"/>
                <w:sz w:val="18"/>
              </w:rPr>
              <w:t>audit.jsonl</w:t>
            </w:r>
            <w:r>
              <w:rPr>
                <w:sz w:val="18"/>
              </w:rPr>
              <w:t xml:space="preserve"> adalah masukan untuk catatan itu, bukan penggantinya</w:t>
            </w:r>
          </w:p>
        </w:tc>
        <w:tc>
          <w:tcPr>
            <w:tcW w:type="dxa" w:w="2880"/>
          </w:tcPr>
          <w:p>
            <w:pPr>
              <w:spacing w:after="40"/>
            </w:pPr>
            <w:r>
              <w:rPr>
                <w:sz w:val="18"/>
              </w:rPr>
              <w:t>31</w:t>
            </w:r>
          </w:p>
        </w:tc>
      </w:tr>
    </w:tbl>
    <w:p>
      <w:pPr>
        <w:spacing w:after="40"/>
      </w:pPr>
    </w:p>
    <w:p>
      <w:pPr>
        <w:jc w:val="center"/>
      </w:pPr>
      <w:r>
        <w:rPr>
          <w:sz w:val="18"/>
        </w:rPr>
        <w:t>· · ·</w:t>
      </w:r>
    </w:p>
    <w:p>
      <w:pPr>
        <w:pStyle w:val="Heading2"/>
      </w:pPr>
      <w:r>
        <w:t>7. Peraturan lain</w:t>
      </w:r>
    </w:p>
    <w:p>
      <w:r>
        <w:t>Dicantumkan hanya bila teksnya dapat dirujuk; sisanya ditandai.</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pPr>
            <w:r>
              <w:rPr>
                <w:b/>
                <w:sz w:val="18"/>
              </w:rPr>
              <w:t>Peraturan</w:t>
            </w:r>
          </w:p>
        </w:tc>
        <w:tc>
          <w:tcPr>
            <w:tcW w:type="dxa" w:w="2880"/>
          </w:tcPr>
          <w:p>
            <w:pPr>
              <w:spacing w:after="40"/>
            </w:pPr>
            <w:r>
              <w:rPr>
                <w:b/>
                <w:sz w:val="18"/>
              </w:rPr>
              <w:t>Relevansi</w:t>
            </w:r>
          </w:p>
        </w:tc>
        <w:tc>
          <w:tcPr>
            <w:tcW w:type="dxa" w:w="2880"/>
          </w:tcPr>
          <w:p>
            <w:pPr>
              <w:spacing w:after="40"/>
            </w:pPr>
            <w:r>
              <w:rPr>
                <w:b/>
                <w:sz w:val="18"/>
              </w:rPr>
              <w:t>Status verifikasi</w:t>
            </w:r>
          </w:p>
        </w:tc>
      </w:tr>
      <w:tr>
        <w:tc>
          <w:tcPr>
            <w:tcW w:type="dxa" w:w="2880"/>
          </w:tcPr>
          <w:p>
            <w:pPr>
              <w:spacing w:after="40"/>
            </w:pPr>
            <w:r>
              <w:rPr>
                <w:b/>
                <w:sz w:val="18"/>
              </w:rPr>
              <w:t>UU No. 28 Tahun 2014 tentang Hak Cipta, Pasal 42</w:t>
            </w:r>
          </w:p>
        </w:tc>
        <w:tc>
          <w:tcPr>
            <w:tcW w:type="dxa" w:w="2880"/>
          </w:tcPr>
          <w:p>
            <w:pPr>
              <w:spacing w:after="40"/>
            </w:pPr>
            <w:r>
              <w:rPr>
                <w:sz w:val="18"/>
              </w:rPr>
              <w:t>Tidak ada hak cipta atas hasil rapat terbuka lembaga negara, peraturan perundang-undangan, pidato pejabat pemerintah, dan putusan pengadilan. Relevan untuk penggunaan rekaman rapat terbuka sebagai data latih</w:t>
            </w:r>
          </w:p>
        </w:tc>
        <w:tc>
          <w:tcPr>
            <w:tcW w:type="dxa" w:w="2880"/>
          </w:tcPr>
          <w:p>
            <w:pPr>
              <w:spacing w:after="40"/>
            </w:pPr>
            <w:r>
              <w:rPr>
                <w:b/>
                <w:sz w:val="18"/>
              </w:rPr>
              <w:t>Terverifikasi</w:t>
            </w:r>
            <w:r>
              <w:rPr>
                <w:sz w:val="18"/>
              </w:rPr>
              <w:t xml:space="preserve"> 4 Okt 2026 terhadap dgip.go.id dan WIPO Lex; dicatat di </w:t>
            </w:r>
            <w:r>
              <w:rPr>
                <w:rFonts w:ascii="Consolas" w:hAnsi="Consolas"/>
                <w:sz w:val="18"/>
              </w:rPr>
              <w:t>ml/DATA_CARD.md:40</w:t>
            </w:r>
          </w:p>
        </w:tc>
      </w:tr>
      <w:tr>
        <w:tc>
          <w:tcPr>
            <w:tcW w:type="dxa" w:w="2880"/>
          </w:tcPr>
          <w:p>
            <w:pPr>
              <w:spacing w:after="40"/>
            </w:pPr>
            <w:r>
              <w:rPr>
                <w:b/>
                <w:sz w:val="18"/>
              </w:rPr>
              <w:t>PERANRI No. 5 Tahun 2025 tentang Tata Naskah Dinas</w:t>
            </w:r>
            <w:r>
              <w:rPr>
                <w:sz w:val="18"/>
              </w:rPr>
              <w:t xml:space="preserve"> (ANRI)</w:t>
            </w:r>
          </w:p>
        </w:tc>
        <w:tc>
          <w:tcPr>
            <w:tcW w:type="dxa" w:w="2880"/>
          </w:tcPr>
          <w:p>
            <w:pPr>
              <w:spacing w:after="40"/>
            </w:pPr>
            <w:r>
              <w:rPr>
                <w:sz w:val="18"/>
              </w:rPr>
              <w:t>Format naskah dinas, termasuk Notula dan Berita Acara (kepala, batang tubuh, kaki, lampiran) — dasar keempat tata letak notulen Trareon</w:t>
            </w:r>
          </w:p>
        </w:tc>
        <w:tc>
          <w:tcPr>
            <w:tcW w:type="dxa" w:w="2880"/>
          </w:tcPr>
          <w:p>
            <w:pPr>
              <w:spacing w:after="40"/>
            </w:pPr>
            <w:r>
              <w:rPr>
                <w:b/>
                <w:sz w:val="18"/>
              </w:rPr>
              <w:t>Terverifikasi</w:t>
            </w:r>
            <w:r>
              <w:rPr>
                <w:sz w:val="18"/>
              </w:rPr>
              <w:t xml:space="preserve"> 4 Okt 2026 terhadap anri.go.id (28 Apr 2025); berlaku 21 Maret 2025</w:t>
            </w:r>
          </w:p>
        </w:tc>
      </w:tr>
      <w:tr>
        <w:tc>
          <w:tcPr>
            <w:tcW w:type="dxa" w:w="2880"/>
          </w:tcPr>
          <w:p>
            <w:pPr>
              <w:spacing w:after="40"/>
            </w:pPr>
            <w:r>
              <w:rPr>
                <w:b/>
                <w:sz w:val="18"/>
              </w:rPr>
              <w:t>Permenkumham No. 14 Tahun 2024</w:t>
            </w:r>
          </w:p>
        </w:tc>
        <w:tc>
          <w:tcPr>
            <w:tcW w:type="dxa" w:w="2880"/>
          </w:tcPr>
          <w:p>
            <w:pPr>
              <w:spacing w:after="40"/>
            </w:pPr>
            <w:r>
              <w:rPr>
                <w:sz w:val="18"/>
              </w:rPr>
              <w:t>Tata naskah dinas dengan format Notula</w:t>
            </w:r>
          </w:p>
        </w:tc>
        <w:tc>
          <w:tcPr>
            <w:tcW w:type="dxa" w:w="2880"/>
          </w:tcPr>
          <w:p>
            <w:pPr>
              <w:spacing w:after="40"/>
            </w:pPr>
            <w:r>
              <w:rPr>
                <w:b/>
                <w:sz w:val="18"/>
              </w:rPr>
              <w:t>Terverifikasi</w:t>
            </w:r>
            <w:r>
              <w:rPr>
                <w:sz w:val="18"/>
              </w:rPr>
              <w:t xml:space="preserve"> 4 Okt 2026 terhadap peraturan.bpk.go.id</w:t>
            </w:r>
          </w:p>
        </w:tc>
      </w:tr>
      <w:tr>
        <w:tc>
          <w:tcPr>
            <w:tcW w:type="dxa" w:w="2880"/>
          </w:tcPr>
          <w:p>
            <w:pPr>
              <w:spacing w:after="40"/>
            </w:pPr>
            <w:r>
              <w:rPr>
                <w:b/>
                <w:sz w:val="18"/>
              </w:rPr>
              <w:t>Perpres No. 95 Tahun 2018 tentang SPBE</w:t>
            </w:r>
          </w:p>
        </w:tc>
        <w:tc>
          <w:tcPr>
            <w:tcW w:type="dxa" w:w="2880"/>
          </w:tcPr>
          <w:p>
            <w:pPr>
              <w:spacing w:after="40"/>
            </w:pPr>
            <w:r>
              <w:rPr>
                <w:sz w:val="18"/>
              </w:rPr>
              <w:t>Dasar SRIKANDI sebagai aplikasi umum bidang kearsipan dinamis</w:t>
            </w:r>
          </w:p>
        </w:tc>
        <w:tc>
          <w:tcPr>
            <w:tcW w:type="dxa" w:w="2880"/>
          </w:tcPr>
          <w:p>
            <w:pPr>
              <w:spacing w:after="40"/>
            </w:pPr>
            <w:r>
              <w:rPr>
                <w:b/>
                <w:sz w:val="18"/>
              </w:rPr>
              <w:t>Terverifikasi</w:t>
            </w:r>
            <w:r>
              <w:rPr>
                <w:sz w:val="18"/>
              </w:rPr>
              <w:t xml:space="preserve"> 4 Okt 2026</w:t>
            </w:r>
          </w:p>
        </w:tc>
      </w:tr>
      <w:tr>
        <w:tc>
          <w:tcPr>
            <w:tcW w:type="dxa" w:w="2880"/>
          </w:tcPr>
          <w:p>
            <w:pPr>
              <w:spacing w:after="40"/>
            </w:pPr>
            <w:r>
              <w:rPr>
                <w:b/>
                <w:sz w:val="18"/>
              </w:rPr>
              <w:t>Peraturan BSSN No. 8 Tahun 2020 tentang Sistem Pengamanan dalam Penyelenggaraan Sistem Elektronik</w:t>
            </w:r>
          </w:p>
        </w:tc>
        <w:tc>
          <w:tcPr>
            <w:tcW w:type="dxa" w:w="2880"/>
          </w:tcPr>
          <w:p>
            <w:pPr>
              <w:spacing w:after="40"/>
            </w:pPr>
            <w:r>
              <w:rPr>
                <w:sz w:val="18"/>
              </w:rPr>
              <w:t>Kategorisasi sistem elektronik dan kewajiban SMKI merujuk SNI ISO/IEC 27001</w:t>
            </w:r>
          </w:p>
        </w:tc>
        <w:tc>
          <w:tcPr>
            <w:tcW w:type="dxa" w:w="2880"/>
          </w:tcPr>
          <w:p>
            <w:pPr>
              <w:spacing w:after="40"/>
            </w:pPr>
            <w:r>
              <w:rPr>
                <w:b/>
                <w:sz w:val="18"/>
              </w:rPr>
              <w:t>Terverifikasi</w:t>
            </w:r>
            <w:r>
              <w:rPr>
                <w:sz w:val="18"/>
              </w:rPr>
              <w:t xml:space="preserve"> 7 Okt 2026 terhadap bssn.go.id dan pasal.id</w:t>
            </w:r>
          </w:p>
        </w:tc>
      </w:tr>
      <w:tr>
        <w:tc>
          <w:tcPr>
            <w:tcW w:type="dxa" w:w="2880"/>
          </w:tcPr>
          <w:p>
            <w:pPr>
              <w:spacing w:after="40"/>
            </w:pPr>
            <w:r>
              <w:rPr>
                <w:b/>
                <w:sz w:val="18"/>
              </w:rPr>
              <w:t>PP No. 33 Tahun 2026</w:t>
            </w:r>
            <w:r>
              <w:rPr>
                <w:sz w:val="18"/>
              </w:rPr>
              <w:t xml:space="preserve"> (peraturan pelaksanaan UU PDP)</w:t>
            </w:r>
          </w:p>
        </w:tc>
        <w:tc>
          <w:tcPr>
            <w:tcW w:type="dxa" w:w="2880"/>
          </w:tcPr>
          <w:p>
            <w:pPr>
              <w:spacing w:after="40"/>
            </w:pPr>
            <w:r>
              <w:rPr>
                <w:sz w:val="18"/>
              </w:rPr>
              <w:t>Dilaporkan memerinci pemicu DPIA dan kewajiban DPO; dilaporkan berlaku 16 Januari 2027</w:t>
            </w:r>
          </w:p>
        </w:tc>
        <w:tc>
          <w:tcPr>
            <w:tcW w:type="dxa" w:w="2880"/>
          </w:tcPr>
          <w:p>
            <w:pPr>
              <w:spacing w:after="40"/>
            </w:pPr>
            <w:r>
              <w:rPr>
                <w:b/>
                <w:sz w:val="18"/>
              </w:rPr>
              <w:t>BELUM DIVERIFIKASI terhadap teks resmi.</w:t>
            </w:r>
            <w:r>
              <w:rPr>
                <w:sz w:val="18"/>
              </w:rPr>
              <w:t xml:space="preserve"> Bersumber dari ringkasan firma hukum (AHP client alert 2 Sep 2026; HLC client alert 2026) via </w:t>
            </w:r>
            <w:r>
              <w:rPr>
                <w:rFonts w:ascii="Consolas" w:hAnsi="Consolas"/>
                <w:sz w:val="18"/>
              </w:rPr>
              <w:t>trareon-sprints/OPEN-QUESTIONS-LLM-SRIKANDI-LEGAL.md</w:t>
            </w:r>
            <w:r>
              <w:rPr>
                <w:sz w:val="18"/>
              </w:rPr>
              <w:t xml:space="preserve"> §C.2. Unit hukum instansi </w:t>
            </w:r>
            <w:r>
              <w:rPr>
                <w:b/>
                <w:sz w:val="18"/>
              </w:rPr>
              <w:t>harus</w:t>
            </w:r>
            <w:r>
              <w:rPr>
                <w:sz w:val="18"/>
              </w:rPr>
              <w:t xml:space="preserve"> memeriksa nomor, tanggal, dan isi terhadap JDIH sebelum mengutipnya</w:t>
            </w:r>
          </w:p>
        </w:tc>
      </w:tr>
      <w:tr>
        <w:tc>
          <w:tcPr>
            <w:tcW w:type="dxa" w:w="2880"/>
          </w:tcPr>
          <w:p>
            <w:pPr>
              <w:spacing w:after="40"/>
            </w:pPr>
            <w:r>
              <w:rPr>
                <w:sz w:val="18"/>
              </w:rPr>
              <w:t>PermenPANRB / peraturan Kemendagri tentang tata naskah dinas daerah</w:t>
            </w:r>
          </w:p>
        </w:tc>
        <w:tc>
          <w:tcPr>
            <w:tcW w:type="dxa" w:w="2880"/>
          </w:tcPr>
          <w:p>
            <w:pPr>
              <w:spacing w:after="40"/>
            </w:pPr>
            <w:r>
              <w:rPr>
                <w:sz w:val="18"/>
              </w:rPr>
              <w:t>Relevan untuk pemda</w:t>
            </w:r>
          </w:p>
        </w:tc>
        <w:tc>
          <w:tcPr>
            <w:tcW w:type="dxa" w:w="2880"/>
          </w:tcPr>
          <w:p>
            <w:pPr>
              <w:spacing w:after="40"/>
            </w:pPr>
            <w:r>
              <w:rPr>
                <w:b/>
                <w:sz w:val="18"/>
              </w:rPr>
              <w:t>Belum diverifikasi</w:t>
            </w:r>
            <w:r>
              <w:rPr>
                <w:sz w:val="18"/>
              </w:rPr>
              <w:t xml:space="preserve"> — nomor spesifik belum diperiksa</w:t>
            </w:r>
          </w:p>
        </w:tc>
      </w:tr>
    </w:tbl>
    <w:p>
      <w:pPr>
        <w:spacing w:after="40"/>
      </w:pPr>
    </w:p>
    <w:p>
      <w:pPr>
        <w:jc w:val="center"/>
      </w:pPr>
      <w:r>
        <w:rPr>
          <w:sz w:val="18"/>
        </w:rPr>
        <w:t>· · ·</w:t>
      </w:r>
    </w:p>
    <w:p>
      <w:pPr>
        <w:pStyle w:val="Heading2"/>
      </w:pPr>
      <w:r>
        <w:t>8. Yang tidak boleh dikatakan tentang dokumen ini</w:t>
      </w:r>
    </w:p>
    <w:p>
      <w:pPr>
        <w:pStyle w:val="ListBullet"/>
      </w:pPr>
      <w:r>
        <w:t>Bukan "Trareon patuh UU PDP". Yang patuh atau tidak patuh adalah</w:t>
      </w:r>
    </w:p>
    <w:p>
      <w:r>
        <w:rPr>
          <w:b/>
        </w:rPr>
        <w:t>instansi</w:t>
      </w:r>
      <w:r>
        <w:t>; Trareon menyediakan kendali.</w:t>
      </w:r>
    </w:p>
    <w:p>
      <w:pPr>
        <w:pStyle w:val="ListBullet"/>
      </w:pPr>
      <w:r>
        <w:t>Bukan sertifikasi, bukan akreditasi, bukan hasil audit pihak ketiga.</w:t>
      </w:r>
    </w:p>
    <w:p>
      <w:pPr>
        <w:pStyle w:val="ListBullet"/>
      </w:pPr>
      <w:r>
        <w:t>Bukan nasihat hukum. Diperlukan tinjauan unit hukum instansi.</w:t>
      </w:r>
    </w:p>
    <w:p>
      <w:pPr>
        <w:pStyle w:val="ListBullet"/>
      </w:pPr>
      <w:r>
        <w:t>Tidak ada nomor pasal di sini yang boleh dikutip dalam dokumen resmi</w:t>
      </w:r>
    </w:p>
    <w:p>
      <w:r>
        <w:t>tanpa dicocokkan ke teks di JDIH atau peraturan.bpk.go.id.</w:t>
      </w:r>
    </w:p>
    <w:p>
      <w:pPr>
        <w:jc w:val="center"/>
      </w:pPr>
      <w:r>
        <w:rPr>
          <w:sz w:val="18"/>
        </w:rPr>
        <w:t>· · ·</w:t>
      </w:r>
    </w:p>
    <w:p>
      <w:r>
        <w:rPr>
          <w:i/>
        </w:rPr>
        <w:t>Disusun 7 Oktober 2026 · Trareon Transcribe Sprint 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