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Earth science researcher with 16 publications in top Earth science journals, 1 book chapter, 3 software programs, and numerous government white papers and reports.</w:t>
      </w:r>
    </w:p>
    <w:p>
      <w:pPr>
        <w:numPr>
          <w:ilvl w:val="0"/>
          <w:numId w:val="1001"/>
        </w:numPr>
        <w:pStyle w:val="Compact"/>
      </w:pPr>
      <w:r>
        <w:t xml:space="preserve">Experience developing and applying cutting-edge Bayesian and frequentist statistical methods to support ecosystems management and understanding.</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iCs/>
          <w:i/>
        </w:rPr>
        <w:t xml:space="preserve">6 credit hours of pre-calculus mathematics coursework</w:t>
      </w:r>
      <w:r>
        <w:t xml:space="preserve"> </w:t>
      </w:r>
      <w:r>
        <w:rPr>
          <w:iCs/>
          <w:i/>
        </w:rPr>
        <w:t xml:space="preserve">10 total credit hours of calculus coursework</w:t>
      </w:r>
      <w:r>
        <w:t xml:space="preserve"> </w:t>
      </w:r>
      <w:r>
        <w:rPr>
          <w:iCs/>
          <w:i/>
        </w:rPr>
        <w:t xml:space="preserve">32 total credit hours of probability &amp; statistics coursework</w:t>
      </w:r>
    </w:p>
    <w:p>
      <w:pPr>
        <w:pStyle w:val="BodyText"/>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7 credit hours of probability &amp; statistics,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13 credit hours of probability &amp; statistics,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9 credit hours of statistics,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3 credit hours of probability &amp; statistics, 5 hours of pre-calculus mathematics, 10 hours of calculus</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w:t>
      </w:r>
      <w:r>
        <w:t xml:space="preserve"> </w:t>
      </w:r>
      <w:r>
        <w:t xml:space="preserve">| August 2022 - Present | 40 hours per week | GS-15-2 equivalent</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Natural Capital Accounting, Statistics for Environmental-economic Decisions Presidential Working Group,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2"/>
        </w:numPr>
        <w:pStyle w:val="Compact"/>
      </w:pPr>
      <w:r>
        <w:t xml:space="preserve">First-time recipient of the prestigious AAAS Science &amp; Technology Policy fellows and one (of only 2) out of 300 awardees invited to serve NASA.</w:t>
      </w:r>
    </w:p>
    <w:p>
      <w:pPr>
        <w:numPr>
          <w:ilvl w:val="0"/>
          <w:numId w:val="1002"/>
        </w:numPr>
        <w:pStyle w:val="Compact"/>
      </w:pPr>
      <w:r>
        <w:t xml:space="preserve">Leading development of a strategic and business plan for the Ecological Conservation applications area to help guide 1-year and 3-year investments.</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2"/>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2"/>
        </w:numPr>
        <w:pStyle w:val="Compact"/>
      </w:pPr>
      <w:r>
        <w:t xml:space="preserve">Spearhead cross-organizational efforts to build new relationships with tribal-serving organizations, resulting in new end users, new</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2"/>
        </w:numPr>
        <w:pStyle w:val="Compact"/>
      </w:pPr>
      <w:r>
        <w:t xml:space="preserve">Supervise and mentor high school and undergraduate students through NASA OSTEM program.</w:t>
      </w:r>
    </w:p>
    <w:p>
      <w:pPr>
        <w:numPr>
          <w:ilvl w:val="0"/>
          <w:numId w:val="1002"/>
        </w:numPr>
        <w:pStyle w:val="Compact"/>
      </w:pPr>
      <w:r>
        <w:t xml:space="preserve">Serve as technical expert for ecology and conservation issues on data calls from executive agencies such as the White House Office of Science and Technology Policy (OSTP).</w:t>
      </w:r>
    </w:p>
    <w:p>
      <w:pPr>
        <w:numPr>
          <w:ilvl w:val="0"/>
          <w:numId w:val="1002"/>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2"/>
        </w:numPr>
        <w:pStyle w:val="Compact"/>
      </w:pPr>
      <w:r>
        <w:t xml:space="preserve">Develop and organize in-person, online, and hybrid conferences, workshops, symposia, and special events for audiences of up to 600 people.</w:t>
      </w:r>
    </w:p>
    <w:p>
      <w:pPr>
        <w:numPr>
          <w:ilvl w:val="0"/>
          <w:numId w:val="1002"/>
        </w:numPr>
        <w:pStyle w:val="Compact"/>
      </w:pPr>
      <w:r>
        <w:t xml:space="preserve">Gain familiarity with numerous NASA airborne campaigns and spaceborne missions and mission lifecycle.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 | GS-12-4</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Develop cutting-edge statistical (Bayesian) methods for estimating bird population parameters.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 | GS 7-1 equivalent</w:t>
      </w:r>
      <w:r>
        <w:t xml:space="preserv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Published peer reviewed articles in top natural resources and computational journals.</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numPr>
          <w:ilvl w:val="0"/>
          <w:numId w:val="1004"/>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 | GS 7-1 equivalent</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First-time applicant recipient of the U.S. Geological Survey’s coveted Mendenhall Postdoctoral Research Fellowship</w:t>
      </w:r>
    </w:p>
    <w:p>
      <w:pPr>
        <w:numPr>
          <w:ilvl w:val="0"/>
          <w:numId w:val="1007"/>
        </w:numPr>
        <w:pStyle w:val="Compact"/>
      </w:pPr>
      <w:r>
        <w:t xml:space="preserve">Received 2 cash awards for Exceptional Service during both full-fiscal years served at U.S. Geological Survey</w:t>
      </w:r>
    </w:p>
    <w:p>
      <w:pPr>
        <w:numPr>
          <w:ilvl w:val="0"/>
          <w:numId w:val="1007"/>
        </w:numPr>
        <w:pStyle w:val="Compact"/>
      </w:pPr>
      <w:r>
        <w:t xml:space="preserve">Recipient of several competitive science technology and policy scholarships, fellowships, and awards totaling over $350,000 USD</w:t>
      </w:r>
    </w:p>
    <w:p>
      <w:pPr>
        <w:numPr>
          <w:ilvl w:val="0"/>
          <w:numId w:val="1007"/>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fed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fed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fed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8"/>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8"/>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8"/>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8"/>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8"/>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8"/>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8"/>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8"/>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8"/>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8"/>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8"/>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Style w:val="Compact"/>
      </w:pPr>
      <w:r>
        <w:t xml:space="preserve">Regime Detection Measures for the Practical Ecologist, Department of Wildlife Ecology &amp; Conservation, University of Florida, Gainesville, FL, 2019</w:t>
      </w:r>
    </w:p>
    <w:p>
      <w:pPr>
        <w:numPr>
          <w:ilvl w:val="0"/>
          <w:numId w:val="1008"/>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09"/>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1"/>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2"/>
        </w:numPr>
        <w:pStyle w:val="Compact"/>
      </w:pPr>
      <w:r>
        <w:t xml:space="preserve">Enjoys competitive sports including volleyball and disc golf</w:t>
      </w:r>
    </w:p>
    <w:p>
      <w:pPr>
        <w:numPr>
          <w:ilvl w:val="0"/>
          <w:numId w:val="1012"/>
        </w:numPr>
        <w:pStyle w:val="Compact"/>
      </w:pPr>
      <w:r>
        <w:t xml:space="preserve">Known to bring elaborate bakes to work for office events</w:t>
      </w:r>
    </w:p>
    <w:p>
      <w:pPr>
        <w:numPr>
          <w:ilvl w:val="0"/>
          <w:numId w:val="1012"/>
        </w:numPr>
        <w:pStyle w:val="Compact"/>
      </w:pPr>
      <w:r>
        <w:t xml:space="preserve">Recreational baker who often shares new creations with co-workers and friends</w:t>
      </w:r>
    </w:p>
    <w:p>
      <w:pPr>
        <w:numPr>
          <w:ilvl w:val="0"/>
          <w:numId w:val="1012"/>
        </w:numPr>
        <w:pStyle w:val="Compact"/>
      </w:pPr>
      <w:r>
        <w:t xml:space="preserve">Likes to play card, board, word, and video games</w:t>
      </w:r>
    </w:p>
    <w:p>
      <w:pPr>
        <w:numPr>
          <w:ilvl w:val="0"/>
          <w:numId w:val="1012"/>
        </w:numPr>
        <w:pStyle w:val="Compact"/>
      </w:pPr>
      <w:r>
        <w:t xml:space="preserve">Volunteers as a mentor with science diversity initiatives including Disabled in STEM, Letters to a Pre-scientist, and Skype a Scientist</w:t>
      </w:r>
    </w:p>
    <w:p>
      <w:pPr>
        <w:numPr>
          <w:ilvl w:val="0"/>
          <w:numId w:val="1012"/>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2024-04-30T14:40:08Z</dcterms:created>
  <dcterms:modified xsi:type="dcterms:W3CDTF">2024-04-30T14:40:08Z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“burnett_fedresume”, envir = globalenv() ), rmarkdown::render( input, output_format = “github_document”, output_file = “README”, envir = globalenv() ), rmarkdown::render( input, output_format = “word_document”, output_file = “burnett_fedresume”,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