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Well-published Ph.D. life science researcher with 16 publications in top Earth science journals, 1 book chapter, 3 software programs, and numerous government white papers and reports.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developing, evaluating, marketing, and measuring progress of competitive funding solicitations.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2"/>
      </w:pPr>
      <w:r>
        <w:t xml:space="preserve">Education</w:t>
      </w:r>
    </w:p>
    <w:p>
      <w:pPr>
        <w:pStyle w:val="FirstParagraph"/>
      </w:pPr>
      <w:r>
        <w:rPr>
          <w:bCs/>
          <w:b/>
        </w:rPr>
        <w:t xml:space="preserve">Ph.D. in Natural Resource Sciences</w:t>
      </w:r>
      <w:r>
        <w:t xml:space="preserve">,</w:t>
      </w:r>
      <w:r>
        <w:t xml:space="preserve"> </w:t>
      </w:r>
      <w:r>
        <w:rPr>
          <w:iCs/>
          <w:i/>
        </w:rPr>
        <w:t xml:space="preserve">University of Nebraska-Lincoln</w:t>
      </w:r>
      <w:r>
        <w:t xml:space="preserve">, Lincoln, Nebraska | 2019</w:t>
      </w:r>
      <w:r>
        <w:br/>
      </w:r>
      <w:r>
        <w:t xml:space="preserve">15 credit hours of life sciences coursework, N credit hours of mathematical and statistical coursework, 52 credit hours of research</w:t>
      </w:r>
      <w:r>
        <w:br/>
      </w:r>
      <w:r>
        <w:rPr>
          <w:bCs/>
          <w:b/>
        </w:rPr>
        <w:t xml:space="preserve">M.S. in Wildlife Ecology &amp; Conservation</w:t>
      </w:r>
      <w:r>
        <w:t xml:space="preserve">,</w:t>
      </w:r>
      <w:r>
        <w:t xml:space="preserve"> </w:t>
      </w:r>
      <w:r>
        <w:rPr>
          <w:iCs/>
          <w:i/>
        </w:rPr>
        <w:t xml:space="preserve">University of Florida</w:t>
      </w:r>
      <w:r>
        <w:t xml:space="preserve">, Gainesville, Florida | 2015</w:t>
      </w:r>
      <w:r>
        <w:br/>
      </w:r>
      <w:r>
        <w:t xml:space="preserve">30 credit hours of life sciences coursework, N credit hours of mathematical and statistical coursework, 20 credit hours of research</w:t>
      </w:r>
      <w:r>
        <w:br/>
      </w:r>
      <w:r>
        <w:rPr>
          <w:bCs/>
          <w:b/>
        </w:rPr>
        <w:t xml:space="preserve">B.S. in Wildlife Ecology &amp; Conservation</w:t>
      </w:r>
      <w:r>
        <w:t xml:space="preserve">,</w:t>
      </w:r>
      <w:r>
        <w:t xml:space="preserve"> </w:t>
      </w:r>
      <w:r>
        <w:rPr>
          <w:iCs/>
          <w:i/>
        </w:rPr>
        <w:t xml:space="preserve">University of Florida</w:t>
      </w:r>
      <w:r>
        <w:t xml:space="preserve">, Gainesville, Florida | 2013</w:t>
      </w:r>
      <w:r>
        <w:br/>
      </w:r>
      <w:r>
        <w:t xml:space="preserve">74 credit hours of life sciences coursework, N credit hours of mathematical and statistical coursework, 5 credit hours of research</w:t>
      </w:r>
      <w:r>
        <w:br/>
      </w:r>
      <w:r>
        <w:rPr>
          <w:bCs/>
          <w:b/>
        </w:rPr>
        <w:t xml:space="preserve">A.A. in General Studies</w:t>
      </w:r>
      <w:r>
        <w:t xml:space="preserve">,</w:t>
      </w:r>
      <w:r>
        <w:rPr>
          <w:iCs/>
          <w:i/>
        </w:rPr>
        <w:t xml:space="preserve">Valencia Community College</w:t>
      </w:r>
      <w:r>
        <w:t xml:space="preserve">, Orlando, Florida | 2010</w:t>
      </w:r>
      <w:r>
        <w:t xml:space="preserve"> </w:t>
      </w:r>
      <w:r>
        <w:t xml:space="preserve">42 credit hours of life sciences coursework and N credit hours of mathematical and statistical coursework</w:t>
      </w:r>
    </w:p>
    <w:bookmarkEnd w:id="21"/>
    <w:bookmarkStart w:id="22" w:name="professional-experience"/>
    <w:p>
      <w:pPr>
        <w:pStyle w:val="Heading2"/>
      </w:pPr>
      <w:r>
        <w:t xml:space="preserve">Professional Experience</w:t>
      </w:r>
      <w:r>
        <w:t xml:space="preserve"> </w:t>
      </w:r>
    </w:p>
    <w:p>
      <w:pPr>
        <w:pStyle w:val="FirstParagraph"/>
      </w:pPr>
      <w:r>
        <w:rPr>
          <w:bCs/>
          <w:b/>
        </w:rPr>
        <w:t xml:space="preserve">National Aeronautics and Space Administration (NASA)</w:t>
      </w:r>
      <w:r>
        <w:rPr>
          <w:bCs/>
          <w:b/>
        </w:rPr>
        <w:t xml:space="preserve"> </w:t>
      </w:r>
      <w:r>
        <w:t xml:space="preserve">, Washington, D.C. US</w:t>
      </w:r>
      <w:r>
        <w:br/>
      </w:r>
      <w:r>
        <w:rPr>
          <w:iCs/>
          <w:i/>
        </w:rPr>
        <w:t xml:space="preserve">Program Coordinator, Ecological Conservation, Earth Science Division</w:t>
      </w:r>
      <w:r>
        <w:t xml:space="preserve"> </w:t>
      </w:r>
      <w:r>
        <w:t xml:space="preserve">| August 2022 - Present | 40 hours per week</w:t>
      </w:r>
      <w:r>
        <w:t xml:space="preserve"> </w:t>
      </w:r>
    </w:p>
    <w:p>
      <w:pPr>
        <w:numPr>
          <w:ilvl w:val="0"/>
          <w:numId w:val="1002"/>
        </w:numPr>
        <w:pStyle w:val="Compact"/>
      </w:pPr>
      <w:r>
        <w:t xml:space="preserve">Spearhead integration of NASA data and technologies into North American wildlife management, bridging resource gaps for conservation organizations.</w:t>
      </w:r>
    </w:p>
    <w:p>
      <w:pPr>
        <w:numPr>
          <w:ilvl w:val="0"/>
          <w:numId w:val="1002"/>
        </w:numPr>
        <w:pStyle w:val="Compact"/>
      </w:pPr>
      <w:r>
        <w:t xml:space="preserve">Drive strategic program planning, overseeing fund solicitation, analysis, peer review panels, and proposal evaluation.</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initiatives like the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 resulting in an expanded NASA data end user base, numerous new, first-time Principal Investigator applications, and.</w:t>
      </w:r>
    </w:p>
    <w:p>
      <w:pPr>
        <w:numPr>
          <w:ilvl w:val="0"/>
          <w:numId w:val="1002"/>
        </w:numPr>
        <w:pStyle w:val="Compact"/>
      </w:pPr>
      <w:r>
        <w:t xml:space="preserve">First-time recipient of the prestigious AAAS Science &amp; Technology Policy fellows and one (of only 2) out of 300 awardees invited to serve NASA.</w:t>
      </w:r>
    </w:p>
    <w:p>
      <w:pPr>
        <w:numPr>
          <w:ilvl w:val="0"/>
          <w:numId w:val="1002"/>
        </w:numPr>
        <w:pStyle w:val="Compact"/>
      </w:pPr>
      <w:r>
        <w:t xml:space="preserve">Leading development of a strategic and business plan for the Ecological Conservation applications area to help guide 1-year and 3-year investments.</w:t>
      </w:r>
    </w:p>
    <w:p>
      <w:pPr>
        <w:numPr>
          <w:ilvl w:val="0"/>
          <w:numId w:val="1002"/>
        </w:numPr>
        <w:pStyle w:val="Compact"/>
      </w:pPr>
      <w:r>
        <w:t xml:space="preserve">Represent NASA on several executive-level initiatives including but not limited to the National Nature Assessment federal steering committee, Natural Socioeconomic Accounting Presidential Working Group, National Invasive Species Council, National Civil Earth Observations Plan writing team to ensure NASA’s interests, data, and expertise are best leveraged.</w:t>
      </w:r>
    </w:p>
    <w:p>
      <w:pPr>
        <w:numPr>
          <w:ilvl w:val="0"/>
          <w:numId w:val="1002"/>
        </w:numPr>
        <w:pStyle w:val="Compact"/>
      </w:pPr>
      <w:r>
        <w:t xml:space="preserve">Establish and manage external relationships with federal, state, and non-governmental conservation organizations and landowners. These strategic investments resulted in an MOU inquiry from the Department of Interior U.S. Fish &amp; Wildlife Service Assistant Director for Science Applications.</w:t>
      </w:r>
    </w:p>
    <w:p>
      <w:pPr>
        <w:numPr>
          <w:ilvl w:val="0"/>
          <w:numId w:val="1002"/>
        </w:numPr>
        <w:pStyle w:val="Compact"/>
      </w:pPr>
      <w:r>
        <w:t xml:space="preserve">Spearhead cross-organizational efforts to build new relationships with tribal-serving organizations, resulting in new end users, new</w:t>
      </w:r>
    </w:p>
    <w:p>
      <w:pPr>
        <w:numPr>
          <w:ilvl w:val="0"/>
          <w:numId w:val="1002"/>
        </w:numPr>
        <w:pStyle w:val="Compact"/>
      </w:pPr>
      <w:r>
        <w:t xml:space="preserve">Develop and implement an annual outreach strategy for engaging with and synthesizing the needs of federal, state, tribal, and non-governmental end user organizations. Tactics deployed for achieving strategy include conference exhibits, sponsored events, targeted oral presentations to conservation coalitions, and facilitating development of communications materials.</w:t>
      </w:r>
    </w:p>
    <w:p>
      <w:pPr>
        <w:numPr>
          <w:ilvl w:val="0"/>
          <w:numId w:val="1002"/>
        </w:numPr>
        <w:pStyle w:val="Compact"/>
      </w:pPr>
      <w:r>
        <w:t xml:space="preserve">Supervise and mentor high school and undergraduate students through NASA OSTEM program.</w:t>
      </w:r>
    </w:p>
    <w:p>
      <w:pPr>
        <w:numPr>
          <w:ilvl w:val="0"/>
          <w:numId w:val="1002"/>
        </w:numPr>
        <w:pStyle w:val="Compact"/>
      </w:pPr>
      <w:r>
        <w:t xml:space="preserve">Serve as technical expert for ecology and conservation issues on data calls from executive agencies such as the White House Office of Science and Technology Policy (OSTP).</w:t>
      </w:r>
    </w:p>
    <w:p>
      <w:pPr>
        <w:numPr>
          <w:ilvl w:val="0"/>
          <w:numId w:val="1002"/>
        </w:numPr>
        <w:pStyle w:val="Compact"/>
      </w:pPr>
      <w:r>
        <w:t xml:space="preserve">Spearhead efforts to improve cross-organizational communications and collaborations with NASA Earth Science Data Systems and the Office of the Chief Science Data Officer (OSDO), including co-sponsorship of events, contributing to development of NASA Open Science Data Policy (SPD-41a), and developing solicitation language to ensure policy compliance.</w:t>
      </w:r>
    </w:p>
    <w:p>
      <w:pPr>
        <w:numPr>
          <w:ilvl w:val="0"/>
          <w:numId w:val="1002"/>
        </w:numPr>
        <w:pStyle w:val="Compact"/>
      </w:pPr>
      <w:r>
        <w:t xml:space="preserve">Judiciously convey important messaging in public panels, presentations, and video conferencing platforms. Develop and deliver oral presentations to a variety of audiences ranging from scientists to federal administrators.</w:t>
      </w:r>
    </w:p>
    <w:p>
      <w:pPr>
        <w:numPr>
          <w:ilvl w:val="0"/>
          <w:numId w:val="1002"/>
        </w:numPr>
        <w:pStyle w:val="Compact"/>
      </w:pPr>
      <w:r>
        <w:t xml:space="preserve">Develop and organize in-person, online, and hybrid conferences, workshops, symposia, and special events for audiences of up to 600 people.</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 (GS-12-3)</w:t>
      </w:r>
      <w:r>
        <w:t xml:space="preserve"> </w:t>
      </w:r>
      <w:r>
        <w:t xml:space="preserve">| August 2019 - August 2022</w:t>
      </w:r>
      <w:r>
        <w:t xml:space="preserve"> </w:t>
      </w:r>
      <w:r>
        <w:t xml:space="preserve">40 hours per week</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 | 40 hours per week</w:t>
      </w:r>
      <w:r>
        <w:t xml:space="preserve"> </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 and in the development of the University chapter of the Natural Resources Diversity Initiative.</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Published peer reviewed articles in top natural resources and computational journals.</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numPr>
          <w:ilvl w:val="0"/>
          <w:numId w:val="1004"/>
        </w:numPr>
        <w:pStyle w:val="Compact"/>
      </w:pPr>
      <w:r>
        <w:t xml:space="preserve">Represent the interests and perspectives of the graduate student body through activities such as committee membership and serving on faculty hiring committees.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 | 40 hours per week</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 | 40 hours per week</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p>
      <w:pPr>
        <w:numPr>
          <w:ilvl w:val="0"/>
          <w:numId w:val="1006"/>
        </w:numPr>
        <w:pStyle w:val="Compact"/>
      </w:pPr>
      <w:r>
        <w:t xml:space="preserve">Served as a graduate student representative on university and departmental initiatives.</w:t>
      </w:r>
    </w:p>
    <w:bookmarkEnd w:id="22"/>
    <w:bookmarkStart w:id="23" w:name="notable-awards-achievements"/>
    <w:p>
      <w:pPr>
        <w:pStyle w:val="Heading2"/>
      </w:pPr>
      <w:r>
        <w:t xml:space="preserve">Notable Awards &amp; Achievements</w:t>
      </w:r>
    </w:p>
    <w:p>
      <w:pPr>
        <w:numPr>
          <w:ilvl w:val="0"/>
          <w:numId w:val="1007"/>
        </w:numPr>
        <w:pStyle w:val="Compact"/>
      </w:pPr>
      <w:r>
        <w:t xml:space="preserve">First-time applicant recipient of the prestigious AAAS Science &amp; Technology Policy Fellowship</w:t>
      </w:r>
    </w:p>
    <w:p>
      <w:pPr>
        <w:numPr>
          <w:ilvl w:val="0"/>
          <w:numId w:val="1007"/>
        </w:numPr>
        <w:pStyle w:val="Compact"/>
      </w:pPr>
      <w:r>
        <w:t xml:space="preserve">First-time applicant recipient of the U.S. Geological Survey’s coveted Mendenhall Postdoctoral Research Fellowship</w:t>
      </w:r>
      <w:r>
        <w:t xml:space="preserve"> </w:t>
      </w:r>
    </w:p>
    <w:p>
      <w:pPr>
        <w:numPr>
          <w:ilvl w:val="0"/>
          <w:numId w:val="1007"/>
        </w:numPr>
        <w:pStyle w:val="Compact"/>
      </w:pPr>
      <w:r>
        <w:t xml:space="preserve">Recipient of several competitive science technology and policy scholarships, fellowships, and awards totaling over $350,000 USD</w:t>
      </w:r>
    </w:p>
    <w:p>
      <w:pPr>
        <w:numPr>
          <w:ilvl w:val="0"/>
          <w:numId w:val="1007"/>
        </w:numPr>
        <w:pStyle w:val="Compact"/>
      </w:pPr>
      <w:r>
        <w:t xml:space="preserve">Developed and taught numerous professional workshops and academic courses in topics including Scientific Programming, Statistics, Life Sciences, Ornithology, and Ecology</w:t>
      </w:r>
    </w:p>
    <w:bookmarkEnd w:id="23"/>
    <w:bookmarkStart w:id="56" w:name="publications"/>
    <w:p>
      <w:pPr>
        <w:pStyle w:val="Heading2"/>
      </w:pPr>
      <w:r>
        <w:t xml:space="preserve">Publications</w:t>
      </w:r>
    </w:p>
    <w:p>
      <w:pPr>
        <w:pStyle w:val="FirstParagraph"/>
      </w:pPr>
      <w:r>
        <w:drawing>
          <wp:inline>
            <wp:extent cx="176022" cy="157162"/>
            <wp:effectExtent b="0" l="0" r="0" t="0"/>
            <wp:docPr descr="" title="" id="25" name="Picture"/>
            <a:graphic>
              <a:graphicData uri="http://schemas.openxmlformats.org/drawingml/2006/picture">
                <pic:pic>
                  <pic:nvPicPr>
                    <pic:cNvPr descr="burnett_resume_files/figure-docx/fa-icon-a32c8471294266ceed38a8d3d266d74b.png" id="26" name="Picture"/>
                    <pic:cNvPicPr>
                      <a:picLocks noChangeArrowheads="1" noChangeAspect="1"/>
                    </pic:cNvPicPr>
                  </pic:nvPicPr>
                  <pic:blipFill>
                    <a:blip r:embed="rId24"/>
                    <a:stretch>
                      <a:fillRect/>
                    </a:stretch>
                  </pic:blipFill>
                  <pic:spPr bwMode="auto">
                    <a:xfrm>
                      <a:off x="0" y="0"/>
                      <a:ext cx="176022" cy="157162"/>
                    </a:xfrm>
                    <a:prstGeom prst="rect">
                      <a:avLst/>
                    </a:prstGeom>
                    <a:noFill/>
                    <a:ln w="9525">
                      <a:noFill/>
                      <a:headEnd/>
                      <a:tailEnd/>
                    </a:ln>
                  </pic:spPr>
                </pic:pic>
              </a:graphicData>
            </a:graphic>
          </wp:inline>
        </w:drawing>
      </w:r>
      <w:r>
        <w:t xml:space="preserve">   16 peer-reviewed publications   </w:t>
      </w:r>
      <w:r>
        <w:drawing>
          <wp:inline>
            <wp:extent cx="138303" cy="157162"/>
            <wp:effectExtent b="0" l="0" r="0" t="0"/>
            <wp:docPr descr="" title="" id="28" name="Picture"/>
            <a:graphic>
              <a:graphicData uri="http://schemas.openxmlformats.org/drawingml/2006/picture">
                <pic:pic>
                  <pic:nvPicPr>
                    <pic:cNvPr descr="burnett_resume_files/figure-docx/fa-icon-5ea3361430ab42477e0145b37bf037cc.png" id="29" name="Picture"/>
                    <pic:cNvPicPr>
                      <a:picLocks noChangeArrowheads="1" noChangeAspect="1"/>
                    </pic:cNvPicPr>
                  </pic:nvPicPr>
                  <pic:blipFill>
                    <a:blip r:embed="rId27"/>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1" name="Picture"/>
            <a:graphic>
              <a:graphicData uri="http://schemas.openxmlformats.org/drawingml/2006/picture">
                <pic:pic>
                  <pic:nvPicPr>
                    <pic:cNvPr descr="burnett_resume_files/figure-docx/fa-icon-30c4616c049063884dd0a3d0075831eb.png" id="32" name="Picture"/>
                    <pic:cNvPicPr>
                      <a:picLocks noChangeArrowheads="1" noChangeAspect="1"/>
                    </pic:cNvPicPr>
                  </pic:nvPicPr>
                  <pic:blipFill>
                    <a:blip r:embed="rId30"/>
                    <a:stretch>
                      <a:fillRect/>
                    </a:stretch>
                  </pic:blipFill>
                  <pic:spPr bwMode="auto">
                    <a:xfrm>
                      <a:off x="0" y="0"/>
                      <a:ext cx="117871" cy="157162"/>
                    </a:xfrm>
                    <a:prstGeom prst="rect">
                      <a:avLst/>
                    </a:prstGeom>
                    <a:noFill/>
                    <a:ln w="9525">
                      <a:noFill/>
                      <a:headEnd/>
                      <a:tailEnd/>
                    </a:ln>
                  </pic:spPr>
                </pic:pic>
              </a:graphicData>
            </a:graphic>
          </wp:inline>
        </w:drawing>
      </w:r>
      <w:r>
        <w:rPr>
          <w:iCs/>
          <w:i/>
        </w:rPr>
        <w:t xml:space="preserve">in top Earth and life science journals</w:t>
      </w:r>
    </w:p>
    <w:bookmarkStart w:id="55" w:name="refs"/>
    <w:bookmarkStart w:id="33"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3"/>
    <w:bookmarkStart w:id="34"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4"/>
    <w:bookmarkStart w:id="35"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5"/>
    <w:bookmarkStart w:id="36"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6"/>
    <w:bookmarkStart w:id="37"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7"/>
    <w:bookmarkStart w:id="38"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8"/>
    <w:bookmarkStart w:id="39" w:name="ref-burnett2019regime"/>
    <w:p>
      <w:pPr>
        <w:pStyle w:val="Bibliography"/>
      </w:pPr>
      <w:r>
        <w:t xml:space="preserve">7.</w:t>
      </w:r>
      <w:r>
        <w:t xml:space="preserve"> </w:t>
      </w:r>
      <w:r>
        <w:t xml:space="preserve">	</w:t>
      </w:r>
      <w:r>
        <w:t xml:space="preserve">J. L. Burnett, thesis, University of Nebraska-Lincoln (2019).</w:t>
      </w:r>
    </w:p>
    <w:bookmarkEnd w:id="39"/>
    <w:bookmarkStart w:id="41"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0">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1"/>
    <w:bookmarkStart w:id="43"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2">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3"/>
    <w:bookmarkStart w:id="45"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4">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5"/>
    <w:bookmarkStart w:id="47"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6">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7"/>
    <w:bookmarkStart w:id="48"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8"/>
    <w:bookmarkStart w:id="50"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49">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0"/>
    <w:bookmarkStart w:id="52"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1">
        <w:r>
          <w:rPr>
            <w:rStyle w:val="Hyperlink"/>
          </w:rPr>
          <w:t xml:space="preserve">10.3390/su8090844</w:t>
        </w:r>
      </w:hyperlink>
      <w:r>
        <w:t xml:space="preserve">.</w:t>
      </w:r>
    </w:p>
    <w:bookmarkEnd w:id="52"/>
    <w:bookmarkStart w:id="53"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3"/>
    <w:bookmarkStart w:id="54"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54"/>
    <w:bookmarkEnd w:id="55"/>
    <w:bookmarkEnd w:id="56"/>
    <w:bookmarkStart w:id="59" w:name="presentations"/>
    <w:p>
      <w:pPr>
        <w:pStyle w:val="Heading2"/>
      </w:pPr>
      <w:r>
        <w:t xml:space="preserve">Presentations</w:t>
      </w:r>
    </w:p>
    <w:bookmarkStart w:id="57" w:name="invited"/>
    <w:p>
      <w:pPr>
        <w:pStyle w:val="Heading3"/>
      </w:pPr>
      <w:r>
        <w:t xml:space="preserve">Invited</w:t>
      </w:r>
    </w:p>
    <w:p>
      <w:pPr>
        <w:numPr>
          <w:ilvl w:val="0"/>
          <w:numId w:val="1008"/>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8"/>
        </w:numPr>
        <w:pStyle w:val="Compact"/>
      </w:pPr>
      <w:r>
        <w:t xml:space="preserve">NASA Earth Science for Fisheries Ecology and Management.</w:t>
      </w:r>
      <w:r>
        <w:t xml:space="preserve"> </w:t>
      </w:r>
      <w:r>
        <w:rPr>
          <w:iCs/>
          <w:i/>
        </w:rPr>
        <w:t xml:space="preserve">American Fisheries Society Conference</w:t>
      </w:r>
      <w:r>
        <w:t xml:space="preserve">, Grand Rapids, MI, 2023</w:t>
      </w:r>
    </w:p>
    <w:p>
      <w:pPr>
        <w:numPr>
          <w:ilvl w:val="0"/>
          <w:numId w:val="1008"/>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8"/>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8"/>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8"/>
        </w:numPr>
        <w:pStyle w:val="Compact"/>
      </w:pPr>
      <w:r>
        <w:t xml:space="preserve">Overview of NASA Earth Science Division resources and opportunities.</w:t>
      </w:r>
      <w:r>
        <w:t xml:space="preserve"> </w:t>
      </w:r>
      <w:r>
        <w:rPr>
          <w:iCs/>
          <w:i/>
        </w:rPr>
        <w:t xml:space="preserve">University of Colorado</w:t>
      </w:r>
      <w:r>
        <w:t xml:space="preserve">, Boulder, CO, 2023</w:t>
      </w:r>
    </w:p>
    <w:p>
      <w:pPr>
        <w:numPr>
          <w:ilvl w:val="0"/>
          <w:numId w:val="1008"/>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8"/>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8"/>
        </w:numPr>
        <w:pStyle w:val="Compact"/>
      </w:pPr>
      <w:r>
        <w:t xml:space="preserve">Opportunities for STEM students at NASA: an emphasis on SMD and ESD student and early career resources and opportunities.</w:t>
      </w:r>
      <w:r>
        <w:t xml:space="preserve"> </w:t>
      </w:r>
      <w:r>
        <w:rPr>
          <w:iCs/>
          <w:i/>
        </w:rPr>
        <w:t xml:space="preserve">Salt Lake City Community College</w:t>
      </w:r>
      <w:r>
        <w:t xml:space="preserve">, Salt Lake City, UT, 2023.</w:t>
      </w:r>
    </w:p>
    <w:p>
      <w:pPr>
        <w:numPr>
          <w:ilvl w:val="0"/>
          <w:numId w:val="1008"/>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8"/>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8"/>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8"/>
        </w:numPr>
        <w:pStyle w:val="Compact"/>
      </w:pPr>
      <w:r>
        <w:t xml:space="preserve">Regime Detection Measures for the Practical Ecologist, Department of Wildlife Ecology &amp; Conservation, University of Florida, Gainesville, FL, 2019</w:t>
      </w:r>
    </w:p>
    <w:p>
      <w:pPr>
        <w:numPr>
          <w:ilvl w:val="0"/>
          <w:numId w:val="1008"/>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8"/>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p>
    <w:bookmarkEnd w:id="57"/>
    <w:bookmarkStart w:id="58" w:name="contributed"/>
    <w:p>
      <w:pPr>
        <w:pStyle w:val="Heading3"/>
      </w:pPr>
      <w:r>
        <w:t xml:space="preserve">Contributed</w:t>
      </w:r>
    </w:p>
    <w:p>
      <w:pPr>
        <w:numPr>
          <w:ilvl w:val="0"/>
          <w:numId w:val="1009"/>
        </w:numPr>
        <w:pStyle w:val="Compact"/>
      </w:pPr>
      <w:r>
        <w:t xml:space="preserve">Estes, M. &amp;</w:t>
      </w:r>
      <w:r>
        <w:t xml:space="preserve"> </w:t>
      </w:r>
      <w:r>
        <w:rPr>
          <w:bCs/>
          <w:b/>
        </w:rPr>
        <w:t xml:space="preserve">Burnett, J.L.</w:t>
      </w:r>
      <w:r>
        <w:t xml:space="preserve">. Fisheries ecology and management using NASA data assets.</w:t>
      </w:r>
      <w:r>
        <w:t xml:space="preserve"> </w:t>
      </w:r>
      <w:r>
        <w:rPr>
          <w:iCs/>
          <w:i/>
        </w:rPr>
        <w:t xml:space="preserve">9th World Fisheries Congress</w:t>
      </w:r>
      <w:r>
        <w:t xml:space="preserve">, Oral presentation. Seattle, WA, 2024</w:t>
      </w:r>
    </w:p>
    <w:p>
      <w:pPr>
        <w:numPr>
          <w:ilvl w:val="0"/>
          <w:numId w:val="1009"/>
        </w:numPr>
        <w:pStyle w:val="Compact"/>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09"/>
        </w:numPr>
        <w:pStyle w:val="Compact"/>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9"/>
        </w:numPr>
        <w:pStyle w:val="Compact"/>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9"/>
        </w:numPr>
        <w:pStyle w:val="Compact"/>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9"/>
        </w:numPr>
        <w:pStyle w:val="Compact"/>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9"/>
        </w:numPr>
        <w:pStyle w:val="Compact"/>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9"/>
        </w:numPr>
        <w:pStyle w:val="Compact"/>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9"/>
        </w:numPr>
        <w:pStyle w:val="Compact"/>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9"/>
        </w:numPr>
        <w:pStyle w:val="Compact"/>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9"/>
        </w:numPr>
        <w:pStyle w:val="Compact"/>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Washington, D.C., 2016</w:t>
      </w:r>
    </w:p>
    <w:p>
      <w:pPr>
        <w:numPr>
          <w:ilvl w:val="0"/>
          <w:numId w:val="1009"/>
        </w:numPr>
        <w:pStyle w:val="Compact"/>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9"/>
        </w:numPr>
        <w:pStyle w:val="Compact"/>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9"/>
        </w:numPr>
        <w:pStyle w:val="Compact"/>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9"/>
        </w:numPr>
        <w:pStyle w:val="Compact"/>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9"/>
        </w:numPr>
        <w:pStyle w:val="Compact"/>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9"/>
        </w:numPr>
        <w:pStyle w:val="Compact"/>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9"/>
        </w:numPr>
        <w:pStyle w:val="Compact"/>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8"/>
    <w:bookmarkEnd w:id="59"/>
    <w:bookmarkStart w:id="60" w:name="X36c85c99ea21fcf9d83a39c39b6f5832f41aa22"/>
    <w:p>
      <w:pPr>
        <w:pStyle w:val="Heading2"/>
      </w:pPr>
      <w:r>
        <w:t xml:space="preserve">Select Conferences, Workshops &amp; Symposia Coordination</w:t>
      </w:r>
    </w:p>
    <w:bookmarkEnd w:id="60"/>
    <w:bookmarkStart w:id="61" w:name="Xf9b33c6a054472ea9dd7bbbb8a290886aef81f4"/>
    <w:p>
      <w:pPr>
        <w:pStyle w:val="Heading2"/>
      </w:pPr>
      <w:r>
        <w:t xml:space="preserve">Select conferences and workshop organization</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Kennedy Space Center,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Tampa, FL, 2023.</w:t>
      </w:r>
    </w:p>
    <w:bookmarkEnd w:id="61"/>
    <w:bookmarkStart w:id="62" w:name="select-symposia-and-workshops"/>
    <w:p>
      <w:pPr>
        <w:pStyle w:val="Heading2"/>
      </w:pPr>
      <w:r>
        <w:t xml:space="preserve">Select symposia and workshops</w:t>
      </w:r>
    </w:p>
    <w:p>
      <w:pPr>
        <w:numPr>
          <w:ilvl w:val="0"/>
          <w:numId w:val="1011"/>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62"/>
    <w:bookmarkStart w:id="63" w:name="personal-interests"/>
    <w:p>
      <w:pPr>
        <w:pStyle w:val="Heading2"/>
      </w:pPr>
      <w:r>
        <w:t xml:space="preserve">Personal Interests</w:t>
      </w:r>
    </w:p>
    <w:p>
      <w:pPr>
        <w:numPr>
          <w:ilvl w:val="0"/>
          <w:numId w:val="1012"/>
        </w:numPr>
        <w:pStyle w:val="Compact"/>
      </w:pPr>
      <w:r>
        <w:t xml:space="preserve">Enjoys competitive sports including volleyball and disc golf</w:t>
      </w:r>
    </w:p>
    <w:p>
      <w:pPr>
        <w:numPr>
          <w:ilvl w:val="0"/>
          <w:numId w:val="1012"/>
        </w:numPr>
        <w:pStyle w:val="Compact"/>
      </w:pPr>
      <w:r>
        <w:t xml:space="preserve">Known to bring elaborate bakes to work for office events</w:t>
      </w:r>
    </w:p>
    <w:p>
      <w:pPr>
        <w:numPr>
          <w:ilvl w:val="0"/>
          <w:numId w:val="1012"/>
        </w:numPr>
        <w:pStyle w:val="Compact"/>
      </w:pPr>
      <w:r>
        <w:t xml:space="preserve">Recreational baker who often shares new creations with co-workers and friends</w:t>
      </w:r>
    </w:p>
    <w:p>
      <w:pPr>
        <w:numPr>
          <w:ilvl w:val="0"/>
          <w:numId w:val="1012"/>
        </w:numPr>
        <w:pStyle w:val="Compact"/>
      </w:pPr>
      <w:r>
        <w:t xml:space="preserve">Likes to play card, board, word, and video games</w:t>
      </w:r>
    </w:p>
    <w:p>
      <w:pPr>
        <w:numPr>
          <w:ilvl w:val="0"/>
          <w:numId w:val="1012"/>
        </w:numPr>
        <w:pStyle w:val="Compact"/>
      </w:pPr>
      <w:r>
        <w:t xml:space="preserve">Volunteers as a mentor with science diversity initiatives including Disabled in STEM, Letters to a Pre-scientist, and Skype a Scientist</w:t>
      </w:r>
    </w:p>
    <w:p>
      <w:pPr>
        <w:numPr>
          <w:ilvl w:val="0"/>
          <w:numId w:val="1012"/>
        </w:numPr>
        <w:pStyle w:val="Compact"/>
      </w:pPr>
      <w:r>
        <w:t xml:space="preserve">Enjoys casually biking around town, especially when the destination is a coffee shop, library or thrift store</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2024-01-03T21:25:59Z</dcterms:created>
  <dcterms:modified xsi:type="dcterms:W3CDTF">2024-01-03T21:25:59Z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jessicaleighburnett@gmail.com</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