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Integrating NASA data, technologies, and capacity into North American wildlife management and conservation in a community whose organizations often lack the resources necessary to achieve conservation targets.</w:t>
      </w:r>
    </w:p>
    <w:p>
      <w:pPr>
        <w:numPr>
          <w:ilvl w:val="0"/>
          <w:numId w:val="1001"/>
        </w:numPr>
        <w:pStyle w:val="Compact"/>
      </w:pPr>
      <w:r>
        <w:t xml:space="preserve">Initiating and nurturing relationships with NASA and other key domestic organizations (e.g., Department of Defense, U.S. Geological Survey, Wildlife Management Institute). As a result, NASA is now a recognized and sought-after partner for achieving wildlife management and conservation goals in this sector.</w:t>
      </w:r>
    </w:p>
    <w:p>
      <w:pPr>
        <w:numPr>
          <w:ilvl w:val="0"/>
          <w:numId w:val="1001"/>
        </w:numPr>
        <w:pStyle w:val="Compact"/>
      </w:pPr>
      <w:r>
        <w:t xml:space="preserve">Well-published life science researcher with 14 publications in top Earth science journals, 1 book chapter, 3 software programs, and 4 government white papers.</w:t>
      </w:r>
    </w:p>
    <w:p>
      <w:pPr>
        <w:numPr>
          <w:ilvl w:val="0"/>
          <w:numId w:val="1001"/>
        </w:numPr>
        <w:pStyle w:val="Compact"/>
      </w:pPr>
      <w:r>
        <w:t xml:space="preserve">11+ years of integrating and managing concurrent research projects with an emphasis on Earth science, especially wildlife conservation, applied geospatial science, scientific programming, and statistical modeling.</w:t>
      </w:r>
    </w:p>
    <w:p>
      <w:pPr>
        <w:numPr>
          <w:ilvl w:val="0"/>
          <w:numId w:val="1001"/>
        </w:numPr>
        <w:pStyle w:val="Compact"/>
      </w:pPr>
      <w:r>
        <w:t xml:space="preserve">Experienced communicator with strong interpersonal and presentation skills enabling effective presentations to and discussions with lay audiences, scientific communities, and decision makers alike.</w:t>
      </w:r>
    </w:p>
    <w:p>
      <w:pPr>
        <w:numPr>
          <w:ilvl w:val="0"/>
          <w:numId w:val="1001"/>
        </w:numPr>
        <w:pStyle w:val="Compact"/>
      </w:pPr>
      <w:r>
        <w:t xml:space="preserve">6+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As a first-time applicant (of over XXX applicants), was awarded the prestigious AAAS Science &amp; Technology Policy Fellowship and one of only two (of approx. 275) invited to support NASA Headquarters programs.</w:t>
      </w:r>
    </w:p>
    <w:bookmarkEnd w:id="20"/>
    <w:bookmarkStart w:id="21" w:name="education"/>
    <w:p>
      <w:pPr>
        <w:pStyle w:val="Heading2"/>
      </w:pPr>
      <w:r>
        <w:t xml:space="preserve">Education</w:t>
      </w:r>
    </w:p>
    <w:p>
      <w:pPr>
        <w:pStyle w:val="FirstParagraph"/>
      </w:pPr>
      <w:r>
        <w:rPr>
          <w:bCs/>
          <w:b/>
        </w:rPr>
        <w:t xml:space="preserve">Ph.D. | Natural Resource Sciences</w:t>
      </w:r>
      <w:r>
        <w:br/>
      </w:r>
      <w:r>
        <w:rPr>
          <w:iCs/>
          <w:i/>
        </w:rPr>
        <w:t xml:space="preserve">University of Nebraska-Lincoln</w:t>
      </w:r>
      <w:r>
        <w:t xml:space="preserve">, Lincoln, Nebraska | 2019</w:t>
      </w:r>
      <w:r>
        <w:br/>
      </w:r>
      <w:r>
        <w:t xml:space="preserve">15 credit hours of life sciences coursework, 52 credit hours of research  </w:t>
      </w:r>
    </w:p>
    <w:p>
      <w:pPr>
        <w:pStyle w:val="BodyText"/>
      </w:pPr>
      <w:r>
        <w:rPr>
          <w:bCs/>
          <w:b/>
        </w:rPr>
        <w:t xml:space="preserve">M.S. | Wildlife Ecology &amp; Conservation</w:t>
      </w:r>
      <w:r>
        <w:br/>
      </w:r>
      <w:r>
        <w:rPr>
          <w:iCs/>
          <w:i/>
        </w:rPr>
        <w:t xml:space="preserve">University of Florida</w:t>
      </w:r>
      <w:r>
        <w:t xml:space="preserve">, Gainesville, Florida | 2015</w:t>
      </w:r>
      <w:r>
        <w:br/>
      </w:r>
      <w:r>
        <w:t xml:space="preserve">30 credit hours of life sciences coursework, 20 credit hours of research</w:t>
      </w:r>
      <w:r>
        <w:br/>
      </w:r>
    </w:p>
    <w:p>
      <w:pPr>
        <w:pStyle w:val="BodyText"/>
      </w:pPr>
      <w:r>
        <w:rPr>
          <w:bCs/>
          <w:b/>
        </w:rPr>
        <w:t xml:space="preserve">B.S. | Wildlife Ecology &amp; Conservation</w:t>
      </w:r>
      <w:r>
        <w:br/>
      </w:r>
      <w:r>
        <w:rPr>
          <w:iCs/>
          <w:i/>
        </w:rPr>
        <w:t xml:space="preserve">University of Florida</w:t>
      </w:r>
      <w:r>
        <w:t xml:space="preserve">, Gainesville, Florida | 2013</w:t>
      </w:r>
      <w:r>
        <w:br/>
      </w:r>
      <w:r>
        <w:t xml:space="preserve">74 credit hours of life sciences coursework, 5 credit hours of research</w:t>
      </w:r>
      <w:r>
        <w:br/>
      </w:r>
    </w:p>
    <w:p>
      <w:pPr>
        <w:pStyle w:val="BodyText"/>
      </w:pPr>
      <w:r>
        <w:rPr>
          <w:bCs/>
          <w:b/>
        </w:rPr>
        <w:t xml:space="preserve">A.A. | General Studies</w:t>
      </w:r>
      <w:r>
        <w:br/>
      </w:r>
      <w:r>
        <w:rPr>
          <w:iCs/>
          <w:i/>
        </w:rPr>
        <w:t xml:space="preserve">Valencia Community College</w:t>
      </w:r>
      <w:r>
        <w:t xml:space="preserve">, Orlando, Florida | 2010</w:t>
      </w:r>
      <w:r>
        <w:t xml:space="preserve"> </w:t>
      </w:r>
      <w:r>
        <w:t xml:space="preserve">42 credit hours of life sciences coursework</w:t>
      </w:r>
    </w:p>
    <w:bookmarkEnd w:id="21"/>
    <w:bookmarkStart w:id="22" w:name="professional-experience"/>
    <w:p>
      <w:pPr>
        <w:pStyle w:val="Heading2"/>
      </w:pPr>
      <w:r>
        <w:t xml:space="preserve">Professional Experience</w:t>
      </w:r>
    </w:p>
    <w:p>
      <w:pPr>
        <w:pStyle w:val="FirstParagraph"/>
      </w:pPr>
      <w:r>
        <w:rPr>
          <w:bCs/>
          <w:b/>
        </w:rPr>
        <w:t xml:space="preserve">National Aeronautics and Space Administration (NASA)</w:t>
      </w:r>
      <w:r>
        <w:t xml:space="preserve">, Washington, D.C., U.S.</w:t>
      </w:r>
      <w:r>
        <w:br/>
      </w:r>
      <w:r>
        <w:rPr>
          <w:iCs/>
          <w:i/>
        </w:rPr>
        <w:t xml:space="preserve">Associate Program Manager</w:t>
      </w:r>
      <w:r>
        <w:t xml:space="preserve"> </w:t>
      </w:r>
      <w:r>
        <w:t xml:space="preserve">| August 2022 - Present</w:t>
      </w:r>
      <w:r>
        <w:br/>
      </w:r>
      <w:r>
        <w:t xml:space="preserve">40 hours per week, GS-12-1 equivalent</w:t>
      </w:r>
      <w:r>
        <w:br/>
      </w:r>
    </w:p>
    <w:p>
      <w:pPr>
        <w:numPr>
          <w:ilvl w:val="0"/>
          <w:numId w:val="1002"/>
        </w:numPr>
        <w:pStyle w:val="Compact"/>
      </w:pPr>
      <w:r>
        <w:t xml:space="preserve">Within only 5 months of onboarding, was trusted to lead the development of a strategic plan for program investments and activities by NASA Ecological Conservation Applications.</w:t>
      </w:r>
    </w:p>
    <w:p>
      <w:pPr>
        <w:numPr>
          <w:ilvl w:val="0"/>
          <w:numId w:val="1002"/>
        </w:numPr>
        <w:pStyle w:val="Compact"/>
      </w:pPr>
      <w:r>
        <w:t xml:space="preserve">One of only two AAAS Science &amp; Technology Policy fellows (of 300+ awardees) to be invited to support NASA headquarters programs.</w:t>
      </w:r>
    </w:p>
    <w:p>
      <w:pPr>
        <w:numPr>
          <w:ilvl w:val="0"/>
          <w:numId w:val="1002"/>
        </w:numPr>
        <w:pStyle w:val="Compact"/>
      </w:pPr>
      <w:r>
        <w:t xml:space="preserve">Establish and manage interagency relationships with U.S. federal, state, and non-governmental conservation organizations. These efforts have already resulted in a two-fold increase in number of notice of intent submissions.</w:t>
      </w:r>
    </w:p>
    <w:p>
      <w:pPr>
        <w:numPr>
          <w:ilvl w:val="0"/>
          <w:numId w:val="1002"/>
        </w:numPr>
        <w:pStyle w:val="Compact"/>
      </w:pPr>
      <w:r>
        <w:t xml:space="preserve">Develop and implement a 9-month strategy for engaging with and synthesizing the needs of federal, state, and non-governmental end user organizations, including conference exhibits/sponsorships (6+), targeted outreach presentations conservation coalitions (5+), and developing effective communications materials.</w:t>
      </w:r>
    </w:p>
    <w:p>
      <w:pPr>
        <w:numPr>
          <w:ilvl w:val="0"/>
          <w:numId w:val="1002"/>
        </w:numPr>
        <w:pStyle w:val="Compact"/>
      </w:pPr>
      <w:r>
        <w:t xml:space="preserve">Develop materials to communicate program investments, capacity, and achievements to internal and external audiences.</w:t>
      </w:r>
    </w:p>
    <w:p>
      <w:pPr>
        <w:numPr>
          <w:ilvl w:val="0"/>
          <w:numId w:val="1002"/>
        </w:numPr>
        <w:pStyle w:val="Compact"/>
      </w:pPr>
      <w:r>
        <w:t xml:space="preserve">Represent NASA on interagency science and technology committees to enable application of NASA investments by federal partners for natural resource management and planning.</w:t>
      </w:r>
    </w:p>
    <w:p>
      <w:pPr>
        <w:numPr>
          <w:ilvl w:val="0"/>
          <w:numId w:val="1002"/>
        </w:numPr>
        <w:pStyle w:val="Compact"/>
      </w:pPr>
      <w:r>
        <w:t xml:space="preserve">Mentor undergraduate and high school students from traditionally underrepresented backgrounds to conduct projects resulting in actionable intelligence for program strategy development, evaluation, and private sector engagement.</w:t>
      </w:r>
      <w:r>
        <w:br/>
      </w:r>
    </w:p>
    <w:p>
      <w:pPr>
        <w:numPr>
          <w:ilvl w:val="0"/>
          <w:numId w:val="1002"/>
        </w:numPr>
        <w:pStyle w:val="Compact"/>
      </w:pPr>
      <w:r>
        <w:t xml:space="preserve">Serve as technical expert for conservation issues on interagency committes and on data calls from the White House Office of Science and Technology Policy (OSTP)</w:t>
      </w:r>
    </w:p>
    <w:p>
      <w:pPr>
        <w:numPr>
          <w:ilvl w:val="0"/>
          <w:numId w:val="1002"/>
        </w:numPr>
        <w:pStyle w:val="Compact"/>
      </w:pPr>
      <w:r>
        <w:t xml:space="preserve">Improve cross-organizational communications and collaborations with NASA Earth Science Data Systems and Office of the Chief Science Data Officer, including co-sponsorship of events, writing internal guidance for NASA Open Science Data Policy (SPD-41a), and developing solicitation language to ensure policy compliance.</w:t>
      </w:r>
    </w:p>
    <w:p>
      <w:pPr>
        <w:numPr>
          <w:ilvl w:val="0"/>
          <w:numId w:val="1002"/>
        </w:numPr>
        <w:pStyle w:val="Compact"/>
      </w:pPr>
      <w:r>
        <w:t xml:space="preserve">Develop solicitations, run and serve on peer review panels, serve as subject matter expert for Earth science applications, especially for data and technology matters, ecology, and conservation.</w:t>
      </w:r>
    </w:p>
    <w:p>
      <w:pPr>
        <w:pStyle w:val="FirstParagraph"/>
      </w:pPr>
      <w:r>
        <w:rPr>
          <w:bCs/>
          <w:b/>
        </w:rPr>
        <w:t xml:space="preserve">U.S. Geological Survey (USGS), Biogeographic Sciences Branch</w:t>
      </w:r>
      <w:r>
        <w:t xml:space="preserve">, Denver, CO</w:t>
      </w:r>
      <w:r>
        <w:br/>
      </w:r>
      <w:r>
        <w:rPr>
          <w:iCs/>
          <w:i/>
        </w:rPr>
        <w:t xml:space="preserve">Research Ecologist</w:t>
      </w:r>
      <w:r>
        <w:t xml:space="preserve"> </w:t>
      </w:r>
      <w:r>
        <w:t xml:space="preserve">| August 2019 - August 2022</w:t>
      </w:r>
      <w:r>
        <w:br/>
      </w:r>
      <w:r>
        <w:t xml:space="preserve">40 hours per week, GS-12-4 equivalent, 2 cash awards for performance for both FY annual reviews</w:t>
      </w:r>
      <w:r>
        <w:br/>
      </w:r>
    </w:p>
    <w:p>
      <w:pPr>
        <w:numPr>
          <w:ilvl w:val="0"/>
          <w:numId w:val="1003"/>
        </w:numPr>
        <w:pStyle w:val="Compact"/>
      </w:pPr>
      <w:r>
        <w:t xml:space="preserve">Key player in establishing and facilitating cross-cutting relationships to broaden and enable partner use of agency Earth Science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Designed, developed, and published well-known, open-source software to enable applications of an important USGS data asset to natural resource management and wildlife conservation activities.</w:t>
      </w:r>
    </w:p>
    <w:p>
      <w:pPr>
        <w:pStyle w:val="FirstParagraph"/>
      </w:pPr>
      <w:r>
        <w:rPr>
          <w:bCs/>
          <w:b/>
        </w:rPr>
        <w:t xml:space="preserve">International Institute for Applied Systems Analysis (IIASA)</w:t>
      </w:r>
      <w:r>
        <w:t xml:space="preserve">, Laxenburg, Austria</w:t>
      </w:r>
      <w:r>
        <w:br/>
      </w:r>
      <w:r>
        <w:rPr>
          <w:iCs/>
          <w:i/>
        </w:rPr>
        <w:t xml:space="preserve">Visiting Researcher</w:t>
      </w:r>
      <w:r>
        <w:t xml:space="preserve"> </w:t>
      </w:r>
      <w:r>
        <w:t xml:space="preserve">| April 2018 - August 2018</w:t>
      </w:r>
      <w:r>
        <w:br/>
      </w:r>
      <w:r>
        <w:t xml:space="preserve">40 hours per week, GS-6-1 equivalent</w:t>
      </w:r>
      <w:r>
        <w:br/>
      </w:r>
    </w:p>
    <w:p>
      <w:pPr>
        <w:numPr>
          <w:ilvl w:val="0"/>
          <w:numId w:val="1004"/>
        </w:numPr>
        <w:pStyle w:val="Compact"/>
      </w:pPr>
      <w:r>
        <w:t xml:space="preserve">Recipient (of 500+ international applicants) of the renowned IIASA Young Scholar Summer Program fellowship, with financial support competitively awarded by the U.S. National Academy of Sciences.</w:t>
      </w:r>
    </w:p>
    <w:p>
      <w:pPr>
        <w:numPr>
          <w:ilvl w:val="0"/>
          <w:numId w:val="1004"/>
        </w:numPr>
        <w:pStyle w:val="Compact"/>
      </w:pPr>
      <w:r>
        <w:t xml:space="preserve">Designed and led collaborative research with applied mathematicians and Earth scientists from four countries resulting in 2 international presentations and 1 peer-reviewed publication.</w:t>
      </w:r>
    </w:p>
    <w:p>
      <w:pPr>
        <w:pStyle w:val="FirstParagraph"/>
      </w:pPr>
      <w:r>
        <w:rPr>
          <w:bCs/>
          <w:b/>
        </w:rPr>
        <w:t xml:space="preserve">University of Nebraska-Lincoln (UNL)</w:t>
      </w:r>
      <w:r>
        <w:t xml:space="preserve">, Lincoln, Nebraska, U.S.</w:t>
      </w:r>
      <w:r>
        <w:br/>
      </w:r>
      <w:r>
        <w:rPr>
          <w:iCs/>
          <w:i/>
        </w:rPr>
        <w:t xml:space="preserve">Graduate Research Assistant</w:t>
      </w:r>
      <w:r>
        <w:t xml:space="preserve"> </w:t>
      </w:r>
      <w:r>
        <w:t xml:space="preserve">| August 2015 - July 2019</w:t>
      </w:r>
      <w:r>
        <w:br/>
      </w:r>
      <w:r>
        <w:t xml:space="preserve">- Created and led week-long workshop for the end users at the state of Nebraska’s natural resource agency, focusing on technologies for applied statistics, data management, and applications for geospatial inference.</w:t>
      </w:r>
      <w:r>
        <w:t xml:space="preserve"> </w:t>
      </w:r>
      <w:r>
        <w:t xml:space="preserve">- Developed the University’s first local chapter of the Association for Women in Science, resulting in an investment by Office of the President of UNL as an institutional member. This initiative provided free AWIS membership for all undergraduate students at UNL and led to multiple professional development workshops for advancing equity and inclusion of women in science.</w:t>
      </w:r>
      <w:r>
        <w:t xml:space="preserve"> </w:t>
      </w:r>
      <w:r>
        <w:t xml:space="preserve">- Managed multiple research projects with international and domestic collaborators from 4 countries, including projects to support on-the-ground decision making by end users at two Department of Defense (DoD) military installations (Fort Riley and Eglin Air Force Base).</w:t>
      </w:r>
      <w:r>
        <w:t xml:space="preserve"> </w:t>
      </w:r>
      <w:r>
        <w:t xml:space="preserve"> </w:t>
      </w:r>
      <w:r>
        <w:t xml:space="preserve"> </w:t>
      </w:r>
    </w:p>
    <w:p>
      <w:pPr>
        <w:pStyle w:val="BodyText"/>
      </w:pPr>
      <w:r>
        <w:rPr>
          <w:bCs/>
          <w:b/>
        </w:rPr>
        <w:t xml:space="preserve">University of Florida</w:t>
      </w:r>
      <w:r>
        <w:t xml:space="preserve">, Gainesville, Florida, U.S.</w:t>
      </w:r>
      <w:r>
        <w:br/>
      </w:r>
      <w:r>
        <w:rPr>
          <w:iCs/>
          <w:i/>
        </w:rPr>
        <w:t xml:space="preserve">Graduate Research Assistant</w:t>
      </w:r>
      <w:r>
        <w:t xml:space="preserve"> </w:t>
      </w:r>
      <w:r>
        <w:t xml:space="preserve">| August 2013 - August 2015</w:t>
      </w:r>
      <w:r>
        <w:br/>
      </w:r>
      <w:r>
        <w:t xml:space="preserve">40 hours per week, GS-1 equivalent</w:t>
      </w:r>
      <w:r>
        <w:br/>
      </w:r>
    </w:p>
    <w:p>
      <w:pPr>
        <w:numPr>
          <w:ilvl w:val="0"/>
          <w:numId w:val="1005"/>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5"/>
        </w:numPr>
        <w:pStyle w:val="Compact"/>
      </w:pPr>
      <w:r>
        <w:t xml:space="preserve">Designed and conducted research resulting in 3 publications and becoming a top expert on urban bird populations.</w:t>
      </w:r>
    </w:p>
    <w:p>
      <w:pPr>
        <w:numPr>
          <w:ilvl w:val="0"/>
          <w:numId w:val="1005"/>
        </w:numPr>
        <w:pStyle w:val="Compact"/>
      </w:pPr>
      <w:r>
        <w:t xml:space="preserve">Taught and mentored undergraduate students, including developing workshops and lectures on the topics of scientific programming, invasive species, and geospatial modeling.</w:t>
      </w:r>
    </w:p>
    <w:bookmarkEnd w:id="22"/>
    <w:bookmarkStart w:id="23" w:name="personal-interests"/>
    <w:p>
      <w:pPr>
        <w:pStyle w:val="Heading2"/>
      </w:pPr>
      <w:r>
        <w:t xml:space="preserve">Personal Interests</w:t>
      </w:r>
    </w:p>
    <w:p>
      <w:pPr>
        <w:numPr>
          <w:ilvl w:val="0"/>
          <w:numId w:val="1006"/>
        </w:numPr>
        <w:pStyle w:val="Compact"/>
      </w:pPr>
      <w:r>
        <w:t xml:space="preserve">Enjoys competitive sports including volleyball and disc golf</w:t>
      </w:r>
    </w:p>
    <w:p>
      <w:pPr>
        <w:numPr>
          <w:ilvl w:val="0"/>
          <w:numId w:val="1006"/>
        </w:numPr>
        <w:pStyle w:val="Compact"/>
      </w:pPr>
      <w:r>
        <w:t xml:space="preserve">Competes in disc golf tournaments</w:t>
      </w:r>
    </w:p>
    <w:p>
      <w:pPr>
        <w:numPr>
          <w:ilvl w:val="0"/>
          <w:numId w:val="1006"/>
        </w:numPr>
        <w:pStyle w:val="Compact"/>
      </w:pPr>
      <w:r>
        <w:t xml:space="preserve">Volunteers with Disabled in STEM organization as a peer mentor</w:t>
      </w:r>
    </w:p>
    <w:p>
      <w:pPr>
        <w:numPr>
          <w:ilvl w:val="0"/>
          <w:numId w:val="1006"/>
        </w:numPr>
        <w:pStyle w:val="Compact"/>
      </w:pPr>
      <w:r>
        <w:t xml:space="preserve">Fan of many card, board, word, and video games including spades, NYT crossword, Skyrim, and Cthulu</w:t>
      </w:r>
    </w:p>
    <w:p>
      <w:pPr>
        <w:numPr>
          <w:ilvl w:val="0"/>
          <w:numId w:val="1006"/>
        </w:numPr>
        <w:pStyle w:val="Compact"/>
      </w:pPr>
      <w:r>
        <w:t xml:space="preserve">Recreational baker who often shares new creations with co-workers and friends</w:t>
      </w:r>
    </w:p>
    <w:p>
      <w:pPr>
        <w:numPr>
          <w:ilvl w:val="0"/>
          <w:numId w:val="1006"/>
        </w:numPr>
        <w:pStyle w:val="Compact"/>
      </w:pPr>
      <w:r>
        <w:t xml:space="preserve">Enjoys casually biking around town, especially when the destination is a coffee shop, library or thrift store</w:t>
      </w:r>
    </w:p>
    <w:bookmarkEnd w:id="23"/>
    <w:bookmarkStart w:id="24" w:name="awards-achievements"/>
    <w:p>
      <w:pPr>
        <w:pStyle w:val="Heading2"/>
      </w:pPr>
      <w:r>
        <w:t xml:space="preserve">Awards &amp; Achievements</w:t>
      </w:r>
    </w:p>
    <w:p>
      <w:pPr>
        <w:numPr>
          <w:ilvl w:val="0"/>
          <w:numId w:val="1007"/>
        </w:numPr>
        <w:pStyle w:val="Compact"/>
      </w:pPr>
      <w:r>
        <w:t xml:space="preserve">First-time applicant recipient of the prestigious AAAS Science &amp; Technology Policy Fellowship</w:t>
      </w:r>
    </w:p>
    <w:p>
      <w:pPr>
        <w:numPr>
          <w:ilvl w:val="0"/>
          <w:numId w:val="1007"/>
        </w:numPr>
        <w:pStyle w:val="Compact"/>
      </w:pPr>
      <w:r>
        <w:t xml:space="preserve">Recipient of the U.S. Geological Survey’s coveted Mendenhall Postdoctoral Research Fellowship</w:t>
      </w:r>
    </w:p>
    <w:p>
      <w:pPr>
        <w:numPr>
          <w:ilvl w:val="0"/>
          <w:numId w:val="1007"/>
        </w:numPr>
        <w:pStyle w:val="Compact"/>
      </w:pPr>
      <w:r>
        <w:t xml:space="preserve">Received 2 cash awards for Exceptional Service during both full-fiscal years served at U.S. Geological Survey</w:t>
      </w:r>
    </w:p>
    <w:p>
      <w:pPr>
        <w:numPr>
          <w:ilvl w:val="0"/>
          <w:numId w:val="1007"/>
        </w:numPr>
        <w:pStyle w:val="Compact"/>
      </w:pPr>
      <w:r>
        <w:t xml:space="preserve">X competitive scholarships, fellowships, and awards totaling over $XXXk (</w:t>
      </w:r>
      <w:r>
        <w:rPr>
          <w:bCs/>
          <w:b/>
        </w:rPr>
        <w:t xml:space="preserve">should I include this?</w:t>
      </w:r>
      <w:r>
        <w:t xml:space="preserve">)</w:t>
      </w:r>
    </w:p>
    <w:p>
      <w:pPr>
        <w:numPr>
          <w:ilvl w:val="0"/>
          <w:numId w:val="1007"/>
        </w:numPr>
        <w:pStyle w:val="Compact"/>
      </w:pPr>
      <w:r>
        <w:t xml:space="preserve">Organized X symposia at professional scientific meetings (</w:t>
      </w:r>
      <w:r>
        <w:rPr>
          <w:bCs/>
          <w:b/>
        </w:rPr>
        <w:t xml:space="preserve">should I include this? not really awards/achievements</w:t>
      </w:r>
      <w:r>
        <w:t xml:space="preserve">)</w:t>
      </w:r>
    </w:p>
    <w:p>
      <w:pPr>
        <w:numPr>
          <w:ilvl w:val="0"/>
          <w:numId w:val="1007"/>
        </w:numPr>
        <w:pStyle w:val="Compact"/>
      </w:pPr>
      <w:r>
        <w:t xml:space="preserve">Developed and taught over X workshops and courses (</w:t>
      </w:r>
      <w:r>
        <w:rPr>
          <w:bCs/>
          <w:b/>
        </w:rPr>
        <w:t xml:space="preserve">should I include this? not really awards/achievements</w:t>
      </w:r>
      <w:r>
        <w:t xml:space="preserve">)</w:t>
      </w:r>
    </w:p>
    <w:p>
      <w:pPr>
        <w:numPr>
          <w:ilvl w:val="0"/>
          <w:numId w:val="1007"/>
        </w:numPr>
        <w:pStyle w:val="Compact"/>
      </w:pPr>
      <w:r>
        <w:t xml:space="preserve">Invited to deliver X scientific presentations and seminars (</w:t>
      </w:r>
      <w:r>
        <w:rPr>
          <w:bCs/>
          <w:b/>
        </w:rPr>
        <w:t xml:space="preserve">again, not sure</w:t>
      </w:r>
      <w:r>
        <w:t xml:space="preserve">)</w:t>
      </w:r>
    </w:p>
    <w:bookmarkEnd w:id="24"/>
    <w:bookmarkStart w:id="57" w:name="publications"/>
    <w:p>
      <w:pPr>
        <w:pStyle w:val="Heading2"/>
      </w:pPr>
      <w:r>
        <w:t xml:space="preserve">Publications</w:t>
      </w:r>
    </w:p>
    <w:p>
      <w:pPr>
        <w:pStyle w:val="FirstParagraph"/>
      </w:pPr>
      <w:r>
        <w:drawing>
          <wp:inline>
            <wp:extent cx="176022" cy="157162"/>
            <wp:effectExtent b="0" l="0" r="0" t="0"/>
            <wp:docPr descr="" title="" id="26" name="Picture"/>
            <a:graphic>
              <a:graphicData uri="http://schemas.openxmlformats.org/drawingml/2006/picture">
                <pic:pic>
                  <pic:nvPicPr>
                    <pic:cNvPr descr="burnett_resume_files/figure-docx/fa-icon-a32c8471294266ceed38a8d3d266d74b.png" id="27" name="Picture"/>
                    <pic:cNvPicPr>
                      <a:picLocks noChangeArrowheads="1" noChangeAspect="1"/>
                    </pic:cNvPicPr>
                  </pic:nvPicPr>
                  <pic:blipFill>
                    <a:blip r:embed="rId25"/>
                    <a:stretch>
                      <a:fillRect/>
                    </a:stretch>
                  </pic:blipFill>
                  <pic:spPr bwMode="auto">
                    <a:xfrm>
                      <a:off x="0" y="0"/>
                      <a:ext cx="176022" cy="157162"/>
                    </a:xfrm>
                    <a:prstGeom prst="rect">
                      <a:avLst/>
                    </a:prstGeom>
                    <a:noFill/>
                    <a:ln w="9525">
                      <a:noFill/>
                      <a:headEnd/>
                      <a:tailEnd/>
                    </a:ln>
                  </pic:spPr>
                </pic:pic>
              </a:graphicData>
            </a:graphic>
          </wp:inline>
        </w:drawing>
      </w:r>
      <w:r>
        <w:t xml:space="preserve">   14 peer-reviewed publications in Earth and life science journals   </w:t>
      </w:r>
      <w:r>
        <w:drawing>
          <wp:inline>
            <wp:extent cx="138303" cy="157162"/>
            <wp:effectExtent b="0" l="0" r="0" t="0"/>
            <wp:docPr descr="" title="" id="29" name="Picture"/>
            <a:graphic>
              <a:graphicData uri="http://schemas.openxmlformats.org/drawingml/2006/picture">
                <pic:pic>
                  <pic:nvPicPr>
                    <pic:cNvPr descr="burnett_resume_files/figure-docx/fa-icon-5ea3361430ab42477e0145b37bf037cc.png" id="30" name="Picture"/>
                    <pic:cNvPicPr>
                      <a:picLocks noChangeArrowheads="1" noChangeAspect="1"/>
                    </pic:cNvPicPr>
                  </pic:nvPicPr>
                  <pic:blipFill>
                    <a:blip r:embed="rId28"/>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2" name="Picture"/>
            <a:graphic>
              <a:graphicData uri="http://schemas.openxmlformats.org/drawingml/2006/picture">
                <pic:pic>
                  <pic:nvPicPr>
                    <pic:cNvPr descr="burnett_resume_files/figure-docx/fa-icon-72f798a57a25e6b9da18e2e310189a68.png" id="33" name="Picture"/>
                    <pic:cNvPicPr>
                      <a:picLocks noChangeArrowheads="1" noChangeAspect="1"/>
                    </pic:cNvPicPr>
                  </pic:nvPicPr>
                  <pic:blipFill>
                    <a:blip r:embed="rId31"/>
                    <a:stretch>
                      <a:fillRect/>
                    </a:stretch>
                  </pic:blipFill>
                  <pic:spPr bwMode="auto">
                    <a:xfrm>
                      <a:off x="0" y="0"/>
                      <a:ext cx="117871" cy="157162"/>
                    </a:xfrm>
                    <a:prstGeom prst="rect">
                      <a:avLst/>
                    </a:prstGeom>
                    <a:noFill/>
                    <a:ln w="9525">
                      <a:noFill/>
                      <a:headEnd/>
                      <a:tailEnd/>
                    </a:ln>
                  </pic:spPr>
                </pic:pic>
              </a:graphicData>
            </a:graphic>
          </wp:inline>
        </w:drawing>
      </w:r>
      <w:r>
        <w:t xml:space="preserve">   4 conference papers   </w:t>
      </w:r>
    </w:p>
    <w:p>
      <w:pPr>
        <w:pStyle w:val="BodyText"/>
      </w:pPr>
      <w:r>
        <w:t xml:space="preserve">(</w:t>
      </w:r>
      <w:r>
        <w:rPr>
          <w:iCs/>
          <w:i/>
        </w:rPr>
        <w:t xml:space="preserve">1</w:t>
      </w:r>
      <w:r>
        <w:t xml:space="preserve">)</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 chinese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 passer montanus in north america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(buteo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 gainesville, alachua county, florida.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60" w:name="presentations"/>
    <w:p>
      <w:pPr>
        <w:pStyle w:val="Heading2"/>
      </w:pPr>
      <w:r>
        <w:t xml:space="preserve">Presentations</w:t>
      </w:r>
    </w:p>
    <w:bookmarkStart w:id="58" w:name="invited"/>
    <w:p>
      <w:pPr>
        <w:pStyle w:val="Heading3"/>
      </w:pPr>
      <w:r>
        <w:t xml:space="preserve">Invited</w:t>
      </w:r>
    </w:p>
    <w:p>
      <w:pPr>
        <w:numPr>
          <w:ilvl w:val="0"/>
          <w:numId w:val="1008"/>
        </w:numPr>
      </w:pPr>
      <w:r>
        <w:t xml:space="preserve">Satellite remote sensing for freshwater fisheries and aquatic sciences.</w:t>
      </w:r>
      <w:r>
        <w:t xml:space="preserve"> </w:t>
      </w:r>
      <w:r>
        <w:rPr>
          <w:iCs/>
          <w:i/>
        </w:rPr>
        <w:t xml:space="preserve">North American Wildlife and Natural Resources Conference</w:t>
      </w:r>
      <w:r>
        <w:t xml:space="preserve">, 2023</w:t>
      </w:r>
    </w:p>
    <w:p>
      <w:pPr>
        <w:numPr>
          <w:ilvl w:val="0"/>
          <w:numId w:val="1008"/>
        </w:numPr>
      </w:pPr>
      <w:r>
        <w:t xml:space="preserve">Overview of NASA Earth Science Division Ecological Conservation Applications Area for USGS and U.S. Fish &amp; Wildlife Service.</w:t>
      </w:r>
      <w:r>
        <w:t xml:space="preserve"> </w:t>
      </w:r>
      <w:r>
        <w:rPr>
          <w:iCs/>
          <w:i/>
        </w:rPr>
        <w:t xml:space="preserve">U.S. Geological Survey</w:t>
      </w:r>
      <w:r>
        <w:t xml:space="preserve">, Laurel, MD, 2022</w:t>
      </w:r>
    </w:p>
    <w:p>
      <w:pPr>
        <w:numPr>
          <w:ilvl w:val="0"/>
          <w:numId w:val="1008"/>
        </w:numPr>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8"/>
        </w:numPr>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8"/>
        </w:numPr>
      </w:pPr>
      <w:r>
        <w:t xml:space="preserve">Regime Detection Measures for the Practical Ecologist, Department of Wildlife Ecology &amp; Conservation, University of Florida, Gainesville, FL, 2019</w:t>
      </w:r>
    </w:p>
    <w:p>
      <w:pPr>
        <w:numPr>
          <w:ilvl w:val="0"/>
          <w:numId w:val="1008"/>
        </w:numPr>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8"/>
        </w:numPr>
      </w:pPr>
      <w:r>
        <w:t xml:space="preserve">Decline of the Once-Ubiquitous House Sparrow in North America.</w:t>
      </w:r>
      <w:r>
        <w:t xml:space="preserve"> </w:t>
      </w:r>
      <w:r>
        <w:rPr>
          <w:iCs/>
          <w:i/>
        </w:rPr>
        <w:t xml:space="preserve">Nebraska Invasive Species Council</w:t>
      </w:r>
      <w:r>
        <w:t xml:space="preserve">, Lincoln, NE , 2015</w:t>
      </w:r>
      <w:r>
        <w:br/>
      </w:r>
      <w:r>
        <w:t xml:space="preserve">{: reversed=</w:t>
      </w:r>
      <w:r>
        <w:t xml:space="preserve">“</w:t>
      </w:r>
      <w:r>
        <w:t xml:space="preserve">reversed</w:t>
      </w:r>
      <w:r>
        <w:t xml:space="preserve">”</w:t>
      </w:r>
      <w:r>
        <w:t xml:space="preserve">}</w:t>
      </w:r>
      <w:r>
        <w:t xml:space="preserve"> </w:t>
      </w:r>
      <w:r>
        <w:t xml:space="preserve">### Contributed</w:t>
      </w:r>
    </w:p>
    <w:p>
      <w:pPr>
        <w:numPr>
          <w:ilvl w:val="0"/>
          <w:numId w:val="1008"/>
        </w:numPr>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8"/>
        </w:numPr>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8"/>
        </w:numPr>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8"/>
        </w:numPr>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8"/>
        </w:numPr>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8"/>
        </w:numPr>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8"/>
        </w:numPr>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8"/>
        </w:numPr>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8"/>
        </w:numPr>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Smithsonian Migratory Bird Institute, Washington, D.C., 2016</w:t>
      </w:r>
    </w:p>
    <w:p>
      <w:pPr>
        <w:numPr>
          <w:ilvl w:val="0"/>
          <w:numId w:val="1008"/>
        </w:numPr>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8"/>
        </w:numPr>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8"/>
        </w:numPr>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8"/>
        </w:numPr>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8"/>
        </w:numPr>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8"/>
        </w:numPr>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8"/>
        </w:numPr>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p>
    <w:bookmarkEnd w:id="58"/>
    <w:bookmarkStart w:id="59" w:name="outreach"/>
    <w:p>
      <w:pPr>
        <w:pStyle w:val="Heading3"/>
      </w:pPr>
      <w:r>
        <w:t xml:space="preserve">Outreach</w:t>
      </w:r>
    </w:p>
    <w:p>
      <w:pPr>
        <w:pStyle w:val="FirstParagraph"/>
      </w:pPr>
      <w:r>
        <w:rPr>
          <w:bCs/>
          <w:b/>
        </w:rPr>
        <w:t xml:space="preserve">not sure whether i should parse out outreach presentations…</w:t>
      </w:r>
      <w:r>
        <w:t xml:space="preserve">??</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2023-03-27T15:02:00Z</dcterms:created>
  <dcterms:modified xsi:type="dcterms:W3CDTF">2023-03-27T15:02:00Z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jessica.burnett@nasa.gov</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