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6rda4rdtr22" w:id="0"/>
      <w:bookmarkEnd w:id="0"/>
      <w:r w:rsidDel="00000000" w:rsidR="00000000" w:rsidRPr="00000000">
        <w:rPr>
          <w:rtl w:val="0"/>
        </w:rPr>
        <w:t xml:space="preserve">Introduction to credit risk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Risk related to the borrower not paying any type of loan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Includes businesses of any size: small,medium,large businesses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NPA (Non-performing assets) -&gt; if a company is NPA, it means that it had not been able to repay dues -&gt; huge financial losses -&gt; reduction of “i” on deposits -&gt; loss for honest borrowers -&gt; need of sufficient capital to protect against this risk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2008: financial crisis -&gt;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Credit to low creditworthy customers (higher risk of default)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to compensate? -&gt; charge higher and higher interest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to finance them? -&gt; selling them through CDO (Collateralized debt obligations -&gt; collateralized group of loans and other assets) on secondary markets to investors -&gt; CDO considered as “low-risky instruments”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2008 -&gt; poor borrowers -&gt; defaulting -&gt; banks foreclose their properties (due to collateralized structure) -&gt; decline in home prices + real estate bubble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Non-financial + financial firms suffered (or closed) -&gt; why?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Impacted directly through direct investments in these funds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Impacted indirectly through low demand -&gt; people had no money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ovqhz1utlgfq" w:id="1"/>
      <w:bookmarkEnd w:id="1"/>
      <w:r w:rsidDel="00000000" w:rsidR="00000000" w:rsidRPr="00000000">
        <w:rPr>
          <w:rtl w:val="0"/>
        </w:rPr>
        <w:t xml:space="preserve">Basel Regulations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1974 -&gt; committee set up by G10 central banks. Objective? Ensure banks are backed by minimum enough capital to give back depositors’ funds.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BIS (Bank for international agreement) -&gt; Basel, Switzerland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27 jurisdictions (2009)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Supervisory boards (regularly) to discuss the matter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3 agreements: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Basel I (1988)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introducing the idea of capital adequacy ratio (Capital To Risk Assets Ratio) -&gt; ratio of a bank’s capital to its risk (needed to be around 8%)</w:t>
        <w:br w:type="textWrapping"/>
        <w:t xml:space="preserve">In other words, capital should be at least more than 8% of the risk-weighted assets</w:t>
        <w:br w:type="textWrapping"/>
        <w:br w:type="textWrapping"/>
        <w:t xml:space="preserve">Example: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Mortgage: 5000$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Risk weight: 50% (for mortgages, while 100% for non-mortgages: credit-card, auto loans, personal finance etc..)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Risk weighted assets: $2500 (5000 * 0.5)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Minimum capital requirement: 200 (2500*0.08)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Capital division: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Tier 1: primary funding source of the bank (shareholders’ equity + retained earnings)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Tier 2: secondary funding source of the bank (subordinated loans, reserves, general provisions, etc..)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Basel II (2004)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want to overcome limitations of basel I -&gt; focus also on operational (fraud, system failure) and market risk (equity, currency, commodity), rather than only credit risk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Introduced more complexity in estimating credit risk. In particular, we have now 3 different approaches:</w:t>
        <w:br w:type="textWrapping"/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Standardized approach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Relies on certified credit rating agencies (CRAs) like S&amp;P, Moody etc… to quantify required capital for credit risk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Still fix weight, but more bins: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20% high-rated exposure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150% for low-rated exposure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(Retail) 35% -&gt; mortgage exposure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(Retail) 75% -&gt; non-mortgage exposure</w:t>
        <w:br w:type="textWrapping"/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Exposure (corporate): 5.000.000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Assessment (credit): AAA (low-risk -&gt; high-rate)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Risk-weight: 20%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Risk-weighted assets: 1.000.000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Min. Cap. Required: 80.000 (1.000K * 0.08)</w:t>
        <w:br w:type="textWrapping"/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IRB (Internal Ratings Based) approach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Relies on internal credit rating estimation methodology to derive credit assessment and has 4 components:</w:t>
        <w:br w:type="textWrapping"/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PD (Probability of default) -&gt; likelihood borrower will default on debt over a 1-year period</w:t>
        <w:br w:type="textWrapping"/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Exposure at default (EAD) -&gt; amount the borrower has to pay the bank at the time of default (what it remains to be paid)</w:t>
        <w:br w:type="textWrapping"/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Loss given default (LGD) -&gt; how much of the EAD we expect to lose (also defined as 1 - recovery rate). Using also the previous data, we can get the “expected loss”:</w:t>
        <w:br w:type="textWrapping"/>
      </w:r>
    </w:p>
    <w:p w:rsidR="00000000" w:rsidDel="00000000" w:rsidP="00000000" w:rsidRDefault="00000000" w:rsidRPr="00000000" w14:paraId="00000035">
      <w:pPr>
        <w:numPr>
          <w:ilvl w:val="5"/>
          <w:numId w:val="1"/>
        </w:numPr>
        <w:ind w:left="5040" w:hanging="360"/>
      </w:pPr>
      <w:r w:rsidDel="00000000" w:rsidR="00000000" w:rsidRPr="00000000">
        <w:rPr>
          <w:b w:val="1"/>
          <w:rtl w:val="0"/>
        </w:rPr>
        <w:t xml:space="preserve">Expected loss</w:t>
      </w:r>
      <w:r w:rsidDel="00000000" w:rsidR="00000000" w:rsidRPr="00000000">
        <w:rPr>
          <w:rtl w:val="0"/>
        </w:rPr>
        <w:t xml:space="preserve">: PD*LGD*EAD</w:t>
        <w:br w:type="textWrapping"/>
        <w:br w:type="textWrapping"/>
        <w:t xml:space="preserve">Example:</w:t>
        <w:br w:type="textWrapping"/>
        <w:br w:type="textWrapping"/>
        <w:t xml:space="preserve">Loan: $100K</w:t>
        <w:br w:type="textWrapping"/>
        <w:t xml:space="preserve">Outstanding (at default): $70K</w:t>
        <w:br w:type="textWrapping"/>
        <w:t xml:space="preserve">Foreclose + sold: $60K</w:t>
        <w:br w:type="textWrapping"/>
        <w:t xml:space="preserve">EAD: $70K</w:t>
        <w:br w:type="textWrapping"/>
        <w:t xml:space="preserve">LGD: ($70K-$60K)/($70K) = 14.3%</w:t>
        <w:br w:type="textWrapping"/>
        <w:br w:type="textWrapping"/>
        <w:t xml:space="preserve">If PD = 2%, EAD = $70K, LGD = 14.3%, the Expected Loss is given by: 2%*14.3%*$70K = 200.2$</w:t>
        <w:br w:type="textWrapping"/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Effective maturity (M) -&gt; duration used in reflecting standard bank practice (2.5 years or 1 year usually depending on the type of IRB used)</w:t>
        <w:br w:type="textWrapping"/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IRB: there exists two different approaches:</w:t>
        <w:br w:type="textWrapping"/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4320" w:hanging="360"/>
      </w:pPr>
      <w:r w:rsidDel="00000000" w:rsidR="00000000" w:rsidRPr="00000000">
        <w:rPr>
          <w:b w:val="1"/>
          <w:rtl w:val="0"/>
        </w:rPr>
        <w:t xml:space="preserve">Foundation IRB (internal + external)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9">
      <w:pPr>
        <w:numPr>
          <w:ilvl w:val="5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PD -&gt; estimated internally</w:t>
      </w:r>
    </w:p>
    <w:p w:rsidR="00000000" w:rsidDel="00000000" w:rsidP="00000000" w:rsidRDefault="00000000" w:rsidRPr="00000000" w14:paraId="0000003A">
      <w:pPr>
        <w:numPr>
          <w:ilvl w:val="5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LGD &amp; EAD -&gt; given by regulators</w:t>
        <w:br w:type="textWrapping"/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4320" w:hanging="360"/>
      </w:pPr>
      <w:r w:rsidDel="00000000" w:rsidR="00000000" w:rsidRPr="00000000">
        <w:rPr>
          <w:b w:val="1"/>
          <w:rtl w:val="0"/>
        </w:rPr>
        <w:t xml:space="preserve">Advanced IRB (internal)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5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PD -&gt; estimated internally</w:t>
      </w:r>
    </w:p>
    <w:p w:rsidR="00000000" w:rsidDel="00000000" w:rsidP="00000000" w:rsidRDefault="00000000" w:rsidRPr="00000000" w14:paraId="0000003D">
      <w:pPr>
        <w:numPr>
          <w:ilvl w:val="5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LGD &amp; EAD -&gt; estimated internally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Basel III (Starting 2019)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Introduced several additional risk measures to counter issues identified in 2008 crisis!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Capital standards (e.g: leverage ratios)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Stress testing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Tangible equity (greatest loss-absorbing capacity)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New requirements have been set up: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Shareholders equity + retained earnings -&gt; from 2% to 4.5% of RWA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Tier 1 (capital ratio) -&gt; from 4% to 6% RWA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Tier 2 (capital ratio) -&gt; from 4% to 2% RWA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Common equity (capital conservation) -&gt; from 0% to 2.5% RWA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IFRS 9 (International Financial Reporting Standard)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Deals with accounting for financial instruments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Focuses on expected loss modeling (covering also future losses)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Idea: 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recognize 12-month loss allowance (initial recognition) 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lifetime loss allowance with huge increase in credit risk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