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1A"/>
          <w:sz w:val="56"/>
          <w:szCs w:val="56"/>
        </w:rPr>
        <w:t xml:space="preserve">CHRONOS BY MBI</w:t>
      </w:r>
    </w:p>
    <w:p>
      <w:pPr>
        <w:spacing w:after="120" w:before="0"/>
        <w:jc w:val="center"/>
      </w:pPr>
      <w:r>
        <w:rPr>
          <w:rFonts w:ascii="Arial" w:cs="Arial" w:eastAsia="Arial" w:hAnsi="Arial"/>
          <w:color w:val="B8946A"/>
          <w:sz w:val="28"/>
          <w:szCs w:val="28"/>
        </w:rPr>
        <w:t xml:space="preserve">Build Brief &amp; Phase 2 Readiness Document</w:t>
      </w:r>
    </w:p>
    <w:p>
      <w:pPr>
        <w:spacing w:after="60" w:before="0"/>
        <w:jc w:val="center"/>
      </w:pPr>
      <w:r>
        <w:rPr>
          <w:rFonts w:ascii="Arial" w:cs="Arial" w:eastAsia="Arial" w:hAnsi="Arial"/>
          <w:i/>
          <w:iCs/>
          <w:color w:val="4A4A4A"/>
          <w:sz w:val="20"/>
          <w:szCs w:val="20"/>
        </w:rPr>
        <w:t xml:space="preserve">Mynd &amp; Bodi Institute · Confidential · May 2026</w:t>
      </w:r>
    </w:p>
    <w:p>
      <w:pPr>
        <w:pBdr>
          <w:bottom w:val="single" w:color="B8946A" w:sz="8" w:space="4"/>
        </w:pBdr>
        <w:spacing w:after="120" w:before="480"/>
        <w:jc w:val="center"/>
      </w:pPr>
      <w:r>
        <w:rPr>
          <w:rFonts w:ascii="Arial" w:cs="Arial" w:eastAsia="Arial" w:hAnsi="Arial"/>
          <w:sz w:val="4"/>
          <w:szCs w:val="4"/>
        </w:rPr>
        <w:t xml:space="preserve"/>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1A1A1A"/>
          <w:sz w:val="22"/>
          <w:szCs w:val="22"/>
        </w:rPr>
        <w:t xml:space="preserve">Purpose of This Document</w:t>
      </w:r>
    </w:p>
    <w:p>
      <w:pPr>
        <w:spacing w:after="100" w:before="60"/>
      </w:pPr>
      <w:r>
        <w:rPr>
          <w:rFonts w:ascii="Arial" w:cs="Arial" w:eastAsia="Arial" w:hAnsi="Arial"/>
          <w:b w:val="false"/>
          <w:bCs w:val="false"/>
          <w:i w:val="false"/>
          <w:iCs w:val="false"/>
          <w:color w:val="4A4A4A"/>
          <w:sz w:val="20"/>
          <w:szCs w:val="20"/>
        </w:rPr>
        <w:t xml:space="preserve">This brief serves four purposes: (1) summarize everything that was built across Epic 1 Sprints 1–5 and Epic 2 Sprint 1, (2) record the after-action results from every closed sprint, (3) define Phase 2 build specifications for all major product surfaces, and (4) provide an expanded, Phase 2-ready specification for the Horizon tab — the most technically ambitious surface in the product.</w:t>
      </w:r>
    </w:p>
    <w:p>
      <w:pPr>
        <w:spacing w:after="100" w:before="60"/>
      </w:pPr>
      <w:r>
        <w:rPr>
          <w:rFonts w:ascii="Arial" w:cs="Arial" w:eastAsia="Arial" w:hAnsi="Arial"/>
          <w:b w:val="false"/>
          <w:bCs w:val="false"/>
          <w:i w:val="false"/>
          <w:iCs w:val="false"/>
          <w:color w:val="4A4A4A"/>
          <w:sz w:val="20"/>
          <w:szCs w:val="20"/>
        </w:rPr>
        <w:t xml:space="preserve">This document is the hand-off context for a clean-copy build session in Claude Code. Every section below represents locked decisions. Nothing here requires strategy re-discussion — it is ready to build.</w:t>
      </w:r>
    </w:p>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1 — WHAT WAS BUILT</w:t>
      </w:r>
    </w:p>
    <w:p>
      <w:pPr>
        <w:spacing w:after="100" w:before="60"/>
      </w:pPr>
      <w:r>
        <w:rPr>
          <w:rFonts w:ascii="Arial" w:cs="Arial" w:eastAsia="Arial" w:hAnsi="Arial"/>
          <w:b w:val="false"/>
          <w:bCs w:val="false"/>
          <w:i w:val="false"/>
          <w:iCs w:val="false"/>
          <w:color w:val="4A4A4A"/>
          <w:sz w:val="20"/>
          <w:szCs w:val="20"/>
        </w:rPr>
        <w:t xml:space="preserve">Chronos by MBI is a daily physiological intelligence iOS app built in SwiftUI with a Supabase backend, TypeScript scoring engine, and Claude API narrative layer. The core architecture respects a hard separation between the deterministic scoring pipeline and the language layer — Claude generates text from structured inputs; it never makes scoring decisions.</w:t>
      </w:r>
    </w:p>
    <w:p>
      <w:pPr>
        <w:spacing w:after="60" w:before="60"/>
      </w:pPr>
      <w:r>
        <w:rPr>
          <w:rFonts w:ascii="Arial" w:cs="Arial" w:eastAsia="Arial" w:hAnsi="Arial"/>
          <w:sz w:val="20"/>
          <w:szCs w:val="20"/>
        </w:rPr>
        <w:t xml:space="preserve"/>
      </w:r>
    </w:p>
    <w:p>
      <w:pPr>
        <w:pStyle w:val="Heading2"/>
        <w:spacing w:after="120" w:before="360"/>
      </w:pPr>
      <w:r>
        <w:rPr>
          <w:rFonts w:ascii="Arial" w:cs="Arial" w:eastAsia="Arial" w:hAnsi="Arial"/>
          <w:b/>
          <w:bCs/>
          <w:color w:val="1A1A1A"/>
          <w:sz w:val="26"/>
          <w:szCs w:val="26"/>
        </w:rPr>
        <w:t xml:space="preserve">1.1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iOS App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Swift / SwiftUI — Xcode — physical iPhone (iOS 17+)</w:t>
            </w:r>
          </w:p>
        </w:tc>
      </w:tr>
      <w:tr>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6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Supabase — PostgreSQL — Edge Functions (Deno/TypeScript)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Scoring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TypeScript domain package — backend-agnostic, independently testable</w:t>
            </w:r>
          </w:p>
        </w:tc>
      </w:tr>
      <w:tr>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Narrative Layer</w:t>
            </w:r>
          </w:p>
        </w:tc>
        <w:tc>
          <w:tcPr>
            <w:tcW w:type="dxa" w:w="6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Claude API — claude-sonnet — receives structured scoring outputs, returns text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Supabase Auth — email/password — Confirm Email OFF for Phase 1</w:t>
            </w:r>
          </w:p>
        </w:tc>
      </w:tr>
      <w:tr>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w:t>
            </w:r>
          </w:p>
        </w:tc>
        <w:tc>
          <w:tcPr>
            <w:tcW w:type="dxa" w:w="6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Apple HealthKit — HKSourceQuery across all relevant sample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Brand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Cormorant Garamond + Jost · Void Black + Chronos Gold (#B8946A) · Parchment (#F6F3EE)</w:t>
            </w:r>
          </w:p>
        </w:tc>
      </w:tr>
    </w:tbl>
    <w:p>
      <w:pPr>
        <w:spacing w:after="60" w:before="60"/>
      </w:pPr>
      <w:r>
        <w:rPr>
          <w:rFonts w:ascii="Arial" w:cs="Arial" w:eastAsia="Arial" w:hAnsi="Arial"/>
          <w:sz w:val="20"/>
          <w:szCs w:val="20"/>
        </w:rPr>
        <w:t xml:space="preserve"/>
      </w:r>
    </w:p>
    <w:p>
      <w:pPr>
        <w:pStyle w:val="Heading2"/>
        <w:spacing w:after="120" w:before="360"/>
      </w:pPr>
      <w:r>
        <w:rPr>
          <w:rFonts w:ascii="Arial" w:cs="Arial" w:eastAsia="Arial" w:hAnsi="Arial"/>
          <w:b/>
          <w:bCs/>
          <w:color w:val="1A1A1A"/>
          <w:sz w:val="26"/>
          <w:szCs w:val="26"/>
        </w:rPr>
        <w:t xml:space="preserve">1.2  Navigation Architecture</w:t>
      </w:r>
    </w:p>
    <w:p>
      <w:pPr>
        <w:spacing w:after="100" w:before="60"/>
      </w:pPr>
      <w:r>
        <w:rPr>
          <w:rFonts w:ascii="Arial" w:cs="Arial" w:eastAsia="Arial" w:hAnsi="Arial"/>
          <w:b w:val="false"/>
          <w:bCs w:val="false"/>
          <w:i w:val="false"/>
          <w:iCs w:val="false"/>
          <w:color w:val="4A4A4A"/>
          <w:sz w:val="20"/>
          <w:szCs w:val="20"/>
        </w:rPr>
        <w:t xml:space="preserve">Four tabs. Locked. No additions without a strategy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Today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Daily score, two drivers, narrative, nudge, feedback prompt</w:t>
            </w:r>
          </w:p>
        </w:tc>
      </w:tr>
      <w:tr>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Trend</w:t>
            </w:r>
          </w:p>
        </w:tc>
        <w:tc>
          <w:tcPr>
            <w:tcW w:type="dxa" w:w="5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3-window toggle (7/30/90-day), line chart, metric selector, callouts, narrative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Domains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Five domain breakdown, pattern detection, role tags, expanded cards, narrative</w:t>
            </w:r>
          </w:p>
        </w:tc>
      </w:tr>
      <w:tr>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Horizon</w:t>
            </w:r>
          </w:p>
        </w:tc>
        <w:tc>
          <w:tcPr>
            <w:tcW w:type="dxa" w:w="5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Forward-looking risk intelligence — multi-page module (Phase 2 expansion)</w:t>
            </w:r>
          </w:p>
        </w:tc>
      </w:tr>
    </w:tbl>
    <w:p>
      <w:pPr>
        <w:spacing w:after="60" w:before="60"/>
      </w:pPr>
      <w:r>
        <w:rPr>
          <w:rFonts w:ascii="Arial" w:cs="Arial" w:eastAsia="Arial" w:hAnsi="Arial"/>
          <w:sz w:val="20"/>
          <w:szCs w:val="20"/>
        </w:rPr>
        <w:t xml:space="preserve"/>
      </w:r>
    </w:p>
    <w:p>
      <w:pPr>
        <w:pStyle w:val="Heading2"/>
        <w:spacing w:after="120" w:before="360"/>
      </w:pPr>
      <w:r>
        <w:rPr>
          <w:rFonts w:ascii="Arial" w:cs="Arial" w:eastAsia="Arial" w:hAnsi="Arial"/>
          <w:b/>
          <w:bCs/>
          <w:color w:val="1A1A1A"/>
          <w:sz w:val="26"/>
          <w:szCs w:val="26"/>
        </w:rPr>
        <w:t xml:space="preserve">1.3  Supabase Schema — Current State</w:t>
      </w:r>
    </w:p>
    <w:p>
      <w:pPr>
        <w:spacing w:after="100" w:before="60"/>
      </w:pPr>
      <w:r>
        <w:rPr>
          <w:rFonts w:ascii="Arial" w:cs="Arial" w:eastAsia="Arial" w:hAnsi="Arial"/>
          <w:b w:val="false"/>
          <w:bCs w:val="false"/>
          <w:i w:val="false"/>
          <w:iCs w:val="false"/>
          <w:color w:val="4A4A4A"/>
          <w:sz w:val="20"/>
          <w:szCs w:val="20"/>
        </w:rPr>
        <w:t xml:space="preserve">Tables active as of Epic 2 Sprint 1 close:</w:t>
      </w:r>
    </w:p>
    <w:p>
      <w:pPr>
        <w:pStyle w:val="ListParagraph"/>
        <w:numPr>
          <w:ilvl w:val="0"/>
          <w:numId w:val="2"/>
        </w:numPr>
        <w:spacing w:after="40" w:before="40"/>
      </w:pPr>
      <w:r>
        <w:rPr>
          <w:rFonts w:ascii="Arial" w:cs="Arial" w:eastAsia="Arial" w:hAnsi="Arial"/>
          <w:color w:val="4A4A4A"/>
          <w:sz w:val="20"/>
          <w:szCs w:val="20"/>
        </w:rPr>
        <w:t xml:space="preserve">users — id, display_name, email, step_goal (default 8000), health_goal, weight_lbs, wake_time, sleep_time, morning_brief_enabled, biological_sex, birthday, height_ft, height_in, onboarding_complete</w:t>
      </w:r>
    </w:p>
    <w:p>
      <w:pPr>
        <w:pStyle w:val="ListParagraph"/>
        <w:numPr>
          <w:ilvl w:val="0"/>
          <w:numId w:val="2"/>
        </w:numPr>
        <w:spacing w:after="40" w:before="40"/>
      </w:pPr>
      <w:r>
        <w:rPr>
          <w:rFonts w:ascii="Arial" w:cs="Arial" w:eastAsia="Arial" w:hAnsi="Arial"/>
          <w:color w:val="4A4A4A"/>
          <w:sz w:val="20"/>
          <w:szCs w:val="20"/>
        </w:rPr>
        <w:t xml:space="preserve">daily_inputs — user_id, scored_at, hrv, resting_hr, sleep_duration, sleep_quality, steps, active_minutes, respiratory_rate, data_quality_flags</w:t>
      </w:r>
    </w:p>
    <w:p>
      <w:pPr>
        <w:pStyle w:val="ListParagraph"/>
        <w:numPr>
          <w:ilvl w:val="0"/>
          <w:numId w:val="2"/>
        </w:numPr>
        <w:spacing w:after="40" w:before="40"/>
      </w:pPr>
      <w:r>
        <w:rPr>
          <w:rFonts w:ascii="Arial" w:cs="Arial" w:eastAsia="Arial" w:hAnsi="Arial"/>
          <w:color w:val="4A4A4A"/>
          <w:sz w:val="20"/>
          <w:szCs w:val="20"/>
        </w:rPr>
        <w:t xml:space="preserve">daily_scores — user_id, scored_at, score, score_band, trend_direction, domain scores (autonomic/sleep/activity/stress/respiratory), days_of_history</w:t>
      </w:r>
    </w:p>
    <w:p>
      <w:pPr>
        <w:pStyle w:val="ListParagraph"/>
        <w:numPr>
          <w:ilvl w:val="0"/>
          <w:numId w:val="2"/>
        </w:numPr>
        <w:spacing w:after="40" w:before="40"/>
      </w:pPr>
      <w:r>
        <w:rPr>
          <w:rFonts w:ascii="Arial" w:cs="Arial" w:eastAsia="Arial" w:hAnsi="Arial"/>
          <w:color w:val="4A4A4A"/>
          <w:sz w:val="20"/>
          <w:szCs w:val="20"/>
        </w:rPr>
        <w:t xml:space="preserve">baselines — user_id, metric baselines computed from 90-day bootstrap</w:t>
      </w:r>
    </w:p>
    <w:p>
      <w:pPr>
        <w:pStyle w:val="ListParagraph"/>
        <w:numPr>
          <w:ilvl w:val="0"/>
          <w:numId w:val="2"/>
        </w:numPr>
        <w:spacing w:after="40" w:before="40"/>
      </w:pPr>
      <w:r>
        <w:rPr>
          <w:rFonts w:ascii="Arial" w:cs="Arial" w:eastAsia="Arial" w:hAnsi="Arial"/>
          <w:color w:val="4A4A4A"/>
          <w:sz w:val="20"/>
          <w:szCs w:val="20"/>
        </w:rPr>
        <w:t xml:space="preserve">trend_aggregates — per-metric rolling averages, used for Trend tab callouts</w:t>
      </w:r>
    </w:p>
    <w:p>
      <w:pPr>
        <w:pStyle w:val="ListParagraph"/>
        <w:numPr>
          <w:ilvl w:val="0"/>
          <w:numId w:val="2"/>
        </w:numPr>
        <w:spacing w:after="40" w:before="40"/>
      </w:pPr>
      <w:r>
        <w:rPr>
          <w:rFonts w:ascii="Arial" w:cs="Arial" w:eastAsia="Arial" w:hAnsi="Arial"/>
          <w:color w:val="4A4A4A"/>
          <w:sz w:val="20"/>
          <w:szCs w:val="20"/>
        </w:rPr>
        <w:t xml:space="preserve">user_feedback — user_id, date, feedback value, free text</w:t>
      </w:r>
    </w:p>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2 — EPIC 1 SPRINT AFTER-ACTION RESULTS</w:t>
      </w:r>
    </w:p>
    <w:p>
      <w:pPr>
        <w:spacing w:after="100" w:before="60"/>
      </w:pPr>
      <w:r>
        <w:rPr>
          <w:rFonts w:ascii="Arial" w:cs="Arial" w:eastAsia="Arial" w:hAnsi="Arial"/>
          <w:b w:val="false"/>
          <w:bCs w:val="false"/>
          <w:i w:val="false"/>
          <w:iCs w:val="false"/>
          <w:color w:val="4A4A4A"/>
          <w:sz w:val="20"/>
          <w:szCs w:val="20"/>
        </w:rPr>
        <w:t xml:space="preserve">Epic 1 ran 7 sprints (including Sprint 1.5 and Sprint 3B). All are CLOSED. Below is the condensed after-action record for each.</w:t>
      </w:r>
    </w:p>
    <w:p>
      <w:pPr>
        <w:pStyle w:val="Heading2"/>
        <w:spacing w:after="120" w:before="360"/>
      </w:pPr>
      <w:r>
        <w:rPr>
          <w:rFonts w:ascii="Arial" w:cs="Arial" w:eastAsia="Arial" w:hAnsi="Arial"/>
          <w:b/>
          <w:bCs/>
          <w:color w:val="1A1A1A"/>
          <w:sz w:val="26"/>
          <w:szCs w:val="26"/>
        </w:rPr>
        <w:t xml:space="preserve">Sprint 1 + 1.5 — Dashboard Redesign</w:t>
      </w:r>
    </w:p>
    <w:p>
      <w:pPr>
        <w:spacing w:after="80" w:before="240"/>
      </w:pPr>
      <w:r>
        <w:rPr>
          <w:rFonts w:ascii="Arial" w:cs="Arial" w:eastAsia="Arial" w:hAnsi="Arial"/>
          <w:b/>
          <w:bCs/>
          <w:color w:val="B8946A"/>
          <w:sz w:val="22"/>
          <w:szCs w:val="22"/>
        </w:rPr>
        <w:t xml:space="preserve">Status: CLOSED</w:t>
      </w:r>
    </w:p>
    <w:p>
      <w:pPr>
        <w:spacing w:after="100" w:before="60"/>
      </w:pPr>
      <w:r>
        <w:rPr>
          <w:rFonts w:ascii="Arial" w:cs="Arial" w:eastAsia="Arial" w:hAnsi="Arial"/>
          <w:b w:val="false"/>
          <w:bCs w:val="false"/>
          <w:i w:val="false"/>
          <w:iCs w:val="false"/>
          <w:color w:val="4A4A4A"/>
          <w:sz w:val="20"/>
          <w:szCs w:val="20"/>
        </w:rPr>
        <w:t xml:space="preserve">Focus: Today tab rebuild — header, score card, driver chips, driver detail, sparkline, Yellowline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Exit Criterion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Driver cards — metric name, value, baseline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Confirmed on device across Redline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Score delta shows yesterday in parentheses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e.g. ↓ 10 from yesterday (60)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Sparkline — 7-day, high/low labels, baseline ref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State-colored, read-only, tap-to-Trend removed permanently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Yellowline state (client-side band)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ScoreBand.yellowline added; computedBand in Models.swift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Redline path with feedback 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FeedbackPromptCard in all states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non-negotiables violated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Within-User Primacy, One Nudge, Two Drivers all verified</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Key decisions locked: sparkline tap-to-Trend removed permanently. Yellowline backend emit deferred to future scoring sprint — client-side detection is live.</w:t>
      </w:r>
    </w:p>
    <w:p>
      <w:pPr>
        <w:pStyle w:val="Heading2"/>
        <w:spacing w:after="120" w:before="360"/>
      </w:pPr>
      <w:r>
        <w:rPr>
          <w:rFonts w:ascii="Arial" w:cs="Arial" w:eastAsia="Arial" w:hAnsi="Arial"/>
          <w:b/>
          <w:bCs/>
          <w:color w:val="1A1A1A"/>
          <w:sz w:val="26"/>
          <w:szCs w:val="26"/>
        </w:rPr>
        <w:t xml:space="preserve">Sprint 2 — Trend Tab Redesign</w:t>
      </w:r>
    </w:p>
    <w:p>
      <w:pPr>
        <w:spacing w:after="80" w:before="240"/>
      </w:pPr>
      <w:r>
        <w:rPr>
          <w:rFonts w:ascii="Arial" w:cs="Arial" w:eastAsia="Arial" w:hAnsi="Arial"/>
          <w:b/>
          <w:bCs/>
          <w:color w:val="B8946A"/>
          <w:sz w:val="22"/>
          <w:szCs w:val="22"/>
        </w:rPr>
        <w:t xml:space="preserve">Status: CLOSED</w:t>
      </w:r>
    </w:p>
    <w:p>
      <w:pPr>
        <w:spacing w:after="100" w:before="60"/>
      </w:pPr>
      <w:r>
        <w:rPr>
          <w:rFonts w:ascii="Arial" w:cs="Arial" w:eastAsia="Arial" w:hAnsi="Arial"/>
          <w:b w:val="false"/>
          <w:bCs w:val="false"/>
          <w:i w:val="false"/>
          <w:iCs w:val="false"/>
          <w:color w:val="4A4A4A"/>
          <w:sz w:val="20"/>
          <w:szCs w:val="20"/>
        </w:rPr>
        <w:t xml:space="preserve">Focus: Three-window toggle (7/30/90), line chart with y-axis adaptation, metric selector, signal callouts,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Exit Criterion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Three-window toggle renders correctly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Window header updates per selection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Line chart y-axis adapts to metric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Verified against Supabase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Metric selector — 2-column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Changed from banner to grid per founder UAT request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Signal callouts — real content after 7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No placeholder copy; absent when no conditions met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Callouts contain no population benchmarks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Within-User Primacy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Narrative generated and rendering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Claude API call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regression on Today / Domains / Horizon /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Full regression verified</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Key deferred items: metric detail drill-through (Phase 2 Sprint 1), metric selector grid/banner toggle (Phase 2 Sprint 1), persistent narrative caching (Phase 2).</w:t>
      </w:r>
    </w:p>
    <w:p>
      <w:pPr>
        <w:pStyle w:val="Heading2"/>
        <w:spacing w:after="120" w:before="360"/>
      </w:pPr>
      <w:r>
        <w:rPr>
          <w:rFonts w:ascii="Arial" w:cs="Arial" w:eastAsia="Arial" w:hAnsi="Arial"/>
          <w:b/>
          <w:bCs/>
          <w:color w:val="1A1A1A"/>
          <w:sz w:val="26"/>
          <w:szCs w:val="26"/>
        </w:rPr>
        <w:t xml:space="preserve">Sprint 3 — Horizon Tab Redesign</w:t>
      </w:r>
    </w:p>
    <w:p>
      <w:pPr>
        <w:spacing w:after="80" w:before="240"/>
      </w:pPr>
      <w:r>
        <w:rPr>
          <w:rFonts w:ascii="Arial" w:cs="Arial" w:eastAsia="Arial" w:hAnsi="Arial"/>
          <w:b/>
          <w:bCs/>
          <w:color w:val="B8946A"/>
          <w:sz w:val="22"/>
          <w:szCs w:val="22"/>
        </w:rPr>
        <w:t xml:space="preserve">Status: CLOSED</w:t>
      </w:r>
    </w:p>
    <w:p>
      <w:pPr>
        <w:spacing w:after="100" w:before="60"/>
      </w:pPr>
      <w:r>
        <w:rPr>
          <w:rFonts w:ascii="Arial" w:cs="Arial" w:eastAsia="Arial" w:hAnsi="Arial"/>
          <w:b w:val="false"/>
          <w:bCs w:val="false"/>
          <w:i w:val="false"/>
          <w:iCs w:val="false"/>
          <w:color w:val="4A4A4A"/>
          <w:sz w:val="20"/>
          <w:szCs w:val="20"/>
        </w:rPr>
        <w:t xml:space="preserve">Focus: Multi-page container scaffold, Page 1 Signal redesign (visually distinct from Trend in under 10 seconds), three pathway cards (Autonomic / Sleep / Metabolic), CALM/ELEVATED states, domain-specific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Exit Criterion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10-second rule verified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First-time user identifies Horizon vs Trend without instruction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Multi-page container — horizontal swipe, dot indicator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HorizonModuleView with PageTabViewStyle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Pages 2–4 stubbed — not visible, not crashable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Empty SwiftUI views in pages array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Pathway cards — no score numbers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State labels only — CALM / ELEVATED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ELEVATED cards visually distinct from CALM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Option B treatment applied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Unique domain-specific closing 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Autonomic / Sleep / Activity each distinct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backward-looking 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No charts, no scores, no 'last week'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trend_direction backfill (Task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SQL fix run; distribution across improving/declining/stable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HorizonPathwayCard accepts full data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trajectoryLabel, conditionClass, escalationLevel, confidenceGate all present</w:t>
            </w:r>
          </w:p>
        </w:tc>
      </w:tr>
    </w:tbl>
    <w:p>
      <w:pPr>
        <w:pStyle w:val="Heading2"/>
        <w:spacing w:after="120" w:before="360"/>
      </w:pPr>
      <w:r>
        <w:rPr>
          <w:rFonts w:ascii="Arial" w:cs="Arial" w:eastAsia="Arial" w:hAnsi="Arial"/>
          <w:b/>
          <w:bCs/>
          <w:color w:val="1A1A1A"/>
          <w:sz w:val="26"/>
          <w:szCs w:val="26"/>
        </w:rPr>
        <w:t xml:space="preserve">Sprint 3B — Domains Tab Redesign</w:t>
      </w:r>
    </w:p>
    <w:p>
      <w:pPr>
        <w:spacing w:after="80" w:before="240"/>
      </w:pPr>
      <w:r>
        <w:rPr>
          <w:rFonts w:ascii="Arial" w:cs="Arial" w:eastAsia="Arial" w:hAnsi="Arial"/>
          <w:b/>
          <w:bCs/>
          <w:color w:val="B8946A"/>
          <w:sz w:val="22"/>
          <w:szCs w:val="22"/>
        </w:rPr>
        <w:t xml:space="preserve">Status: CLOSED</w:t>
      </w:r>
    </w:p>
    <w:p>
      <w:pPr>
        <w:spacing w:after="100" w:before="60"/>
      </w:pPr>
      <w:r>
        <w:rPr>
          <w:rFonts w:ascii="Arial" w:cs="Arial" w:eastAsia="Arial" w:hAnsi="Arial"/>
          <w:b w:val="false"/>
          <w:bCs w:val="false"/>
          <w:i w:val="false"/>
          <w:iCs w:val="false"/>
          <w:color w:val="4A4A4A"/>
          <w:sz w:val="20"/>
          <w:szCs w:val="20"/>
        </w:rPr>
        <w:t xml:space="preserve">Focus: Full DomainBreakdownView rebuild — deterministic pattern detection, role tag system, semantic progress bar, 4-tier score color system, expanded card content, two new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Exit Criterion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System Pattern block live and accurate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PatternEngine deterministic; narrative generates on 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Role tags present on all active domain cards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Six role states computed before any Claude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Domain score 4-tier color 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#4ADE80 / #C9A84C / #B0936A / #E07070 / #7A8FA6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Semantic progress bar vs 30-day user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fetchDomainBaselines from last 30 daily_scores rows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Conflict badges — collapsed and expanded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Three conflict rules in PatternEngine.detectConflicts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Expanded card — today's metric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940A"/>
                <w:sz w:val="18"/>
                <w:szCs w:val="18"/>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Domain-level baseline shown; per-metric inline baseline deferred (wire fetchLatestBaselines)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Building-state cards D4 and 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Day-count progress copy — not static label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Chevron tap affordance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Full-card tap reserved for future detail routing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narrate-domains-pattern Edge 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Deployed — 200 OK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narrate-domain-expanded Edge 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18"/>
                <w:szCs w:val="18"/>
              </w:rPr>
              <w:t xml:space="preserve">Deployed — 200 OK confirmed</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Known gap carried forward: per-metric baseline values not yet wired into expanded card MetricValueRow. fetchLatestBaselines exists in SupabaseService.swift — needs to be wired into DomainRawMetrics. Low effort, high completeness impact. Target: pre-Phase 2 hardening.</w:t>
      </w:r>
    </w:p>
    <w:p>
      <w:pPr>
        <w:pStyle w:val="Heading2"/>
        <w:spacing w:after="120" w:before="360"/>
      </w:pPr>
      <w:r>
        <w:rPr>
          <w:rFonts w:ascii="Arial" w:cs="Arial" w:eastAsia="Arial" w:hAnsi="Arial"/>
          <w:b/>
          <w:bCs/>
          <w:color w:val="1A1A1A"/>
          <w:sz w:val="26"/>
          <w:szCs w:val="26"/>
        </w:rPr>
        <w:t xml:space="preserve">Sprint 4 — Profile Architecture</w:t>
      </w:r>
    </w:p>
    <w:p>
      <w:pPr>
        <w:spacing w:after="80" w:before="240"/>
      </w:pPr>
      <w:r>
        <w:rPr>
          <w:rFonts w:ascii="Arial" w:cs="Arial" w:eastAsia="Arial" w:hAnsi="Arial"/>
          <w:b/>
          <w:bCs/>
          <w:color w:val="B8946A"/>
          <w:sz w:val="22"/>
          <w:szCs w:val="22"/>
        </w:rPr>
        <w:t xml:space="preserve">Status: CLOSED — 13/13 exit criteria</w:t>
      </w:r>
    </w:p>
    <w:p>
      <w:pPr>
        <w:spacing w:after="100" w:before="60"/>
      </w:pPr>
      <w:r>
        <w:rPr>
          <w:rFonts w:ascii="Arial" w:cs="Arial" w:eastAsia="Arial" w:hAnsi="Arial"/>
          <w:b w:val="false"/>
          <w:bCs w:val="false"/>
          <w:i w:val="false"/>
          <w:iCs w:val="false"/>
          <w:color w:val="4A4A4A"/>
          <w:sz w:val="20"/>
          <w:szCs w:val="20"/>
        </w:rPr>
        <w:t xml:space="preserve">Focus: Four-tab Profile section rebuild (Profile / Health / Devices / Account), live read/write for all fields, 6-column Supabase schema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Schema Column Added</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Type / Default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health_goal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TEXT — default 'general_wellness'</w:t>
            </w:r>
          </w:p>
        </w:tc>
      </w:tr>
      <w:tr>
        <w:tc>
          <w:tcPr>
            <w:tcW w:type="dxa" w:w="4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weight_lbs</w:t>
            </w:r>
          </w:p>
        </w:tc>
        <w:tc>
          <w:tcPr>
            <w:tcW w:type="dxa" w:w="5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NUMERIC — nullable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wake_time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TEXT — default '06:00'</w:t>
            </w:r>
          </w:p>
        </w:tc>
      </w:tr>
      <w:tr>
        <w:tc>
          <w:tcPr>
            <w:tcW w:type="dxa" w:w="4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sleep_time</w:t>
            </w:r>
          </w:p>
        </w:tc>
        <w:tc>
          <w:tcPr>
            <w:tcW w:type="dxa" w:w="5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TEXT — default '22:00'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morning_brief_enabled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BOOLEAN — default TRUE</w:t>
            </w:r>
          </w:p>
        </w:tc>
      </w:tr>
      <w:tr>
        <w:tc>
          <w:tcPr>
            <w:tcW w:type="dxa" w:w="4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biological_sex</w:t>
            </w:r>
          </w:p>
        </w:tc>
        <w:tc>
          <w:tcPr>
            <w:tcW w:type="dxa" w:w="5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TEXT — nullable</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Tab architecture: Profile (goal, wake/sleep time, brief toggle) / Health (weight, biological sex — Phase 2 placeholder) / Devices (HKSourceQuery) / Account (system diagnostics, display name, email). updateProfile() method uses optional params — patches only non-nil fields.</w:t>
      </w:r>
    </w:p>
    <w:p>
      <w:pPr>
        <w:pStyle w:val="Heading2"/>
        <w:spacing w:after="120" w:before="360"/>
      </w:pPr>
      <w:r>
        <w:rPr>
          <w:rFonts w:ascii="Arial" w:cs="Arial" w:eastAsia="Arial" w:hAnsi="Arial"/>
          <w:b/>
          <w:bCs/>
          <w:color w:val="1A1A1A"/>
          <w:sz w:val="26"/>
          <w:szCs w:val="26"/>
        </w:rPr>
        <w:t xml:space="preserve">Sprint 5 — Connected Devices HKSourceQuery Hardening</w:t>
      </w:r>
    </w:p>
    <w:p>
      <w:pPr>
        <w:spacing w:after="80" w:before="240"/>
      </w:pPr>
      <w:r>
        <w:rPr>
          <w:rFonts w:ascii="Arial" w:cs="Arial" w:eastAsia="Arial" w:hAnsi="Arial"/>
          <w:b/>
          <w:bCs/>
          <w:color w:val="B8946A"/>
          <w:sz w:val="22"/>
          <w:szCs w:val="22"/>
        </w:rPr>
        <w:t xml:space="preserve">Status: CLOSED — Epic 1 Close-Out Sprint</w:t>
      </w:r>
    </w:p>
    <w:p>
      <w:pPr>
        <w:spacing w:after="100" w:before="60"/>
      </w:pPr>
      <w:r>
        <w:rPr>
          <w:rFonts w:ascii="Arial" w:cs="Arial" w:eastAsia="Arial" w:hAnsi="Arial"/>
          <w:b w:val="false"/>
          <w:bCs w:val="false"/>
          <w:i w:val="false"/>
          <w:iCs w:val="false"/>
          <w:color w:val="4A4A4A"/>
          <w:sz w:val="20"/>
          <w:szCs w:val="20"/>
        </w:rPr>
        <w:t xml:space="preserve">Focus: Widen HKSourceQuery from stepCount-only to union across stepCount + bodyMass + bloodPressureSystolic. Ensures VeSync Smart Scale and iHealth BP Cuff appear alongside Apple Watch in the Connections tab.</w:t>
      </w:r>
    </w:p>
    <w:p>
      <w:pPr>
        <w:spacing w:after="100" w:before="60"/>
      </w:pPr>
      <w:r>
        <w:rPr>
          <w:rFonts w:ascii="Arial" w:cs="Arial" w:eastAsia="Arial" w:hAnsi="Arial"/>
          <w:b w:val="false"/>
          <w:bCs w:val="false"/>
          <w:i w:val="false"/>
          <w:iCs w:val="false"/>
          <w:color w:val="4A4A4A"/>
          <w:sz w:val="20"/>
          <w:szCs w:val="20"/>
        </w:rPr>
        <w:t xml:space="preserve">This was the final sprint of Epic 1. All four exit criteria verified on device. Epic 2 UAT opened immediately after close.</w:t>
      </w:r>
    </w:p>
    <w:p>
      <w:pPr>
        <w:pStyle w:val="Heading2"/>
        <w:spacing w:after="120" w:before="360"/>
      </w:pPr>
      <w:r>
        <w:rPr>
          <w:rFonts w:ascii="Arial" w:cs="Arial" w:eastAsia="Arial" w:hAnsi="Arial"/>
          <w:b/>
          <w:bCs/>
          <w:color w:val="1A1A1A"/>
          <w:sz w:val="26"/>
          <w:szCs w:val="26"/>
        </w:rPr>
        <w:t xml:space="preserve">Epic 2 Sprint 1 — Onboarding Redesign</w:t>
      </w:r>
    </w:p>
    <w:p>
      <w:pPr>
        <w:spacing w:after="80" w:before="240"/>
      </w:pPr>
      <w:r>
        <w:rPr>
          <w:rFonts w:ascii="Arial" w:cs="Arial" w:eastAsia="Arial" w:hAnsi="Arial"/>
          <w:b/>
          <w:bCs/>
          <w:color w:val="B8946A"/>
          <w:sz w:val="22"/>
          <w:szCs w:val="22"/>
        </w:rPr>
        <w:t xml:space="preserve">Status: CLOSED — All exit criteria met on device</w:t>
      </w:r>
    </w:p>
    <w:p>
      <w:pPr>
        <w:spacing w:after="100" w:before="60"/>
      </w:pPr>
      <w:r>
        <w:rPr>
          <w:rFonts w:ascii="Arial" w:cs="Arial" w:eastAsia="Arial" w:hAnsi="Arial"/>
          <w:b w:val="false"/>
          <w:bCs w:val="false"/>
          <w:i w:val="false"/>
          <w:iCs w:val="false"/>
          <w:color w:val="4A4A4A"/>
          <w:sz w:val="20"/>
          <w:szCs w:val="20"/>
        </w:rPr>
        <w:t xml:space="preserve">Focus: Full 11-screen onboarding rebuild from scratch. Previous flow was functional but trust-deficient. New flow earns belief before collecting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7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Stage 1 — The Claim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Differentiation screen, locked headline, proof point card with real-feeling HRV example</w:t>
            </w:r>
          </w:p>
        </w:tc>
      </w:tr>
      <w:tr>
        <w:tc>
          <w:tcPr>
            <w:tcW w:type="dxa" w:w="22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Stage 2 — How It Works</w:t>
            </w:r>
          </w:p>
        </w:tc>
        <w:tc>
          <w:tcPr>
            <w:tcW w:type="dxa" w:w="7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3 skippable screens: Five Signals, Your Baseline (comparison card), Prediction Promise (device tier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Stage 3 — Account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Rebuilt AuthView: confirm password, show/hide toggles, trust signal, ToS/Privacy links via SFSafariViewController, no SSO</w:t>
            </w:r>
          </w:p>
        </w:tc>
      </w:tr>
      <w:tr>
        <w:tc>
          <w:tcPr>
            <w:tcW w:type="dxa" w:w="22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Stage 4 — Personalization</w:t>
            </w:r>
          </w:p>
        </w:tc>
        <w:tc>
          <w:tcPr>
            <w:tcW w:type="dxa" w:w="7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Screen 4a: name/birthday/height/weight. Screen 4b: health goal selector (no default, gold border on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Stage 5 — Connect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Soft HealthKit pre-permission screen before OS dialog. Consequence framing explicit. Denial routes to recovery state.</w:t>
            </w:r>
          </w:p>
        </w:tc>
      </w:tr>
      <w:tr>
        <w:tc>
          <w:tcPr>
            <w:tcW w:type="dxa" w:w="22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Stage 6 — Baseline &amp; Handoff</w:t>
            </w:r>
          </w:p>
        </w:tc>
        <w:tc>
          <w:tcPr>
            <w:tcW w:type="dxa" w:w="7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Bootstrap auto-starts. Sequential signal callouts. Completion screen personalized. onboarding_complete flips on screen load.</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Schema additions: birthday (DATE), height_ft (INT), height_in (INT). updateOnboardingProfile() added to SupabaseService. MBIUser decoder uses decodeIfPresent on all new fields.</w:t>
      </w:r>
    </w:p>
    <w:p>
      <w:pPr>
        <w:spacing w:after="100" w:before="60"/>
      </w:pPr>
      <w:r>
        <w:rPr>
          <w:rFonts w:ascii="Arial" w:cs="Arial" w:eastAsia="Arial" w:hAnsi="Arial"/>
          <w:b w:val="false"/>
          <w:bCs w:val="false"/>
          <w:i w:val="false"/>
          <w:iCs w:val="false"/>
          <w:color w:val="4A4A4A"/>
          <w:sz w:val="20"/>
          <w:szCs w:val="20"/>
        </w:rPr>
        <w:t xml:space="preserve">Bugs closed: health_goal pre-population removed (user must actively select), custom fonts confirmed rendering, HealthKit false denial fixed (removed status check; proceed unconditionally after requestAuthorization).</w:t>
      </w:r>
    </w:p>
    <w:p>
      <w:pPr>
        <w:spacing w:after="100" w:before="60"/>
      </w:pPr>
      <w:r>
        <w:rPr>
          <w:rFonts w:ascii="Arial" w:cs="Arial" w:eastAsia="Arial" w:hAnsi="Arial"/>
          <w:b w:val="false"/>
          <w:bCs w:val="false"/>
          <w:i w:val="false"/>
          <w:iCs w:val="false"/>
          <w:color w:val="4A4A4A"/>
          <w:sz w:val="20"/>
          <w:szCs w:val="20"/>
        </w:rPr>
        <w:t xml:space="preserve">Bugs remaining: S1-002 (onboarding resume checkpoint — deferred Phase 2), S1-003 (narrative contradicts driver card state — backend fix targets next sprint).</w:t>
      </w:r>
    </w:p>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3 — PHASE 2 BUILD SPECIFICATIONS</w:t>
      </w:r>
    </w:p>
    <w:p>
      <w:pPr>
        <w:spacing w:after="100" w:before="60"/>
      </w:pPr>
      <w:r>
        <w:rPr>
          <w:rFonts w:ascii="Arial" w:cs="Arial" w:eastAsia="Arial" w:hAnsi="Arial"/>
          <w:b w:val="false"/>
          <w:bCs w:val="false"/>
          <w:i w:val="false"/>
          <w:iCs w:val="false"/>
          <w:color w:val="4A4A4A"/>
          <w:sz w:val="20"/>
          <w:szCs w:val="20"/>
        </w:rPr>
        <w:t xml:space="preserve">Phase 2 gate requires five explicit exit criteria from Phase 1.5 to be met before any Phase 2 sprint opens: (1) seven-day founder validation loop complete, (2) zero Blocker bugs, (3) Epic 2 UAT Sprint 2 passed, (4) font bundle issue resolved, (5) per-metric baseline wired in expanded domain card.</w:t>
      </w:r>
    </w:p>
    <w:p>
      <w:pPr>
        <w:spacing w:after="100" w:before="60"/>
      </w:pPr>
      <w:r>
        <w:rPr>
          <w:rFonts w:ascii="Arial" w:cs="Arial" w:eastAsia="Arial" w:hAnsi="Arial"/>
          <w:b w:val="false"/>
          <w:bCs w:val="false"/>
          <w:i w:val="false"/>
          <w:iCs w:val="false"/>
          <w:color w:val="4A4A4A"/>
          <w:sz w:val="20"/>
          <w:szCs w:val="20"/>
        </w:rPr>
        <w:t xml:space="preserve">The following specifications define what Phase 2 builds on each major surface. These are locked product decisions based on strategy sessions through Sprint 5 and Epic 2 Sprint 1. No feature in this section should be built until the Phase 2 gate is passed.</w:t>
      </w:r>
    </w:p>
    <w:p>
      <w:pPr>
        <w:pStyle w:val="Heading2"/>
        <w:spacing w:after="120" w:before="360"/>
      </w:pPr>
      <w:r>
        <w:rPr>
          <w:rFonts w:ascii="Arial" w:cs="Arial" w:eastAsia="Arial" w:hAnsi="Arial"/>
          <w:b/>
          <w:bCs/>
          <w:color w:val="1A1A1A"/>
          <w:sz w:val="26"/>
          <w:szCs w:val="26"/>
        </w:rPr>
        <w:t xml:space="preserve">3.1  Today Tab — Phase 2</w:t>
      </w:r>
    </w:p>
    <w:p>
      <w:pPr>
        <w:spacing w:after="80" w:before="240"/>
      </w:pPr>
      <w:r>
        <w:rPr>
          <w:rFonts w:ascii="Arial" w:cs="Arial" w:eastAsia="Arial" w:hAnsi="Arial"/>
          <w:b/>
          <w:bCs/>
          <w:color w:val="B8946A"/>
          <w:sz w:val="22"/>
          <w:szCs w:val="22"/>
        </w:rPr>
        <w:t xml:space="preserve">Time-Gated Brief Phases (E-09 — Highest Priority)</w:t>
      </w:r>
    </w:p>
    <w:p>
      <w:pPr>
        <w:spacing w:after="100" w:before="60"/>
      </w:pPr>
      <w:r>
        <w:rPr>
          <w:rFonts w:ascii="Arial" w:cs="Arial" w:eastAsia="Arial" w:hAnsi="Arial"/>
          <w:b w:val="false"/>
          <w:bCs w:val="false"/>
          <w:i w:val="false"/>
          <w:iCs w:val="false"/>
          <w:color w:val="4A4A4A"/>
          <w:sz w:val="20"/>
          <w:szCs w:val="20"/>
        </w:rPr>
        <w:t xml:space="preserve">The Today tab currently serves a single narrative regardless of time of day. Phase 2 introduces a BriefPhase enum with three states: Morning (pre-noon), Daytime (noon to 5pm), and Evening (5pm onward). Each phase has a distinct content posture.</w:t>
      </w:r>
    </w:p>
    <w:p>
      <w:pPr>
        <w:pStyle w:val="ListParagraph"/>
        <w:numPr>
          <w:ilvl w:val="0"/>
          <w:numId w:val="2"/>
        </w:numPr>
        <w:spacing w:after="40" w:before="40"/>
      </w:pPr>
      <w:r>
        <w:rPr>
          <w:rFonts w:ascii="Arial" w:cs="Arial" w:eastAsia="Arial" w:hAnsi="Arial"/>
          <w:color w:val="4A4A4A"/>
          <w:sz w:val="20"/>
          <w:szCs w:val="20"/>
        </w:rPr>
        <w:t xml:space="preserve">Morning brief: forward-looking. Today's score, drivers, and what to carry into the day.</w:t>
      </w:r>
    </w:p>
    <w:p>
      <w:pPr>
        <w:pStyle w:val="ListParagraph"/>
        <w:numPr>
          <w:ilvl w:val="0"/>
          <w:numId w:val="2"/>
        </w:numPr>
        <w:spacing w:after="40" w:before="40"/>
      </w:pPr>
      <w:r>
        <w:rPr>
          <w:rFonts w:ascii="Arial" w:cs="Arial" w:eastAsia="Arial" w:hAnsi="Arial"/>
          <w:color w:val="4A4A4A"/>
          <w:sz w:val="20"/>
          <w:szCs w:val="20"/>
        </w:rPr>
        <w:t xml:space="preserve">Daytime brief: status check. Midpoint readout — what is accumulating, any flags to act on.</w:t>
      </w:r>
    </w:p>
    <w:p>
      <w:pPr>
        <w:pStyle w:val="ListParagraph"/>
        <w:numPr>
          <w:ilvl w:val="0"/>
          <w:numId w:val="2"/>
        </w:numPr>
        <w:spacing w:after="40" w:before="40"/>
      </w:pPr>
      <w:r>
        <w:rPr>
          <w:rFonts w:ascii="Arial" w:cs="Arial" w:eastAsia="Arial" w:hAnsi="Arial"/>
          <w:color w:val="4A4A4A"/>
          <w:sz w:val="20"/>
          <w:szCs w:val="20"/>
        </w:rPr>
        <w:t xml:space="preserve">Evening brief: recovery read. Activity load complete, sleep readiness signal, how today lands.</w:t>
      </w:r>
    </w:p>
    <w:p>
      <w:pPr>
        <w:spacing w:after="100" w:before="60"/>
      </w:pPr>
      <w:r>
        <w:rPr>
          <w:rFonts w:ascii="Arial" w:cs="Arial" w:eastAsia="Arial" w:hAnsi="Arial"/>
          <w:b w:val="false"/>
          <w:bCs w:val="false"/>
          <w:i w:val="false"/>
          <w:iCs w:val="false"/>
          <w:color w:val="4A4A4A"/>
          <w:sz w:val="20"/>
          <w:szCs w:val="20"/>
        </w:rPr>
        <w:t xml:space="preserve">Implementation: BriefPhase enum in Swift. narrate Edge Function receives timeOfDay param. Evening phase reads active minutes and steps as day-complete data. No UI toggle — the brief adapts automatically by time.</w:t>
      </w:r>
    </w:p>
    <w:p>
      <w:pPr>
        <w:spacing w:after="80" w:before="240"/>
      </w:pPr>
      <w:r>
        <w:rPr>
          <w:rFonts w:ascii="Arial" w:cs="Arial" w:eastAsia="Arial" w:hAnsi="Arial"/>
          <w:b/>
          <w:bCs/>
          <w:color w:val="B8946A"/>
          <w:sz w:val="22"/>
          <w:szCs w:val="22"/>
        </w:rPr>
        <w:t xml:space="preserve">Adaptive UI States — Beyond Standard Recovering</w:t>
      </w:r>
    </w:p>
    <w:p>
      <w:pPr>
        <w:spacing w:after="100" w:before="60"/>
      </w:pPr>
      <w:r>
        <w:rPr>
          <w:rFonts w:ascii="Arial" w:cs="Arial" w:eastAsia="Arial" w:hAnsi="Arial"/>
          <w:b w:val="false"/>
          <w:bCs w:val="false"/>
          <w:i w:val="false"/>
          <w:iCs w:val="false"/>
          <w:color w:val="4A4A4A"/>
          <w:sz w:val="20"/>
          <w:szCs w:val="20"/>
        </w:rPr>
        <w:t xml:space="preserve">Phase 2 introduces three additional UI states beyond the current Thriving / Recovering / Redline / Yellowline model.</w:t>
      </w:r>
    </w:p>
    <w:p>
      <w:pPr>
        <w:pStyle w:val="ListParagraph"/>
        <w:numPr>
          <w:ilvl w:val="0"/>
          <w:numId w:val="2"/>
        </w:numPr>
        <w:spacing w:after="40" w:before="40"/>
      </w:pPr>
      <w:r>
        <w:rPr>
          <w:rFonts w:ascii="Arial" w:cs="Arial" w:eastAsia="Arial" w:hAnsi="Arial"/>
          <w:color w:val="4A4A4A"/>
          <w:sz w:val="20"/>
          <w:szCs w:val="20"/>
        </w:rPr>
        <w:t xml:space="preserve">Thriving (score ≥ 90): Green UI. Opportunity-framed — 'Your body is responding. Here is what you can add.' Distinct from standard high-score presentation.</w:t>
      </w:r>
    </w:p>
    <w:p>
      <w:pPr>
        <w:pStyle w:val="ListParagraph"/>
        <w:numPr>
          <w:ilvl w:val="0"/>
          <w:numId w:val="2"/>
        </w:numPr>
        <w:spacing w:after="40" w:before="40"/>
      </w:pPr>
      <w:r>
        <w:rPr>
          <w:rFonts w:ascii="Arial" w:cs="Arial" w:eastAsia="Arial" w:hAnsi="Arial"/>
          <w:color w:val="4A4A4A"/>
          <w:sz w:val="20"/>
          <w:szCs w:val="20"/>
        </w:rPr>
        <w:t xml:space="preserve">Redline (full red UI): Rest as the sole intervention. No nudge toward activity. One message only: rest. This state is already partially built.</w:t>
      </w:r>
    </w:p>
    <w:p>
      <w:pPr>
        <w:pStyle w:val="ListParagraph"/>
        <w:numPr>
          <w:ilvl w:val="0"/>
          <w:numId w:val="2"/>
        </w:numPr>
        <w:spacing w:after="40" w:before="40"/>
      </w:pPr>
      <w:r>
        <w:rPr>
          <w:rFonts w:ascii="Arial" w:cs="Arial" w:eastAsia="Arial" w:hAnsi="Arial"/>
          <w:color w:val="4A4A4A"/>
          <w:sz w:val="20"/>
          <w:szCs w:val="20"/>
        </w:rPr>
        <w:t xml:space="preserve">Ghost Mode At-Risk: soft intervention state. System detects deterioration pattern without crossing Redline threshold. Never goes silent. Gentle check-in copy, not alarm framing.</w:t>
      </w:r>
    </w:p>
    <w:p>
      <w:pPr>
        <w:spacing w:after="100" w:before="60"/>
      </w:pPr>
      <w:r>
        <w:rPr>
          <w:rFonts w:ascii="Arial" w:cs="Arial" w:eastAsia="Arial" w:hAnsi="Arial"/>
          <w:b w:val="false"/>
          <w:bCs w:val="false"/>
          <w:i w:val="false"/>
          <w:iCs w:val="false"/>
          <w:color w:val="4A4A4A"/>
          <w:sz w:val="20"/>
          <w:szCs w:val="20"/>
        </w:rPr>
        <w:t xml:space="preserve">The system never goes silent when a score is declining. This is a non-negotiable. Ghost Mode At-Risk is the enforcement mechanism.</w:t>
      </w:r>
    </w:p>
    <w:p>
      <w:pPr>
        <w:spacing w:after="80" w:before="240"/>
      </w:pPr>
      <w:r>
        <w:rPr>
          <w:rFonts w:ascii="Arial" w:cs="Arial" w:eastAsia="Arial" w:hAnsi="Arial"/>
          <w:b/>
          <w:bCs/>
          <w:color w:val="B8946A"/>
          <w:sz w:val="22"/>
          <w:szCs w:val="22"/>
        </w:rPr>
        <w:t xml:space="preserve">Display Mode (Coach / Highlights / Silent / Bare Minimum)</w:t>
      </w:r>
    </w:p>
    <w:p>
      <w:pPr>
        <w:spacing w:after="100" w:before="60"/>
      </w:pPr>
      <w:r>
        <w:rPr>
          <w:rFonts w:ascii="Arial" w:cs="Arial" w:eastAsia="Arial" w:hAnsi="Arial"/>
          <w:b w:val="false"/>
          <w:bCs w:val="false"/>
          <w:i w:val="false"/>
          <w:iCs w:val="false"/>
          <w:color w:val="4A4A4A"/>
          <w:sz w:val="20"/>
          <w:szCs w:val="20"/>
        </w:rPr>
        <w:t xml:space="preserve">UX Bible priority. Governs how much content the Today tab surfaces based on user preference. Coach mode is full content. Silent mode is score only. Bare Minimum is a single number. This requires a user preference stored in Supabase (display_mode TEXT column). The scoring engine and narrative layer are unchanged — only the rendering layer is conditional.</w:t>
      </w:r>
    </w:p>
    <w:p>
      <w:pPr>
        <w:pStyle w:val="Heading2"/>
        <w:spacing w:after="120" w:before="360"/>
      </w:pPr>
      <w:r>
        <w:rPr>
          <w:rFonts w:ascii="Arial" w:cs="Arial" w:eastAsia="Arial" w:hAnsi="Arial"/>
          <w:b/>
          <w:bCs/>
          <w:color w:val="1A1A1A"/>
          <w:sz w:val="26"/>
          <w:szCs w:val="26"/>
        </w:rPr>
        <w:t xml:space="preserve">3.2  Trend Tab — Phase 2</w:t>
      </w:r>
    </w:p>
    <w:p>
      <w:pPr>
        <w:spacing w:after="80" w:before="240"/>
      </w:pPr>
      <w:r>
        <w:rPr>
          <w:rFonts w:ascii="Arial" w:cs="Arial" w:eastAsia="Arial" w:hAnsi="Arial"/>
          <w:b/>
          <w:bCs/>
          <w:color w:val="B8946A"/>
          <w:sz w:val="22"/>
          <w:szCs w:val="22"/>
        </w:rPr>
        <w:t xml:space="preserve">Metric Detail Drill-Through</w:t>
      </w:r>
    </w:p>
    <w:p>
      <w:pPr>
        <w:spacing w:after="100" w:before="60"/>
      </w:pPr>
      <w:r>
        <w:rPr>
          <w:rFonts w:ascii="Arial" w:cs="Arial" w:eastAsia="Arial" w:hAnsi="Arial"/>
          <w:b w:val="false"/>
          <w:bCs w:val="false"/>
          <w:i w:val="false"/>
          <w:iCs w:val="false"/>
          <w:color w:val="4A4A4A"/>
          <w:sz w:val="20"/>
          <w:szCs w:val="20"/>
        </w:rPr>
        <w:t xml:space="preserve">Tapping a metric tile in the selector opens a dedicated metric detail screen. Full trend history for that metric (up to 90 days), baseline comparison line, and a contextual one-paragraph explanation. Requires a new screen (MetricDetailView.swift), a per-metric HealthKit fetch, and a dedicated narrate Edge Function endpoint.</w:t>
      </w:r>
    </w:p>
    <w:p>
      <w:pPr>
        <w:spacing w:after="80" w:before="240"/>
      </w:pPr>
      <w:r>
        <w:rPr>
          <w:rFonts w:ascii="Arial" w:cs="Arial" w:eastAsia="Arial" w:hAnsi="Arial"/>
          <w:b/>
          <w:bCs/>
          <w:color w:val="B8946A"/>
          <w:sz w:val="22"/>
          <w:szCs w:val="22"/>
        </w:rPr>
        <w:t xml:space="preserve">Grid/Banner Toggle for Metric Selector</w:t>
      </w:r>
    </w:p>
    <w:p>
      <w:pPr>
        <w:spacing w:after="100" w:before="60"/>
      </w:pPr>
      <w:r>
        <w:rPr>
          <w:rFonts w:ascii="Arial" w:cs="Arial" w:eastAsia="Arial" w:hAnsi="Arial"/>
          <w:b w:val="false"/>
          <w:bCs w:val="false"/>
          <w:i w:val="false"/>
          <w:iCs w:val="false"/>
          <w:color w:val="4A4A4A"/>
          <w:sz w:val="20"/>
          <w:szCs w:val="20"/>
        </w:rPr>
        <w:t xml:space="preserve">Phase 1 shipped the metric selector as a 2-column grid. Phase 2 adds a user toggle to switch between grid and horizontal banner views. The default on first launch is grid. Preference persists in UserDefaults locally — no Supabase write needed.</w:t>
      </w:r>
    </w:p>
    <w:p>
      <w:pPr>
        <w:spacing w:after="80" w:before="240"/>
      </w:pPr>
      <w:r>
        <w:rPr>
          <w:rFonts w:ascii="Arial" w:cs="Arial" w:eastAsia="Arial" w:hAnsi="Arial"/>
          <w:b/>
          <w:bCs/>
          <w:color w:val="B8946A"/>
          <w:sz w:val="22"/>
          <w:szCs w:val="22"/>
        </w:rPr>
        <w:t xml:space="preserve">Header Copy Tone Pass</w:t>
      </w:r>
    </w:p>
    <w:p>
      <w:pPr>
        <w:spacing w:after="100" w:before="60"/>
      </w:pPr>
      <w:r>
        <w:rPr>
          <w:rFonts w:ascii="Arial" w:cs="Arial" w:eastAsia="Arial" w:hAnsi="Arial"/>
          <w:b w:val="false"/>
          <w:bCs w:val="false"/>
          <w:i w:val="false"/>
          <w:iCs w:val="false"/>
          <w:color w:val="4A4A4A"/>
          <w:sz w:val="20"/>
          <w:szCs w:val="20"/>
        </w:rPr>
        <w:t xml:space="preserve">Window-adaptive header copy (YOUR WEEK / YOUR MONTH / YOUR YEAR) is functional placeholder. Needs a dedicated copy review for MBI brand voice alignment before Phase 2 ships to external users. This is a copy task, not a code task.</w:t>
      </w:r>
    </w:p>
    <w:p>
      <w:pPr>
        <w:pStyle w:val="Heading2"/>
        <w:spacing w:after="120" w:before="360"/>
      </w:pPr>
      <w:r>
        <w:rPr>
          <w:rFonts w:ascii="Arial" w:cs="Arial" w:eastAsia="Arial" w:hAnsi="Arial"/>
          <w:b/>
          <w:bCs/>
          <w:color w:val="1A1A1A"/>
          <w:sz w:val="26"/>
          <w:szCs w:val="26"/>
        </w:rPr>
        <w:t xml:space="preserve">3.3  Domains Tab — Phase 2</w:t>
      </w:r>
    </w:p>
    <w:p>
      <w:pPr>
        <w:spacing w:after="80" w:before="240"/>
      </w:pPr>
      <w:r>
        <w:rPr>
          <w:rFonts w:ascii="Arial" w:cs="Arial" w:eastAsia="Arial" w:hAnsi="Arial"/>
          <w:b/>
          <w:bCs/>
          <w:color w:val="B8946A"/>
          <w:sz w:val="22"/>
          <w:szCs w:val="22"/>
        </w:rPr>
        <w:t xml:space="preserve">Domain Detail Screen</w:t>
      </w:r>
    </w:p>
    <w:p>
      <w:pPr>
        <w:spacing w:after="100" w:before="60"/>
      </w:pPr>
      <w:r>
        <w:rPr>
          <w:rFonts w:ascii="Arial" w:cs="Arial" w:eastAsia="Arial" w:hAnsi="Arial"/>
          <w:b w:val="false"/>
          <w:bCs w:val="false"/>
          <w:i w:val="false"/>
          <w:iCs w:val="false"/>
          <w:color w:val="4A4A4A"/>
          <w:sz w:val="20"/>
          <w:szCs w:val="20"/>
        </w:rPr>
        <w:t xml:space="preserve">Full-card tap on a domain card opens a domain detail screen. Architecture is already reserved in the chevron tap pattern (full-card tap is wired but not routed). Phase 2 wires this to a DomainDetailView.swift showing the full domain narrative, 30-day trend for all metrics in that domain, baseline trajectory, and intervention context.</w:t>
      </w:r>
    </w:p>
    <w:p>
      <w:pPr>
        <w:spacing w:after="80" w:before="240"/>
      </w:pPr>
      <w:r>
        <w:rPr>
          <w:rFonts w:ascii="Arial" w:cs="Arial" w:eastAsia="Arial" w:hAnsi="Arial"/>
          <w:b/>
          <w:bCs/>
          <w:color w:val="B8946A"/>
          <w:sz w:val="22"/>
          <w:szCs w:val="22"/>
        </w:rPr>
        <w:t xml:space="preserve">Per-Metric Baseline in Expanded Card (Pre-Phase 2 Hardening)</w:t>
      </w:r>
    </w:p>
    <w:p>
      <w:pPr>
        <w:spacing w:after="100" w:before="60"/>
      </w:pPr>
      <w:r>
        <w:rPr>
          <w:rFonts w:ascii="Arial" w:cs="Arial" w:eastAsia="Arial" w:hAnsi="Arial"/>
          <w:b w:val="false"/>
          <w:bCs w:val="false"/>
          <w:i w:val="false"/>
          <w:iCs w:val="false"/>
          <w:color w:val="4A4A4A"/>
          <w:sz w:val="20"/>
          <w:szCs w:val="20"/>
        </w:rPr>
        <w:t xml:space="preserve">fetchLatestBaselines already exists in SupabaseService.swift. Wire its output into DomainRawMetrics and MetricValueRow.baseline so expanded cards show baseline values inline alongside today's readings (e.g., HRV: 48ms / baseline: 52ms). This is a one-session hardening task — highest priority before Phase 2 gate.</w:t>
      </w:r>
    </w:p>
    <w:p>
      <w:pPr>
        <w:spacing w:after="80" w:before="240"/>
      </w:pPr>
      <w:r>
        <w:rPr>
          <w:rFonts w:ascii="Arial" w:cs="Arial" w:eastAsia="Arial" w:hAnsi="Arial"/>
          <w:b/>
          <w:bCs/>
          <w:color w:val="B8946A"/>
          <w:sz w:val="22"/>
          <w:szCs w:val="22"/>
        </w:rPr>
        <w:t xml:space="preserve">Pattern Block Interactivity</w:t>
      </w:r>
    </w:p>
    <w:p>
      <w:pPr>
        <w:spacing w:after="100" w:before="60"/>
      </w:pPr>
      <w:r>
        <w:rPr>
          <w:rFonts w:ascii="Arial" w:cs="Arial" w:eastAsia="Arial" w:hAnsi="Arial"/>
          <w:b w:val="false"/>
          <w:bCs w:val="false"/>
          <w:i w:val="false"/>
          <w:iCs w:val="false"/>
          <w:color w:val="4A4A4A"/>
          <w:sz w:val="20"/>
          <w:szCs w:val="20"/>
        </w:rPr>
        <w:t xml:space="preserve">The System Pattern synthesis card is expandable architecture only in Phase 1. Phase 2 adds a drill-through that shows the pattern logic — why this pattern was detected, which metrics contributed, and what it means in the context of the user's full 30-day history.</w:t>
      </w:r>
    </w:p>
    <w:p>
      <w:pPr>
        <w:spacing w:after="80" w:before="240"/>
      </w:pPr>
      <w:r>
        <w:rPr>
          <w:rFonts w:ascii="Arial" w:cs="Arial" w:eastAsia="Arial" w:hAnsi="Arial"/>
          <w:b/>
          <w:bCs/>
          <w:color w:val="B8946A"/>
          <w:sz w:val="22"/>
          <w:szCs w:val="22"/>
        </w:rPr>
        <w:t xml:space="preserve">Historical Domain Comparison</w:t>
      </w:r>
    </w:p>
    <w:p>
      <w:pPr>
        <w:spacing w:after="100" w:before="60"/>
      </w:pPr>
      <w:r>
        <w:rPr>
          <w:rFonts w:ascii="Arial" w:cs="Arial" w:eastAsia="Arial" w:hAnsi="Arial"/>
          <w:b w:val="false"/>
          <w:bCs w:val="false"/>
          <w:i w:val="false"/>
          <w:iCs w:val="false"/>
          <w:color w:val="4A4A4A"/>
          <w:sz w:val="20"/>
          <w:szCs w:val="20"/>
        </w:rPr>
        <w:t xml:space="preserve">Domain scores over time belong on the Domains tab, not the Trend tab. Phase 2 adds a domain trend mode — toggling from 'today's cross-section' to 'domain scores over 30 days' within the Domains tab. Same 30-day window as the Trend tab. Keeps the surface coherent without duplicating the Trend tab's metric-level data.</w:t>
      </w:r>
    </w:p>
    <w:p>
      <w:pPr>
        <w:pStyle w:val="Heading2"/>
        <w:spacing w:after="120" w:before="360"/>
      </w:pPr>
      <w:r>
        <w:rPr>
          <w:rFonts w:ascii="Arial" w:cs="Arial" w:eastAsia="Arial" w:hAnsi="Arial"/>
          <w:b/>
          <w:bCs/>
          <w:color w:val="1A1A1A"/>
          <w:sz w:val="26"/>
          <w:szCs w:val="26"/>
        </w:rPr>
        <w:t xml:space="preserve">3.4  Profile Tab — Phase 2</w:t>
      </w:r>
    </w:p>
    <w:p>
      <w:pPr>
        <w:spacing w:after="80" w:before="240"/>
      </w:pPr>
      <w:r>
        <w:rPr>
          <w:rFonts w:ascii="Arial" w:cs="Arial" w:eastAsia="Arial" w:hAnsi="Arial"/>
          <w:b/>
          <w:bCs/>
          <w:color w:val="B8946A"/>
          <w:sz w:val="22"/>
          <w:szCs w:val="22"/>
        </w:rPr>
        <w:t xml:space="preserve">Biological Sex UI + Cycle Tracking</w:t>
      </w:r>
    </w:p>
    <w:p>
      <w:pPr>
        <w:spacing w:after="100" w:before="60"/>
      </w:pPr>
      <w:r>
        <w:rPr>
          <w:rFonts w:ascii="Arial" w:cs="Arial" w:eastAsia="Arial" w:hAnsi="Arial"/>
          <w:b w:val="false"/>
          <w:bCs w:val="false"/>
          <w:i w:val="false"/>
          <w:iCs w:val="false"/>
          <w:color w:val="4A4A4A"/>
          <w:sz w:val="20"/>
          <w:szCs w:val="20"/>
        </w:rPr>
        <w:t xml:space="preserve">Schema column biological_sex already exists (Sprint 4). Phase 2 builds the UI collection surface (a segmented picker in the Health tab) and begins cycle tracking data collection for users who identify as female. Cycle phase affects HRV and sleep scoring interpretation. This is a dedicated Phase 2 sprint.</w:t>
      </w:r>
    </w:p>
    <w:p>
      <w:pPr>
        <w:spacing w:after="80" w:before="240"/>
      </w:pPr>
      <w:r>
        <w:rPr>
          <w:rFonts w:ascii="Arial" w:cs="Arial" w:eastAsia="Arial" w:hAnsi="Arial"/>
          <w:b/>
          <w:bCs/>
          <w:color w:val="B8946A"/>
          <w:sz w:val="22"/>
          <w:szCs w:val="22"/>
        </w:rPr>
        <w:t xml:space="preserve">SSO — Apple Sign In / Google Sign In</w:t>
      </w:r>
    </w:p>
    <w:p>
      <w:pPr>
        <w:spacing w:after="100" w:before="60"/>
      </w:pPr>
      <w:r>
        <w:rPr>
          <w:rFonts w:ascii="Arial" w:cs="Arial" w:eastAsia="Arial" w:hAnsi="Arial"/>
          <w:b w:val="false"/>
          <w:bCs w:val="false"/>
          <w:i w:val="false"/>
          <w:iCs w:val="false"/>
          <w:color w:val="4A4A4A"/>
          <w:sz w:val="20"/>
          <w:szCs w:val="20"/>
        </w:rPr>
        <w:t xml:space="preserve">Email-only auth ships for Phase 1. Phase 2 adds Apple Sign In and Google Sign In. Supabase Auth supports both natively. Requires adding entitlements to the Xcode project and configuring OAuth providers in Supabase dashboard. One sprint.</w:t>
      </w:r>
    </w:p>
    <w:p>
      <w:pPr>
        <w:spacing w:after="80" w:before="240"/>
      </w:pPr>
      <w:r>
        <w:rPr>
          <w:rFonts w:ascii="Arial" w:cs="Arial" w:eastAsia="Arial" w:hAnsi="Arial"/>
          <w:b/>
          <w:bCs/>
          <w:color w:val="B8946A"/>
          <w:sz w:val="22"/>
          <w:szCs w:val="22"/>
        </w:rPr>
        <w:t xml:space="preserve">Notification Infrastructure — Brief Delivery Time</w:t>
      </w:r>
    </w:p>
    <w:p>
      <w:pPr>
        <w:spacing w:after="100" w:before="60"/>
      </w:pPr>
      <w:r>
        <w:rPr>
          <w:rFonts w:ascii="Arial" w:cs="Arial" w:eastAsia="Arial" w:hAnsi="Arial"/>
          <w:b w:val="false"/>
          <w:bCs w:val="false"/>
          <w:i w:val="false"/>
          <w:iCs w:val="false"/>
          <w:color w:val="4A4A4A"/>
          <w:sz w:val="20"/>
          <w:szCs w:val="20"/>
        </w:rPr>
        <w:t xml:space="preserve">morning_brief_enabled and wake_time are already in the Supabase schema. Phase 2 wires notification scheduling so the Morning brief arrives at the user's stated wake time. Requires UNUserNotificationCenter permission request (already a graceful ask) and a background refresh trigger.</w:t>
      </w:r>
    </w:p>
    <w:p>
      <w:pPr>
        <w:spacing w:after="80" w:before="240"/>
      </w:pPr>
      <w:r>
        <w:rPr>
          <w:rFonts w:ascii="Arial" w:cs="Arial" w:eastAsia="Arial" w:hAnsi="Arial"/>
          <w:b/>
          <w:bCs/>
          <w:color w:val="B8946A"/>
          <w:sz w:val="22"/>
          <w:szCs w:val="22"/>
        </w:rPr>
        <w:t xml:space="preserve">Onboarding Resume Checkpoint (S1-002)</w:t>
      </w:r>
    </w:p>
    <w:p>
      <w:pPr>
        <w:spacing w:after="100" w:before="60"/>
      </w:pPr>
      <w:r>
        <w:rPr>
          <w:rFonts w:ascii="Arial" w:cs="Arial" w:eastAsia="Arial" w:hAnsi="Arial"/>
          <w:b w:val="false"/>
          <w:bCs w:val="false"/>
          <w:i w:val="false"/>
          <w:iCs w:val="false"/>
          <w:color w:val="4A4A4A"/>
          <w:sz w:val="20"/>
          <w:szCs w:val="20"/>
        </w:rPr>
        <w:t xml:space="preserve">Currently an incomplete onboarding restart from splash. Phase 2 adds a checkpoint system: if onboarding_complete = false and a users row exists, resume from the last completed screen. Requires a stage_reached column in the users table and routing logic in OnboardingFlowView.</w:t>
      </w:r>
    </w:p>
    <w:p>
      <w:pPr>
        <w:spacing w:after="80" w:before="240"/>
      </w:pPr>
      <w:r>
        <w:rPr>
          <w:rFonts w:ascii="Arial" w:cs="Arial" w:eastAsia="Arial" w:hAnsi="Arial"/>
          <w:b/>
          <w:bCs/>
          <w:color w:val="B8946A"/>
          <w:sz w:val="22"/>
          <w:szCs w:val="22"/>
        </w:rPr>
        <w:t xml:space="preserve">VeSync + iHealth Metric Ingestion</w:t>
      </w:r>
    </w:p>
    <w:p>
      <w:pPr>
        <w:spacing w:after="100" w:before="60"/>
      </w:pPr>
      <w:r>
        <w:rPr>
          <w:rFonts w:ascii="Arial" w:cs="Arial" w:eastAsia="Arial" w:hAnsi="Arial"/>
          <w:b w:val="false"/>
          <w:bCs w:val="false"/>
          <w:i w:val="false"/>
          <w:iCs w:val="false"/>
          <w:color w:val="4A4A4A"/>
          <w:sz w:val="20"/>
          <w:szCs w:val="20"/>
        </w:rPr>
        <w:t xml:space="preserve">HKSourceQuery now surfaces both devices in Connected Devices (Sprint 5). Phase 2 wires their data into the scoring engine. Body mass from VeSync feeds weight_lbs and informs metabolic domain. Blood pressure from iHealth feeds autonomic domain as a supplemental signal. Requires scoring engine weight decision (a strategy session) before build begins.</w:t>
      </w:r>
    </w:p>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4 — HORIZON TAB: PHASE 2 EXPANDED SPECIFICATION</w:t>
      </w:r>
    </w:p>
    <w:p>
      <w:pPr>
        <w:spacing w:after="100" w:before="60"/>
      </w:pPr>
      <w:r>
        <w:rPr>
          <w:rFonts w:ascii="Arial" w:cs="Arial" w:eastAsia="Arial" w:hAnsi="Arial"/>
          <w:b w:val="false"/>
          <w:bCs w:val="false"/>
          <w:i w:val="false"/>
          <w:iCs w:val="false"/>
          <w:color w:val="4A4A4A"/>
          <w:sz w:val="20"/>
          <w:szCs w:val="20"/>
        </w:rPr>
        <w:t xml:space="preserve">The Horizon tab is the most technically ambitious surface in Chronos. Phase 1 built and validated Page 1 (Signal). Phase 2 populates Pages 2–4 and activates the Chronic Disease Ontology Engine as the intelligence layer behind all Horizon content. This section is the complete specification for that work.</w:t>
      </w:r>
    </w:p>
    <w:p>
      <w:pPr>
        <w:pStyle w:val="Heading2"/>
        <w:spacing w:after="120" w:before="360"/>
      </w:pPr>
      <w:r>
        <w:rPr>
          <w:rFonts w:ascii="Arial" w:cs="Arial" w:eastAsia="Arial" w:hAnsi="Arial"/>
          <w:b/>
          <w:bCs/>
          <w:color w:val="1A1A1A"/>
          <w:sz w:val="26"/>
          <w:szCs w:val="26"/>
        </w:rPr>
        <w:t xml:space="preserve">4.1  The Question Horizon Answers</w:t>
      </w:r>
    </w:p>
    <w:p>
      <w:pPr>
        <w:spacing w:after="100" w:before="60"/>
      </w:pPr>
      <w:r>
        <w:rPr>
          <w:rFonts w:ascii="Arial" w:cs="Arial" w:eastAsia="Arial" w:hAnsi="Arial"/>
          <w:b w:val="false"/>
          <w:bCs w:val="false"/>
          <w:i w:val="false"/>
          <w:iCs w:val="false"/>
          <w:color w:val="4A4A4A"/>
          <w:sz w:val="20"/>
          <w:szCs w:val="20"/>
        </w:rPr>
        <w:t xml:space="preserve">Every other tab is backward-looking or present-state. Horizon is the only surface that answers: What is accumulating in my body that I cannot yet feel?</w:t>
      </w:r>
    </w:p>
    <w:p>
      <w:pPr>
        <w:spacing w:after="100" w:before="60"/>
      </w:pPr>
      <w:r>
        <w:rPr>
          <w:rFonts w:ascii="Arial" w:cs="Arial" w:eastAsia="Arial" w:hAnsi="Arial"/>
          <w:b w:val="false"/>
          <w:bCs w:val="false"/>
          <w:i w:val="false"/>
          <w:iCs w:val="false"/>
          <w:color w:val="4A4A4A"/>
          <w:sz w:val="20"/>
          <w:szCs w:val="20"/>
        </w:rPr>
        <w:t xml:space="preserve">It is not a summary of trends. It is not a score breakdown. It is a forward-facing interpretation of what the current physiological pattern implies about near-future trajectory. The three-pathway architecture (Autonomic / Sleep / Metabolic) organizes this by body system.</w:t>
      </w:r>
    </w:p>
    <w:p>
      <w:pPr>
        <w:spacing w:after="100" w:before="60"/>
      </w:pPr>
      <w:r>
        <w:rPr>
          <w:rFonts w:ascii="Arial" w:cs="Arial" w:eastAsia="Arial" w:hAnsi="Arial"/>
          <w:b w:val="false"/>
          <w:bCs w:val="false"/>
          <w:i w:val="false"/>
          <w:iCs w:val="false"/>
          <w:color w:val="4A4A4A"/>
          <w:sz w:val="20"/>
          <w:szCs w:val="20"/>
        </w:rPr>
        <w:t xml:space="preserve">Non-negotiable constraint: no backward-looking language on this tab. No charts. No score numbers. No 'last week' references. The Horizon tab lives in the future tense.</w:t>
      </w:r>
    </w:p>
    <w:p>
      <w:pPr>
        <w:pStyle w:val="Heading2"/>
        <w:spacing w:after="120" w:before="360"/>
      </w:pPr>
      <w:r>
        <w:rPr>
          <w:rFonts w:ascii="Arial" w:cs="Arial" w:eastAsia="Arial" w:hAnsi="Arial"/>
          <w:b/>
          <w:bCs/>
          <w:color w:val="1A1A1A"/>
          <w:sz w:val="26"/>
          <w:szCs w:val="26"/>
        </w:rPr>
        <w:t xml:space="preserve">4.2  Container Architecture (Phase 1 — Already Built)</w:t>
      </w:r>
    </w:p>
    <w:p>
      <w:pPr>
        <w:spacing w:after="100" w:before="60"/>
      </w:pPr>
      <w:r>
        <w:rPr>
          <w:rFonts w:ascii="Arial" w:cs="Arial" w:eastAsia="Arial" w:hAnsi="Arial"/>
          <w:b w:val="false"/>
          <w:bCs w:val="false"/>
          <w:i w:val="false"/>
          <w:iCs w:val="false"/>
          <w:color w:val="4A4A4A"/>
          <w:sz w:val="20"/>
          <w:szCs w:val="20"/>
        </w:rPr>
        <w:t xml:space="preserve">HorizonModuleView contains a TabView with PageTabViewStyle. HorizonPageIndicator shows one filled dot per active page. In Phase 1, one dot is visible (Page 1 only). As Phase 2 activates pages, dots increment automatically — no structural rebuild required.</w:t>
      </w:r>
    </w:p>
    <w:p>
      <w:pPr>
        <w:spacing w:after="100" w:before="60"/>
      </w:pPr>
      <w:r>
        <w:rPr>
          <w:rFonts w:ascii="Arial" w:cs="Arial" w:eastAsia="Arial" w:hAnsi="Arial"/>
          <w:b w:val="false"/>
          <w:bCs w:val="false"/>
          <w:i w:val="false"/>
          <w:iCs w:val="false"/>
          <w:color w:val="4A4A4A"/>
          <w:sz w:val="20"/>
          <w:szCs w:val="20"/>
        </w:rPr>
        <w:t xml:space="preserve">Dot color tracks state: Thriving = green, Redline = red, Yellowline = amber, Default = white/60%. Inactive dots are white at 25% opacity.</w:t>
      </w:r>
    </w:p>
    <w:p>
      <w:pPr>
        <w:pStyle w:val="Heading2"/>
        <w:spacing w:after="120" w:before="360"/>
      </w:pPr>
      <w:r>
        <w:rPr>
          <w:rFonts w:ascii="Arial" w:cs="Arial" w:eastAsia="Arial" w:hAnsi="Arial"/>
          <w:b/>
          <w:bCs/>
          <w:color w:val="1A1A1A"/>
          <w:sz w:val="26"/>
          <w:szCs w:val="26"/>
        </w:rPr>
        <w:t xml:space="preserve">4.3  Page 1 — Signal (Phase 1 — Already Built)</w:t>
      </w:r>
    </w:p>
    <w:p>
      <w:pPr>
        <w:spacing w:after="100" w:before="60"/>
      </w:pPr>
      <w:r>
        <w:rPr>
          <w:rFonts w:ascii="Arial" w:cs="Arial" w:eastAsia="Arial" w:hAnsi="Arial"/>
          <w:b w:val="false"/>
          <w:bCs w:val="false"/>
          <w:i w:val="false"/>
          <w:iCs w:val="false"/>
          <w:color w:val="4A4A4A"/>
          <w:sz w:val="20"/>
          <w:szCs w:val="20"/>
        </w:rPr>
        <w:t xml:space="preserve">Answers: What is accumulating today? Three pathway cards — Autonomic Recovery, Sleep Recovery, Activity Load — each showing CALM or ELEVATED state with domain-specific copy. ELEVATED cards are visually distinct (border treatment, color shift — Option B). The 10-second rule is validated: a first-time user can distinguish this tab from Trend without instruction.</w:t>
      </w:r>
    </w:p>
    <w:p>
      <w:pPr>
        <w:pStyle w:val="Heading2"/>
        <w:spacing w:after="120" w:before="360"/>
      </w:pPr>
      <w:r>
        <w:rPr>
          <w:rFonts w:ascii="Arial" w:cs="Arial" w:eastAsia="Arial" w:hAnsi="Arial"/>
          <w:b/>
          <w:bCs/>
          <w:color w:val="1A1A1A"/>
          <w:sz w:val="26"/>
          <w:szCs w:val="26"/>
        </w:rPr>
        <w:t xml:space="preserve">4.4  The Chronic Disease Ontology Engine — Architecture</w:t>
      </w:r>
    </w:p>
    <w:p>
      <w:pPr>
        <w:spacing w:after="100" w:before="60"/>
      </w:pPr>
      <w:r>
        <w:rPr>
          <w:rFonts w:ascii="Arial" w:cs="Arial" w:eastAsia="Arial" w:hAnsi="Arial"/>
          <w:b w:val="false"/>
          <w:bCs w:val="false"/>
          <w:i w:val="false"/>
          <w:iCs w:val="false"/>
          <w:color w:val="4A4A4A"/>
          <w:sz w:val="20"/>
          <w:szCs w:val="20"/>
        </w:rPr>
        <w:t xml:space="preserve">The engine behind Pages 2–4 is a four-tier causal graph model. It maps the progression from modifiable lifestyle behaviors to chronic disease endpoints. This model is documented in the MBI knowledge vault and is the most technically original asset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Tier 1 — Root Causes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Behavioral and environmental inputs: Poor Diet, Physical Inactivity, Chronic Stress, Poor Sleep, Gut Dysbiosis, Social Isolation, Environmental Toxins, Substance Use, Circadian Disruption</w:t>
            </w:r>
          </w:p>
        </w:tc>
      </w:tr>
      <w:tr>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Tier 2 — Biological Response</w:t>
            </w:r>
          </w:p>
        </w:tc>
        <w:tc>
          <w:tcPr>
            <w:tcW w:type="dxa" w:w="6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Modifiable physiology: Insulin Resistance, Elevated Blood Glucose, High Cortisol, Systemic Inflammation, Autonomic Dysfunction, Oxidative Stress, Low HRV, Sympathetic Dominance, Elevated RHR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Tier 3 — Intermediate Dysfunction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Pre-clinical states: Glucose Intolerance, Visceral Obesity, Hypertension, Prehypertension, Sleep Fragmentation, Chronic Fatigue, Depressive Symptoms, Leaky Gut, Digestive Dysregulation</w:t>
            </w:r>
          </w:p>
        </w:tc>
      </w:tr>
      <w:tr>
        <w:tc>
          <w:tcPr>
            <w:tcW w:type="dxa" w:w="2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Tier 4 — Disease Endpoints</w:t>
            </w:r>
          </w:p>
        </w:tc>
        <w:tc>
          <w:tcPr>
            <w:tcW w:type="dxa" w:w="6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T2 Diabetes, Cardiovascular Disease, CKD, Alzheimer's, Autoimmune Disease, Cancer, MDD, OSA, Osteoporosis, PCOS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Protective Nodes (11)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Daily Exercise, Quality Sleep, Fasting State, High HRV, Breathwork, Circadian Alignment, Mitochondrial Efficiency, Nutrient Sufficiency, Purpose &amp; Meaning, Social Connection, Sunlight Exposure</w:t>
            </w:r>
          </w:p>
        </w:tc>
      </w:tr>
    </w:tbl>
    <w:p>
      <w:pPr>
        <w:spacing w:after="60" w:before="60"/>
      </w:pPr>
      <w:r>
        <w:rPr>
          <w:rFonts w:ascii="Arial" w:cs="Arial" w:eastAsia="Arial" w:hAnsi="Arial"/>
          <w:sz w:val="20"/>
          <w:szCs w:val="20"/>
        </w:rPr>
        <w:t xml:space="preserve"/>
      </w:r>
    </w:p>
    <w:p>
      <w:pPr>
        <w:spacing w:after="100" w:before="60"/>
      </w:pPr>
      <w:r>
        <w:rPr>
          <w:rFonts w:ascii="Arial" w:cs="Arial" w:eastAsia="Arial" w:hAnsi="Arial"/>
          <w:b w:val="false"/>
          <w:bCs w:val="false"/>
          <w:i w:val="false"/>
          <w:iCs w:val="false"/>
          <w:color w:val="4A4A4A"/>
          <w:sz w:val="20"/>
          <w:szCs w:val="20"/>
        </w:rPr>
        <w:t xml:space="preserve">Each node has: upstream triggers, downstream propagation coefficients (beta values), biomarker thresholds, activation rules, decay half-lives (e.g., Poor Diet: 10 days; Insulin Resistance: 30 days), and intervention effects.</w:t>
      </w:r>
    </w:p>
    <w:p>
      <w:pPr>
        <w:spacing w:after="100" w:before="60"/>
      </w:pPr>
      <w:r>
        <w:rPr>
          <w:rFonts w:ascii="Arial" w:cs="Arial" w:eastAsia="Arial" w:hAnsi="Arial"/>
          <w:b w:val="false"/>
          <w:bCs w:val="false"/>
          <w:i w:val="false"/>
          <w:iCs w:val="false"/>
          <w:color w:val="4A4A4A"/>
          <w:sz w:val="20"/>
          <w:szCs w:val="20"/>
        </w:rPr>
        <w:t xml:space="preserve">Net risk formula: net_score = Σ(upstream_risk_i × β_i) − Σ(upstream_resilience_j × β_j). Scores reset daily based on both damage and repair inputs.</w:t>
      </w:r>
    </w:p>
    <w:p>
      <w:pPr>
        <w:spacing w:after="100" w:before="60"/>
      </w:pPr>
      <w:r>
        <w:rPr>
          <w:rFonts w:ascii="Arial" w:cs="Arial" w:eastAsia="Arial" w:hAnsi="Arial"/>
          <w:b w:val="false"/>
          <w:bCs w:val="false"/>
          <w:i w:val="false"/>
          <w:iCs w:val="false"/>
          <w:color w:val="4A4A4A"/>
          <w:sz w:val="20"/>
          <w:szCs w:val="20"/>
        </w:rPr>
        <w:t xml:space="preserve">Activation rule: each node activates when two or more threshold criteria are met for the minimum required duration. Example — Glucose Intolerance activates when A1C ≥5.6% or CGM spikes &gt;20% over 7 days, with lab data weighted 1.0, wearable data 0.9, symptom logs 0.6.</w:t>
      </w:r>
    </w:p>
    <w:p>
      <w:pPr>
        <w:pStyle w:val="Heading2"/>
        <w:spacing w:after="120" w:before="360"/>
      </w:pPr>
      <w:r>
        <w:rPr>
          <w:rFonts w:ascii="Arial" w:cs="Arial" w:eastAsia="Arial" w:hAnsi="Arial"/>
          <w:b/>
          <w:bCs/>
          <w:color w:val="1A1A1A"/>
          <w:sz w:val="26"/>
          <w:szCs w:val="26"/>
        </w:rPr>
        <w:t xml:space="preserve">4.5  HorizonPathwayCard Data Model (Already Established in Phase 1)</w:t>
      </w:r>
    </w:p>
    <w:p>
      <w:pPr>
        <w:spacing w:after="100" w:before="60"/>
      </w:pPr>
      <w:r>
        <w:rPr>
          <w:rFonts w:ascii="Arial" w:cs="Arial" w:eastAsia="Arial" w:hAnsi="Arial"/>
          <w:b w:val="false"/>
          <w:bCs w:val="false"/>
          <w:i w:val="false"/>
          <w:iCs w:val="false"/>
          <w:color w:val="4A4A4A"/>
          <w:sz w:val="20"/>
          <w:szCs w:val="20"/>
        </w:rPr>
        <w:t xml:space="preserve">The card data model was built in Sprint 3 to accept full Phase 2 fields without a rebuild. The model structure:</w:t>
      </w:r>
    </w:p>
    <w:p>
      <w:pPr>
        <w:pStyle w:val="ListParagraph"/>
        <w:numPr>
          <w:ilvl w:val="0"/>
          <w:numId w:val="2"/>
        </w:numPr>
        <w:spacing w:after="40" w:before="40"/>
      </w:pPr>
      <w:r>
        <w:rPr>
          <w:rFonts w:ascii="Arial" w:cs="Arial" w:eastAsia="Arial" w:hAnsi="Arial"/>
          <w:color w:val="4A4A4A"/>
          <w:sz w:val="20"/>
          <w:szCs w:val="20"/>
        </w:rPr>
        <w:t xml:space="preserve">pathwayId: String — domain identifier (autonomic / sleep / metabolic)</w:t>
      </w:r>
    </w:p>
    <w:p>
      <w:pPr>
        <w:pStyle w:val="ListParagraph"/>
        <w:numPr>
          <w:ilvl w:val="0"/>
          <w:numId w:val="2"/>
        </w:numPr>
        <w:spacing w:after="40" w:before="40"/>
      </w:pPr>
      <w:r>
        <w:rPr>
          <w:rFonts w:ascii="Arial" w:cs="Arial" w:eastAsia="Arial" w:hAnsi="Arial"/>
          <w:color w:val="4A4A4A"/>
          <w:sz w:val="20"/>
          <w:szCs w:val="20"/>
        </w:rPr>
        <w:t xml:space="preserve">signalLabel: String — primary state label shown on card (CALM / ELEVATED / FLAGGED)</w:t>
      </w:r>
    </w:p>
    <w:p>
      <w:pPr>
        <w:pStyle w:val="ListParagraph"/>
        <w:numPr>
          <w:ilvl w:val="0"/>
          <w:numId w:val="2"/>
        </w:numPr>
        <w:spacing w:after="40" w:before="40"/>
      </w:pPr>
      <w:r>
        <w:rPr>
          <w:rFonts w:ascii="Arial" w:cs="Arial" w:eastAsia="Arial" w:hAnsi="Arial"/>
          <w:color w:val="4A4A4A"/>
          <w:sz w:val="20"/>
          <w:szCs w:val="20"/>
        </w:rPr>
        <w:t xml:space="preserve">bodyText: String — Claude-generated forward-facing interpretation</w:t>
      </w:r>
    </w:p>
    <w:p>
      <w:pPr>
        <w:pStyle w:val="ListParagraph"/>
        <w:numPr>
          <w:ilvl w:val="0"/>
          <w:numId w:val="2"/>
        </w:numPr>
        <w:spacing w:after="40" w:before="40"/>
      </w:pPr>
      <w:r>
        <w:rPr>
          <w:rFonts w:ascii="Arial" w:cs="Arial" w:eastAsia="Arial" w:hAnsi="Arial"/>
          <w:color w:val="4A4A4A"/>
          <w:sz w:val="20"/>
          <w:szCs w:val="20"/>
        </w:rPr>
        <w:t xml:space="preserve">ctaText: String — domain-specific closing line (unique per pathway)</w:t>
      </w:r>
    </w:p>
    <w:p>
      <w:pPr>
        <w:pStyle w:val="ListParagraph"/>
        <w:numPr>
          <w:ilvl w:val="0"/>
          <w:numId w:val="2"/>
        </w:numPr>
        <w:spacing w:after="40" w:before="40"/>
      </w:pPr>
      <w:r>
        <w:rPr>
          <w:rFonts w:ascii="Arial" w:cs="Arial" w:eastAsia="Arial" w:hAnsi="Arial"/>
          <w:color w:val="4A4A4A"/>
          <w:sz w:val="20"/>
          <w:szCs w:val="20"/>
        </w:rPr>
        <w:t xml:space="preserve">trajectoryLabel: String? — Phase 2 — path label from ontology (e.g., 'Heading toward Autonomic Dysfunction')</w:t>
      </w:r>
    </w:p>
    <w:p>
      <w:pPr>
        <w:pStyle w:val="ListParagraph"/>
        <w:numPr>
          <w:ilvl w:val="0"/>
          <w:numId w:val="2"/>
        </w:numPr>
        <w:spacing w:after="40" w:before="40"/>
      </w:pPr>
      <w:r>
        <w:rPr>
          <w:rFonts w:ascii="Arial" w:cs="Arial" w:eastAsia="Arial" w:hAnsi="Arial"/>
          <w:color w:val="4A4A4A"/>
          <w:sz w:val="20"/>
          <w:szCs w:val="20"/>
        </w:rPr>
        <w:t xml:space="preserve">conditionClass: String? — Phase 2 — intermediate dysfunction node name</w:t>
      </w:r>
    </w:p>
    <w:p>
      <w:pPr>
        <w:pStyle w:val="ListParagraph"/>
        <w:numPr>
          <w:ilvl w:val="0"/>
          <w:numId w:val="2"/>
        </w:numPr>
        <w:spacing w:after="40" w:before="40"/>
      </w:pPr>
      <w:r>
        <w:rPr>
          <w:rFonts w:ascii="Arial" w:cs="Arial" w:eastAsia="Arial" w:hAnsi="Arial"/>
          <w:color w:val="4A4A4A"/>
          <w:sz w:val="20"/>
          <w:szCs w:val="20"/>
        </w:rPr>
        <w:t xml:space="preserve">escalationLevel: Int — 0 (no action) to 3 (doctor prompt). nil in Phase 1</w:t>
      </w:r>
    </w:p>
    <w:p>
      <w:pPr>
        <w:pStyle w:val="ListParagraph"/>
        <w:numPr>
          <w:ilvl w:val="0"/>
          <w:numId w:val="2"/>
        </w:numPr>
        <w:spacing w:after="40" w:before="40"/>
      </w:pPr>
      <w:r>
        <w:rPr>
          <w:rFonts w:ascii="Arial" w:cs="Arial" w:eastAsia="Arial" w:hAnsi="Arial"/>
          <w:color w:val="4A4A4A"/>
          <w:sz w:val="20"/>
          <w:szCs w:val="20"/>
        </w:rPr>
        <w:t xml:space="preserve">confidenceGate: Double? — 0.0–1.0 — minimum confidence to surface ontology output</w:t>
      </w:r>
    </w:p>
    <w:p>
      <w:pPr>
        <w:pStyle w:val="ListParagraph"/>
        <w:numPr>
          <w:ilvl w:val="0"/>
          <w:numId w:val="2"/>
        </w:numPr>
        <w:spacing w:after="40" w:before="40"/>
      </w:pPr>
      <w:r>
        <w:rPr>
          <w:rFonts w:ascii="Arial" w:cs="Arial" w:eastAsia="Arial" w:hAnsi="Arial"/>
          <w:color w:val="4A4A4A"/>
          <w:sz w:val="20"/>
          <w:szCs w:val="20"/>
        </w:rPr>
        <w:t xml:space="preserve">daysInPattern: Int? — how many consecutive days this pattern has been detected</w:t>
      </w:r>
    </w:p>
    <w:p>
      <w:pPr>
        <w:pStyle w:val="Heading2"/>
        <w:spacing w:after="120" w:before="360"/>
      </w:pPr>
      <w:r>
        <w:rPr>
          <w:rFonts w:ascii="Arial" w:cs="Arial" w:eastAsia="Arial" w:hAnsi="Arial"/>
          <w:b/>
          <w:bCs/>
          <w:color w:val="1A1A1A"/>
          <w:sz w:val="26"/>
          <w:szCs w:val="26"/>
        </w:rPr>
        <w:t xml:space="preserve">4.6  Page 2 — Trajectory (Phase 2 — Ontology Engine v1)</w:t>
      </w:r>
    </w:p>
    <w:p>
      <w:pPr>
        <w:spacing w:after="100" w:before="60"/>
      </w:pPr>
      <w:r>
        <w:rPr>
          <w:rFonts w:ascii="Arial" w:cs="Arial" w:eastAsia="Arial" w:hAnsi="Arial"/>
          <w:b w:val="false"/>
          <w:bCs w:val="false"/>
          <w:i w:val="false"/>
          <w:iCs w:val="false"/>
          <w:color w:val="4A4A4A"/>
          <w:sz w:val="20"/>
          <w:szCs w:val="20"/>
        </w:rPr>
        <w:t xml:space="preserve">Answers: Where does this pattern lead?</w:t>
      </w:r>
    </w:p>
    <w:p>
      <w:pPr>
        <w:spacing w:after="100" w:before="60"/>
      </w:pPr>
      <w:r>
        <w:rPr>
          <w:rFonts w:ascii="Arial" w:cs="Arial" w:eastAsia="Arial" w:hAnsi="Arial"/>
          <w:b w:val="false"/>
          <w:bCs w:val="false"/>
          <w:i w:val="false"/>
          <w:iCs w:val="false"/>
          <w:color w:val="4A4A4A"/>
          <w:sz w:val="20"/>
          <w:szCs w:val="20"/>
        </w:rPr>
        <w:t xml:space="preserve">Page 2 becomes visible when conditionClass is populated and confidenceGate is met. The dot indicator increments to two dots. Page 2 is not accessible until these conditions are true — the dot does not appear, and swipe navigation does not extend to Page 2 for that user.</w:t>
      </w:r>
    </w:p>
    <w:p>
      <w:pPr>
        <w:spacing w:after="80" w:before="240"/>
      </w:pPr>
      <w:r>
        <w:rPr>
          <w:rFonts w:ascii="Arial" w:cs="Arial" w:eastAsia="Arial" w:hAnsi="Arial"/>
          <w:b/>
          <w:bCs/>
          <w:color w:val="B8946A"/>
          <w:sz w:val="22"/>
          <w:szCs w:val="22"/>
        </w:rPr>
        <w:t xml:space="preserve">Content Architecture</w:t>
      </w:r>
    </w:p>
    <w:p>
      <w:pPr>
        <w:pStyle w:val="ListParagraph"/>
        <w:numPr>
          <w:ilvl w:val="0"/>
          <w:numId w:val="2"/>
        </w:numPr>
        <w:spacing w:after="40" w:before="40"/>
      </w:pPr>
      <w:r>
        <w:rPr>
          <w:rFonts w:ascii="Arial" w:cs="Arial" w:eastAsia="Arial" w:hAnsi="Arial"/>
          <w:color w:val="4A4A4A"/>
          <w:sz w:val="20"/>
          <w:szCs w:val="20"/>
        </w:rPr>
        <w:t xml:space="preserve">Pathway header: same three-section structure as Page 1, but forward-looking</w:t>
      </w:r>
    </w:p>
    <w:p>
      <w:pPr>
        <w:pStyle w:val="ListParagraph"/>
        <w:numPr>
          <w:ilvl w:val="0"/>
          <w:numId w:val="2"/>
        </w:numPr>
        <w:spacing w:after="40" w:before="40"/>
      </w:pPr>
      <w:r>
        <w:rPr>
          <w:rFonts w:ascii="Arial" w:cs="Arial" w:eastAsia="Arial" w:hAnsi="Arial"/>
          <w:color w:val="4A4A4A"/>
          <w:sz w:val="20"/>
          <w:szCs w:val="20"/>
        </w:rPr>
        <w:t xml:space="preserve">Trajectory card: shows the Tier 3 intermediate dysfunction state that this pattern is activating toward (e.g., 'This pattern is consistent with early-stage Autonomic Dysfunction')</w:t>
      </w:r>
    </w:p>
    <w:p>
      <w:pPr>
        <w:pStyle w:val="ListParagraph"/>
        <w:numPr>
          <w:ilvl w:val="0"/>
          <w:numId w:val="2"/>
        </w:numPr>
        <w:spacing w:after="40" w:before="40"/>
      </w:pPr>
      <w:r>
        <w:rPr>
          <w:rFonts w:ascii="Arial" w:cs="Arial" w:eastAsia="Arial" w:hAnsi="Arial"/>
          <w:color w:val="4A4A4A"/>
          <w:sz w:val="20"/>
          <w:szCs w:val="20"/>
        </w:rPr>
        <w:t xml:space="preserve">Confidence indicator: not a percentage — a qualitative signal ('Pattern detected for X days', 'Pattern strengthening')</w:t>
      </w:r>
    </w:p>
    <w:p>
      <w:pPr>
        <w:pStyle w:val="ListParagraph"/>
        <w:numPr>
          <w:ilvl w:val="0"/>
          <w:numId w:val="2"/>
        </w:numPr>
        <w:spacing w:after="40" w:before="40"/>
      </w:pPr>
      <w:r>
        <w:rPr>
          <w:rFonts w:ascii="Arial" w:cs="Arial" w:eastAsia="Arial" w:hAnsi="Arial"/>
          <w:color w:val="4A4A4A"/>
          <w:sz w:val="20"/>
          <w:szCs w:val="20"/>
        </w:rPr>
        <w:t xml:space="preserve">Legal framing: all trajectory language is wellness-framed. No disease names in user-facing copy. conditionClass drives the routing logic internally; the UI surfaces a wellness-language description only.</w:t>
      </w:r>
    </w:p>
    <w:p>
      <w:pPr>
        <w:pStyle w:val="ListParagraph"/>
        <w:numPr>
          <w:ilvl w:val="0"/>
          <w:numId w:val="2"/>
        </w:numPr>
        <w:spacing w:after="40" w:before="40"/>
      </w:pPr>
      <w:r>
        <w:rPr>
          <w:rFonts w:ascii="Arial" w:cs="Arial" w:eastAsia="Arial" w:hAnsi="Arial"/>
          <w:color w:val="4A4A4A"/>
          <w:sz w:val="20"/>
          <w:szCs w:val="20"/>
        </w:rPr>
        <w:t xml:space="preserve">Protective node callout: if any Tier 4 protective node is active for this user, surface it here as a counterweight ('Your sleep consistency is working against this pattern')</w:t>
      </w:r>
    </w:p>
    <w:p>
      <w:pPr>
        <w:spacing w:after="80" w:before="240"/>
      </w:pPr>
      <w:r>
        <w:rPr>
          <w:rFonts w:ascii="Arial" w:cs="Arial" w:eastAsia="Arial" w:hAnsi="Arial"/>
          <w:b/>
          <w:bCs/>
          <w:color w:val="B8946A"/>
          <w:sz w:val="22"/>
          <w:szCs w:val="22"/>
        </w:rPr>
        <w:t xml:space="preserve">Constraints</w:t>
      </w:r>
    </w:p>
    <w:p>
      <w:pPr>
        <w:spacing w:after="100" w:before="60"/>
      </w:pPr>
      <w:r>
        <w:rPr>
          <w:rFonts w:ascii="Arial" w:cs="Arial" w:eastAsia="Arial" w:hAnsi="Arial"/>
          <w:b w:val="false"/>
          <w:bCs w:val="false"/>
          <w:i w:val="false"/>
          <w:iCs w:val="false"/>
          <w:color w:val="4A4A4A"/>
          <w:sz w:val="20"/>
          <w:szCs w:val="20"/>
        </w:rPr>
        <w:t xml:space="preserve">LLM generates narrative only. The ontology engine determines which conditionClass is activated, what the trajectoryLabel is, and what escalationLevel applies. Claude receives those structured values and generates the copy. This maintains the hard separation between the deterministic pipeline and the language layer.</w:t>
      </w:r>
    </w:p>
    <w:p>
      <w:pPr>
        <w:pStyle w:val="Heading2"/>
        <w:spacing w:after="120" w:before="360"/>
      </w:pPr>
      <w:r>
        <w:rPr>
          <w:rFonts w:ascii="Arial" w:cs="Arial" w:eastAsia="Arial" w:hAnsi="Arial"/>
          <w:b/>
          <w:bCs/>
          <w:color w:val="1A1A1A"/>
          <w:sz w:val="26"/>
          <w:szCs w:val="26"/>
        </w:rPr>
        <w:t xml:space="preserve">4.7  Page 3 — Redirect (Phase 2 — Intervention Layer)</w:t>
      </w:r>
    </w:p>
    <w:p>
      <w:pPr>
        <w:spacing w:after="100" w:before="60"/>
      </w:pPr>
      <w:r>
        <w:rPr>
          <w:rFonts w:ascii="Arial" w:cs="Arial" w:eastAsia="Arial" w:hAnsi="Arial"/>
          <w:b w:val="false"/>
          <w:bCs w:val="false"/>
          <w:i w:val="false"/>
          <w:iCs w:val="false"/>
          <w:color w:val="4A4A4A"/>
          <w:sz w:val="20"/>
          <w:szCs w:val="20"/>
        </w:rPr>
        <w:t xml:space="preserve">Answers: What changes this trajectory?</w:t>
      </w:r>
    </w:p>
    <w:p>
      <w:pPr>
        <w:spacing w:after="100" w:before="60"/>
      </w:pPr>
      <w:r>
        <w:rPr>
          <w:rFonts w:ascii="Arial" w:cs="Arial" w:eastAsia="Arial" w:hAnsi="Arial"/>
          <w:b w:val="false"/>
          <w:bCs w:val="false"/>
          <w:i w:val="false"/>
          <w:iCs w:val="false"/>
          <w:color w:val="4A4A4A"/>
          <w:sz w:val="20"/>
          <w:szCs w:val="20"/>
        </w:rPr>
        <w:t xml:space="preserve">Page 3 is the intervention surface. It surfaces only when Page 2 is visible (conditionClass active, confidenceGate met). It is a prescriptive page — the only place in the product that tells the user what to do.</w:t>
      </w:r>
    </w:p>
    <w:p>
      <w:pPr>
        <w:spacing w:after="80" w:before="240"/>
      </w:pPr>
      <w:r>
        <w:rPr>
          <w:rFonts w:ascii="Arial" w:cs="Arial" w:eastAsia="Arial" w:hAnsi="Arial"/>
          <w:b/>
          <w:bCs/>
          <w:color w:val="B8946A"/>
          <w:sz w:val="22"/>
          <w:szCs w:val="22"/>
        </w:rPr>
        <w:t xml:space="preserve">Content Architecture</w:t>
      </w:r>
    </w:p>
    <w:p>
      <w:pPr>
        <w:pStyle w:val="ListParagraph"/>
        <w:numPr>
          <w:ilvl w:val="0"/>
          <w:numId w:val="2"/>
        </w:numPr>
        <w:spacing w:after="40" w:before="40"/>
      </w:pPr>
      <w:r>
        <w:rPr>
          <w:rFonts w:ascii="Arial" w:cs="Arial" w:eastAsia="Arial" w:hAnsi="Arial"/>
          <w:color w:val="4A4A4A"/>
          <w:sz w:val="20"/>
          <w:szCs w:val="20"/>
        </w:rPr>
        <w:t xml:space="preserve">Three intervention tiers — prioritized in order: Sleep optimization, Movement prescription, Metabolic input (diet/fasting)</w:t>
      </w:r>
    </w:p>
    <w:p>
      <w:pPr>
        <w:pStyle w:val="ListParagraph"/>
        <w:numPr>
          <w:ilvl w:val="0"/>
          <w:numId w:val="2"/>
        </w:numPr>
        <w:spacing w:after="40" w:before="40"/>
      </w:pPr>
      <w:r>
        <w:rPr>
          <w:rFonts w:ascii="Arial" w:cs="Arial" w:eastAsia="Arial" w:hAnsi="Arial"/>
          <w:color w:val="4A4A4A"/>
          <w:sz w:val="20"/>
          <w:szCs w:val="20"/>
        </w:rPr>
        <w:t xml:space="preserve">Each intervention card: one sentence description, one specific action, and a signal indicator showing which Tier 2 biological response node this intervention targets</w:t>
      </w:r>
    </w:p>
    <w:p>
      <w:pPr>
        <w:pStyle w:val="ListParagraph"/>
        <w:numPr>
          <w:ilvl w:val="0"/>
          <w:numId w:val="2"/>
        </w:numPr>
        <w:spacing w:after="40" w:before="40"/>
      </w:pPr>
      <w:r>
        <w:rPr>
          <w:rFonts w:ascii="Arial" w:cs="Arial" w:eastAsia="Arial" w:hAnsi="Arial"/>
          <w:color w:val="4A4A4A"/>
          <w:sz w:val="20"/>
          <w:szCs w:val="20"/>
        </w:rPr>
        <w:t xml:space="preserve">Timing guidance: interventions are time-anchored (e.g., 'This morning', 'Before 8pm tonight', 'Tomorrow's first 30 minutes')</w:t>
      </w:r>
    </w:p>
    <w:p>
      <w:pPr>
        <w:pStyle w:val="ListParagraph"/>
        <w:numPr>
          <w:ilvl w:val="0"/>
          <w:numId w:val="2"/>
        </w:numPr>
        <w:spacing w:after="40" w:before="40"/>
      </w:pPr>
      <w:r>
        <w:rPr>
          <w:rFonts w:ascii="Arial" w:cs="Arial" w:eastAsia="Arial" w:hAnsi="Arial"/>
          <w:color w:val="4A4A4A"/>
          <w:sz w:val="20"/>
          <w:szCs w:val="20"/>
        </w:rPr>
        <w:t xml:space="preserve">Not a to-do list. One primary intervention surfaces as the lead card. Supporting interventions appear beneath it collapsed.</w:t>
      </w:r>
    </w:p>
    <w:p>
      <w:pPr>
        <w:spacing w:after="80" w:before="240"/>
      </w:pPr>
      <w:r>
        <w:rPr>
          <w:rFonts w:ascii="Arial" w:cs="Arial" w:eastAsia="Arial" w:hAnsi="Arial"/>
          <w:b/>
          <w:bCs/>
          <w:color w:val="B8946A"/>
          <w:sz w:val="22"/>
          <w:szCs w:val="22"/>
        </w:rPr>
        <w:t xml:space="preserve">Copy constraints</w:t>
      </w:r>
    </w:p>
    <w:p>
      <w:pPr>
        <w:spacing w:after="100" w:before="60"/>
      </w:pPr>
      <w:r>
        <w:rPr>
          <w:rFonts w:ascii="Arial" w:cs="Arial" w:eastAsia="Arial" w:hAnsi="Arial"/>
          <w:b w:val="false"/>
          <w:bCs w:val="false"/>
          <w:i w:val="false"/>
          <w:iCs w:val="false"/>
          <w:color w:val="4A4A4A"/>
          <w:sz w:val="20"/>
          <w:szCs w:val="20"/>
        </w:rPr>
        <w:t xml:space="preserve">Observe, then prescribe — the Redirect page is the exception to the 'observe only' rule that governs the rest of the product. On this page only, the system is allowed to advise. Framing must still be wellness-based. No clinical language. No disease references. The system is saying 'here is what moves the needle on the pattern we are tracking' — not 'here is your treatment plan.'</w:t>
      </w:r>
    </w:p>
    <w:p>
      <w:pPr>
        <w:pStyle w:val="Heading2"/>
        <w:spacing w:after="120" w:before="360"/>
      </w:pPr>
      <w:r>
        <w:rPr>
          <w:rFonts w:ascii="Arial" w:cs="Arial" w:eastAsia="Arial" w:hAnsi="Arial"/>
          <w:b/>
          <w:bCs/>
          <w:color w:val="1A1A1A"/>
          <w:sz w:val="26"/>
          <w:szCs w:val="26"/>
        </w:rPr>
        <w:t xml:space="preserve">4.8  Page 4 — Escalate (Phase 2 / Phase 3 — DPC Bridge)</w:t>
      </w:r>
    </w:p>
    <w:p>
      <w:pPr>
        <w:spacing w:after="100" w:before="60"/>
      </w:pPr>
      <w:r>
        <w:rPr>
          <w:rFonts w:ascii="Arial" w:cs="Arial" w:eastAsia="Arial" w:hAnsi="Arial"/>
          <w:b w:val="false"/>
          <w:bCs w:val="false"/>
          <w:i w:val="false"/>
          <w:iCs w:val="false"/>
          <w:color w:val="4A4A4A"/>
          <w:sz w:val="20"/>
          <w:szCs w:val="20"/>
        </w:rPr>
        <w:t xml:space="preserve">Answers: When to involve a professional?</w:t>
      </w:r>
    </w:p>
    <w:p>
      <w:pPr>
        <w:spacing w:after="100" w:before="60"/>
      </w:pPr>
      <w:r>
        <w:rPr>
          <w:rFonts w:ascii="Arial" w:cs="Arial" w:eastAsia="Arial" w:hAnsi="Arial"/>
          <w:b w:val="false"/>
          <w:bCs w:val="false"/>
          <w:i w:val="false"/>
          <w:iCs w:val="false"/>
          <w:color w:val="4A4A4A"/>
          <w:sz w:val="20"/>
          <w:szCs w:val="20"/>
        </w:rPr>
        <w:t xml:space="preserve">Page 4 is the escalation layer. It surfaces only when escalationLevel = 3 — a prolonged pattern that has exceeded the threshold for self-management. This page is the bridge between the Chronos digital experience and MBI's Direct Primary Care (DPC) model.</w:t>
      </w:r>
    </w:p>
    <w:p>
      <w:pPr>
        <w:spacing w:after="80" w:before="240"/>
      </w:pPr>
      <w:r>
        <w:rPr>
          <w:rFonts w:ascii="Arial" w:cs="Arial" w:eastAsia="Arial" w:hAnsi="Arial"/>
          <w:b/>
          <w:bCs/>
          <w:color w:val="B8946A"/>
          <w:sz w:val="22"/>
          <w:szCs w:val="22"/>
        </w:rPr>
        <w:t xml:space="preserve">Escalation Conditions</w:t>
      </w:r>
    </w:p>
    <w:p>
      <w:pPr>
        <w:spacing w:after="100" w:before="60"/>
      </w:pPr>
      <w:r>
        <w:rPr>
          <w:rFonts w:ascii="Arial" w:cs="Arial" w:eastAsia="Arial" w:hAnsi="Arial"/>
          <w:b w:val="false"/>
          <w:bCs w:val="false"/>
          <w:i w:val="false"/>
          <w:iCs w:val="false"/>
          <w:color w:val="4A4A4A"/>
          <w:sz w:val="20"/>
          <w:szCs w:val="20"/>
        </w:rPr>
        <w:t xml:space="preserve">escalationLevel is computed by the scoring engine based on: daysInPattern threshold (currently 14 days at ELEVATED in the same pathway), confidenceGate met at ≥0.75, and no improvement trajectory in the preceding 7 days.</w:t>
      </w:r>
    </w:p>
    <w:p>
      <w:pPr>
        <w:spacing w:after="80" w:before="240"/>
      </w:pPr>
      <w:r>
        <w:rPr>
          <w:rFonts w:ascii="Arial" w:cs="Arial" w:eastAsia="Arial" w:hAnsi="Arial"/>
          <w:b/>
          <w:bCs/>
          <w:color w:val="B8946A"/>
          <w:sz w:val="22"/>
          <w:szCs w:val="22"/>
        </w:rPr>
        <w:t xml:space="preserve">Content Architecture</w:t>
      </w:r>
    </w:p>
    <w:p>
      <w:pPr>
        <w:pStyle w:val="ListParagraph"/>
        <w:numPr>
          <w:ilvl w:val="0"/>
          <w:numId w:val="2"/>
        </w:numPr>
        <w:spacing w:after="40" w:before="40"/>
      </w:pPr>
      <w:r>
        <w:rPr>
          <w:rFonts w:ascii="Arial" w:cs="Arial" w:eastAsia="Arial" w:hAnsi="Arial"/>
          <w:color w:val="4A4A4A"/>
          <w:sz w:val="20"/>
          <w:szCs w:val="20"/>
        </w:rPr>
        <w:t xml:space="preserve">Doctor prompt card: 'This pattern has been consistent for N days. This is worth a conversation with a physician.'</w:t>
      </w:r>
    </w:p>
    <w:p>
      <w:pPr>
        <w:pStyle w:val="ListParagraph"/>
        <w:numPr>
          <w:ilvl w:val="0"/>
          <w:numId w:val="2"/>
        </w:numPr>
        <w:spacing w:after="40" w:before="40"/>
      </w:pPr>
      <w:r>
        <w:rPr>
          <w:rFonts w:ascii="Arial" w:cs="Arial" w:eastAsia="Arial" w:hAnsi="Arial"/>
          <w:color w:val="4A4A4A"/>
          <w:sz w:val="20"/>
          <w:szCs w:val="20"/>
        </w:rPr>
        <w:t xml:space="preserve">No urgency language. No alarm framing. Matter-of-fact.</w:t>
      </w:r>
    </w:p>
    <w:p>
      <w:pPr>
        <w:pStyle w:val="ListParagraph"/>
        <w:numPr>
          <w:ilvl w:val="0"/>
          <w:numId w:val="2"/>
        </w:numPr>
        <w:spacing w:after="40" w:before="40"/>
      </w:pPr>
      <w:r>
        <w:rPr>
          <w:rFonts w:ascii="Arial" w:cs="Arial" w:eastAsia="Arial" w:hAnsi="Arial"/>
          <w:color w:val="4A4A4A"/>
          <w:sz w:val="20"/>
          <w:szCs w:val="20"/>
        </w:rPr>
        <w:t xml:space="preserve">Doctor Report CTA: generates a structured PDF export of the last 30 days of Horizon signals formatted for physician review. Data model in HorizonPathwayCard supports this without rebuild.</w:t>
      </w:r>
    </w:p>
    <w:p>
      <w:pPr>
        <w:pStyle w:val="ListParagraph"/>
        <w:numPr>
          <w:ilvl w:val="0"/>
          <w:numId w:val="2"/>
        </w:numPr>
        <w:spacing w:after="40" w:before="40"/>
      </w:pPr>
      <w:r>
        <w:rPr>
          <w:rFonts w:ascii="Arial" w:cs="Arial" w:eastAsia="Arial" w:hAnsi="Arial"/>
          <w:color w:val="4A4A4A"/>
          <w:sz w:val="20"/>
          <w:szCs w:val="20"/>
        </w:rPr>
        <w:t xml:space="preserve">DPC scheduling placeholder (Phase 3): the CTA will eventually route to MBI's DPC scheduling integration. In Phase 2, this is a 'Coming Soon' badge — no active booking.</w:t>
      </w:r>
    </w:p>
    <w:p>
      <w:pPr>
        <w:pStyle w:val="ListParagraph"/>
        <w:numPr>
          <w:ilvl w:val="0"/>
          <w:numId w:val="2"/>
        </w:numPr>
        <w:spacing w:after="40" w:before="40"/>
      </w:pPr>
      <w:r>
        <w:rPr>
          <w:rFonts w:ascii="Arial" w:cs="Arial" w:eastAsia="Arial" w:hAnsi="Arial"/>
          <w:color w:val="4A4A4A"/>
          <w:sz w:val="20"/>
          <w:szCs w:val="20"/>
        </w:rPr>
        <w:t xml:space="preserve">Horizon Assist placeholder (Phase 3): research prompt mode allowing the user to query what Horizon is showing them. Deferred. The copy surface for this exists but is not interactive in Phase 2.</w:t>
      </w:r>
    </w:p>
    <w:p>
      <w:pPr>
        <w:spacing w:after="80" w:before="240"/>
      </w:pPr>
      <w:r>
        <w:rPr>
          <w:rFonts w:ascii="Arial" w:cs="Arial" w:eastAsia="Arial" w:hAnsi="Arial"/>
          <w:b/>
          <w:bCs/>
          <w:color w:val="B8946A"/>
          <w:sz w:val="22"/>
          <w:szCs w:val="22"/>
        </w:rPr>
        <w:t xml:space="preserve">Legal review required</w:t>
      </w:r>
    </w:p>
    <w:p>
      <w:pPr>
        <w:spacing w:after="100" w:before="60"/>
      </w:pPr>
      <w:r>
        <w:rPr>
          <w:rFonts w:ascii="Arial" w:cs="Arial" w:eastAsia="Arial" w:hAnsi="Arial"/>
          <w:b w:val="false"/>
          <w:bCs w:val="false"/>
          <w:i w:val="false"/>
          <w:iCs w:val="false"/>
          <w:color w:val="4A4A4A"/>
          <w:sz w:val="20"/>
          <w:szCs w:val="20"/>
        </w:rPr>
        <w:t xml:space="preserve">Before Page 4 ships to any external user, the escalation language must be reviewed by a healthcare attorney familiar with SaMD (Software as a Medical Device) risk. The current framing is designed to stay clearly within wellness language, but escalation-to-physician content is the highest regulatory risk surface in the product. Do not ship Page 4 to external users without legal sign-off.</w:t>
      </w:r>
    </w:p>
    <w:p>
      <w:pPr>
        <w:pStyle w:val="Heading2"/>
        <w:spacing w:after="120" w:before="360"/>
      </w:pPr>
      <w:r>
        <w:rPr>
          <w:rFonts w:ascii="Arial" w:cs="Arial" w:eastAsia="Arial" w:hAnsi="Arial"/>
          <w:b/>
          <w:bCs/>
          <w:color w:val="1A1A1A"/>
          <w:sz w:val="26"/>
          <w:szCs w:val="26"/>
        </w:rPr>
        <w:t xml:space="preserve">4.9  Risk Horizon Screen — Phase 2 Feature</w:t>
      </w:r>
    </w:p>
    <w:p>
      <w:pPr>
        <w:spacing w:after="100" w:before="60"/>
      </w:pPr>
      <w:r>
        <w:rPr>
          <w:rFonts w:ascii="Arial" w:cs="Arial" w:eastAsia="Arial" w:hAnsi="Arial"/>
          <w:b w:val="false"/>
          <w:bCs w:val="false"/>
          <w:i w:val="false"/>
          <w:iCs w:val="false"/>
          <w:color w:val="4A4A4A"/>
          <w:sz w:val="20"/>
          <w:szCs w:val="20"/>
        </w:rPr>
        <w:t xml:space="preserve">A dedicated screen (not a Horizon page — a separate navigable surface) that makes the Chronic Disease Ontology Engine visible to the user as upstream pathway activation. This was identified in the definitive future-state vision session.</w:t>
      </w:r>
    </w:p>
    <w:p>
      <w:pPr>
        <w:spacing w:after="100" w:before="60"/>
      </w:pPr>
      <w:r>
        <w:rPr>
          <w:rFonts w:ascii="Arial" w:cs="Arial" w:eastAsia="Arial" w:hAnsi="Arial"/>
          <w:b w:val="false"/>
          <w:bCs w:val="false"/>
          <w:i w:val="false"/>
          <w:iCs w:val="false"/>
          <w:color w:val="4A4A4A"/>
          <w:sz w:val="20"/>
          <w:szCs w:val="20"/>
        </w:rPr>
        <w:t xml:space="preserve">The Risk Horizon screen shows: which Tier 2 biological response nodes are currently active, the propagation direction (which Tier 3 nodes they are feeding), and the days-in-pattern counter for each active node. It is the engine made visible — not a score, not a chart, but a system state.</w:t>
      </w:r>
    </w:p>
    <w:p>
      <w:pPr>
        <w:spacing w:after="100" w:before="60"/>
      </w:pPr>
      <w:r>
        <w:rPr>
          <w:rFonts w:ascii="Arial" w:cs="Arial" w:eastAsia="Arial" w:hAnsi="Arial"/>
          <w:b w:val="false"/>
          <w:bCs w:val="false"/>
          <w:i w:val="false"/>
          <w:iCs w:val="false"/>
          <w:color w:val="4A4A4A"/>
          <w:sz w:val="20"/>
          <w:szCs w:val="20"/>
        </w:rPr>
        <w:t xml:space="preserve">This screen is accessed from the Horizon tab (a dedicated entry point, not a swipe page). It is informational only — no CTAs. The framing is: 'This is what the system is tracking upstream of what you can feel.'</w:t>
      </w:r>
    </w:p>
    <w:p>
      <w:pPr>
        <w:spacing w:after="100" w:before="60"/>
      </w:pPr>
      <w:r>
        <w:rPr>
          <w:rFonts w:ascii="Arial" w:cs="Arial" w:eastAsia="Arial" w:hAnsi="Arial"/>
          <w:b w:val="false"/>
          <w:bCs w:val="false"/>
          <w:i w:val="false"/>
          <w:iCs w:val="false"/>
          <w:color w:val="4A4A4A"/>
          <w:sz w:val="20"/>
          <w:szCs w:val="20"/>
        </w:rPr>
        <w:t xml:space="preserve">Phase label: Phase 2 — design session required before build spec is written.</w:t>
      </w:r>
    </w:p>
    <w:p>
      <w:pPr>
        <w:pStyle w:val="Heading2"/>
        <w:spacing w:after="120" w:before="360"/>
      </w:pPr>
      <w:r>
        <w:rPr>
          <w:rFonts w:ascii="Arial" w:cs="Arial" w:eastAsia="Arial" w:hAnsi="Arial"/>
          <w:b/>
          <w:bCs/>
          <w:color w:val="1A1A1A"/>
          <w:sz w:val="26"/>
          <w:szCs w:val="26"/>
        </w:rPr>
        <w:t xml:space="preserve">4.10  Allostatic Portrait — Phase 2 Feature</w:t>
      </w:r>
    </w:p>
    <w:p>
      <w:pPr>
        <w:spacing w:after="100" w:before="60"/>
      </w:pPr>
      <w:r>
        <w:rPr>
          <w:rFonts w:ascii="Arial" w:cs="Arial" w:eastAsia="Arial" w:hAnsi="Arial"/>
          <w:b w:val="false"/>
          <w:bCs w:val="false"/>
          <w:i w:val="false"/>
          <w:iCs w:val="false"/>
          <w:color w:val="4A4A4A"/>
          <w:sz w:val="20"/>
          <w:szCs w:val="20"/>
        </w:rPr>
        <w:t xml:space="preserve">A 90-day cumulative load visualization showing the direction of prevention over time. Not a score trend — a portrait of whether the system is accumulating stress or building resilience.</w:t>
      </w:r>
    </w:p>
    <w:p>
      <w:pPr>
        <w:spacing w:after="100" w:before="60"/>
      </w:pPr>
      <w:r>
        <w:rPr>
          <w:rFonts w:ascii="Arial" w:cs="Arial" w:eastAsia="Arial" w:hAnsi="Arial"/>
          <w:b w:val="false"/>
          <w:bCs w:val="false"/>
          <w:i w:val="false"/>
          <w:iCs w:val="false"/>
          <w:color w:val="4A4A4A"/>
          <w:sz w:val="20"/>
          <w:szCs w:val="20"/>
        </w:rPr>
        <w:t xml:space="preserve">The Allostatic Portrait answers: Am I moving toward health or away from it? Not today. Over the last 90 days.</w:t>
      </w:r>
    </w:p>
    <w:p>
      <w:pPr>
        <w:spacing w:after="100" w:before="60"/>
      </w:pPr>
      <w:r>
        <w:rPr>
          <w:rFonts w:ascii="Arial" w:cs="Arial" w:eastAsia="Arial" w:hAnsi="Arial"/>
          <w:b w:val="false"/>
          <w:bCs w:val="false"/>
          <w:i w:val="false"/>
          <w:iCs w:val="false"/>
          <w:color w:val="4A4A4A"/>
          <w:sz w:val="20"/>
          <w:szCs w:val="20"/>
        </w:rPr>
        <w:t xml:space="preserve">Visual approach: a canvas-based illustration (not a chart) that shifts direction based on the balance of risk accumulation and recovery signals across all five domains. Green/gold direction = net resilience-building. Amber/red direction = net load accumulation.</w:t>
      </w:r>
    </w:p>
    <w:p>
      <w:pPr>
        <w:spacing w:after="100" w:before="60"/>
      </w:pPr>
      <w:r>
        <w:rPr>
          <w:rFonts w:ascii="Arial" w:cs="Arial" w:eastAsia="Arial" w:hAnsi="Arial"/>
          <w:b w:val="false"/>
          <w:bCs w:val="false"/>
          <w:i w:val="false"/>
          <w:iCs w:val="false"/>
          <w:color w:val="4A4A4A"/>
          <w:sz w:val="20"/>
          <w:szCs w:val="20"/>
        </w:rPr>
        <w:t xml:space="preserve">This is a Phase 2 design sprint before it becomes a build sprint. The data to support it is already in Supabase. The visualization language needs to be developed before the spec is written.</w:t>
      </w:r>
    </w:p>
    <w:p>
      <w:pPr>
        <w:spacing w:after="100" w:before="60"/>
      </w:pPr>
      <w:r>
        <w:rPr>
          <w:rFonts w:ascii="Arial" w:cs="Arial" w:eastAsia="Arial" w:hAnsi="Arial"/>
          <w:b w:val="false"/>
          <w:bCs w:val="false"/>
          <w:i w:val="false"/>
          <w:iCs w:val="false"/>
          <w:color w:val="4A4A4A"/>
          <w:sz w:val="20"/>
          <w:szCs w:val="20"/>
        </w:rPr>
        <w:t xml:space="preserve">Phase label: Phase 2 — design sprint required.</w:t>
      </w:r>
    </w:p>
    <w:p>
      <w:pPr>
        <w:pStyle w:val="Heading2"/>
        <w:spacing w:after="120" w:before="360"/>
      </w:pPr>
      <w:r>
        <w:rPr>
          <w:rFonts w:ascii="Arial" w:cs="Arial" w:eastAsia="Arial" w:hAnsi="Arial"/>
          <w:b/>
          <w:bCs/>
          <w:color w:val="1A1A1A"/>
          <w:sz w:val="26"/>
          <w:szCs w:val="26"/>
        </w:rPr>
        <w:t xml:space="preserve">4.11  Horizon Copy Constraints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6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Within-User Primacy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trajectory language references population norms. All output is user-specific.</w:t>
            </w:r>
          </w:p>
        </w:tc>
      </w:tr>
      <w:tr>
        <w:tc>
          <w:tcPr>
            <w:tcW w:type="dxa" w:w="3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LLM Does Not Decide</w:t>
            </w:r>
          </w:p>
        </w:tc>
        <w:tc>
          <w:tcPr>
            <w:tcW w:type="dxa" w:w="6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Pathway state, conditionClass, escalationLevel — all determined by scoring engine. Claude generates narrative from structured inputs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Clinical 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Review all copy paths. No diagnostic terms, no disease names in user-facing copy, no clinical framing through Phase 3.</w:t>
            </w:r>
          </w:p>
        </w:tc>
      </w:tr>
      <w:tr>
        <w:tc>
          <w:tcPr>
            <w:tcW w:type="dxa" w:w="3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No Backward Language</w:t>
            </w:r>
          </w:p>
        </w:tc>
        <w:tc>
          <w:tcPr>
            <w:tcW w:type="dxa" w:w="6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No charts, no sparklines, no score numbers, no 'last week' on any Horizon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System Never Goes Silent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If a user's score is declining, the Horizon tab must surface that pattern — not withhold it. Ghost Mode At-Risk is the enforcement mechanism.</w:t>
            </w:r>
          </w:p>
        </w:tc>
      </w:tr>
      <w:tr>
        <w:tc>
          <w:tcPr>
            <w:tcW w:type="dxa" w:w="30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One Nudge Per Day</w:t>
            </w:r>
          </w:p>
        </w:tc>
        <w:tc>
          <w:tcPr>
            <w:tcW w:type="dxa" w:w="63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Horizon CTAs are pathway-specific context, not the daily nudge. Today tab nudge is never duplicated here.</w:t>
            </w:r>
          </w:p>
        </w:tc>
      </w:tr>
    </w:tbl>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5 — DEFERRED ITEMS LOG</w:t>
      </w:r>
    </w:p>
    <w:p>
      <w:pPr>
        <w:spacing w:after="100" w:before="60"/>
      </w:pPr>
      <w:r>
        <w:rPr>
          <w:rFonts w:ascii="Arial" w:cs="Arial" w:eastAsia="Arial" w:hAnsi="Arial"/>
          <w:b w:val="false"/>
          <w:bCs w:val="false"/>
          <w:i w:val="false"/>
          <w:iCs w:val="false"/>
          <w:color w:val="4A4A4A"/>
          <w:sz w:val="20"/>
          <w:szCs w:val="20"/>
        </w:rPr>
        <w:t xml:space="preserve">All items below are explicitly deferred to their labeled phase. None of these should be built before the Phase 2 gate is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Yellowline backend emit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Scoring Sprint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Scoring engine SoT v1.2 needed. Client-side computedBand is live.</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Greenline state (≥93)</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1.5</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Not yet specced. Color token and routing decision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Per-metric baseline in expanded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fetchLatestBaselines exists — wire into MetricValueRow.baseline</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Metric detail drill-through</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 Sprint 1</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New MetricDetailView screen. Per-metric historical fetch.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Domain detail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 Sprint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Full-card tap wired — routing not yet active.</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Onboarding resume checkpoint (S1-002)</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stage_reached column needed in users table.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S1-003 — narrative contradicts driver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Sprint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Backend fix. Targets next narrate session.</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Display Mode (Coach/Silent/Bare Min)</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 Sprint 1</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display_mode TEXT column in users. Rendering layer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Biological Sex UI + Cycle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Schema column exists. UI and cycle module dedicated sprint.</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Apple Sign In / Google Sign In (SSO)</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 Auth Sprint</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Supabase Auth supports both. Xcode entitlements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VeSync + iHealth metric ingestion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Devices appear in Connected tab. Scoring weight decision required first.</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Horizon Page 2 — Trajectory</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Ontology Engine v1 connection. conditionClass + confidenceGate gate.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Horizon Page 3 — Redirect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Intervention layer. Only prescriptive surface in the product.</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Horizon Page 4 — Escalate</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2/3</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DPC bridge. Legal review required before external user exposure.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Risk Horizon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Design session required before build spec.</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Allostatic Portrait</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Design sprint required before build sprint.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Doctor Report PDF 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Data model established. Requires Phase 4 escalation surface.</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Horizon Assist (research prompts)</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Disclaimer architecture required. DPC bridge dependency.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Font bundle (Cormorant/Jost)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Pre-Phase 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Xcode bundle configuration. Housekeeping — no functional impact.</w:t>
            </w:r>
          </w:p>
        </w:tc>
      </w:tr>
      <w:tr>
        <w:tc>
          <w:tcPr>
            <w:tcW w:type="dxa" w:w="36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Onboarding data depth disclosure</w:t>
            </w:r>
          </w:p>
        </w:tc>
        <w:tc>
          <w:tcPr>
            <w:tcW w:type="dxa" w:w="1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2 Onboarding</w:t>
            </w:r>
          </w:p>
        </w:tc>
        <w:tc>
          <w:tcPr>
            <w:tcW w:type="dxa" w:w="39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Surface days of historical data found during bootstrap.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Privacy Policy + ToS 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URLs wired. Actual documents pending publication.</w:t>
            </w:r>
          </w:p>
        </w:tc>
      </w:tr>
    </w:tbl>
    <w:p>
      <w:r>
        <w:br w:type="page"/>
      </w:r>
    </w:p>
    <w:p>
      <w:pPr>
        <w:pStyle w:val="Heading1"/>
        <w:pBdr>
          <w:bottom w:val="single" w:color="B8946A" w:sz="8" w:space="4"/>
        </w:pBdr>
        <w:spacing w:after="160" w:before="480"/>
      </w:pPr>
      <w:r>
        <w:rPr>
          <w:rFonts w:ascii="Arial" w:cs="Arial" w:eastAsia="Arial" w:hAnsi="Arial"/>
          <w:b/>
          <w:bCs/>
          <w:color w:val="1A1A1A"/>
          <w:sz w:val="36"/>
          <w:szCs w:val="36"/>
        </w:rPr>
        <w:t xml:space="preserve">SECTION 6 — EXPANSION MODULES: PHASE 3 ARCHITECTURE</w:t>
      </w:r>
    </w:p>
    <w:p>
      <w:pPr>
        <w:spacing w:after="100" w:before="60"/>
      </w:pPr>
      <w:r>
        <w:rPr>
          <w:rFonts w:ascii="Arial" w:cs="Arial" w:eastAsia="Arial" w:hAnsi="Arial"/>
          <w:b w:val="false"/>
          <w:bCs w:val="false"/>
          <w:i w:val="false"/>
          <w:iCs w:val="false"/>
          <w:color w:val="4A4A4A"/>
          <w:sz w:val="20"/>
          <w:szCs w:val="20"/>
        </w:rPr>
        <w:t xml:space="preserve">The four core tabs — Today, Trend, Domains, Horizon — are locked and are not expanded. They represent the daily intelligence loop. Expansion modules are a second tier of depth: user-initiated, contextual, and built only after the core loop is fully validated with real users.</w:t>
      </w:r>
    </w:p>
    <w:p>
      <w:pPr>
        <w:spacing w:after="100" w:before="60"/>
      </w:pPr>
      <w:r>
        <w:rPr>
          <w:rFonts w:ascii="Arial" w:cs="Arial" w:eastAsia="Arial" w:hAnsi="Arial"/>
          <w:b w:val="false"/>
          <w:bCs w:val="false"/>
          <w:i w:val="false"/>
          <w:iCs w:val="false"/>
          <w:color w:val="4A4A4A"/>
          <w:sz w:val="20"/>
          <w:szCs w:val="20"/>
        </w:rPr>
        <w:t xml:space="preserve">The navigation expansion was logged in Sprint 1 as a Phase 3+ item, triggered when two or more additional modules are built and ready to surface. This section specifies the full architecture for that system.</w:t>
      </w:r>
    </w:p>
    <w:p>
      <w:pPr>
        <w:pStyle w:val="Heading2"/>
        <w:spacing w:after="120" w:before="360"/>
      </w:pPr>
      <w:r>
        <w:rPr>
          <w:rFonts w:ascii="Arial" w:cs="Arial" w:eastAsia="Arial" w:hAnsi="Arial"/>
          <w:b/>
          <w:bCs/>
          <w:color w:val="1A1A1A"/>
          <w:sz w:val="26"/>
          <w:szCs w:val="26"/>
        </w:rPr>
        <w:t xml:space="preserve">6.1  Design Principle</w:t>
      </w:r>
    </w:p>
    <w:p>
      <w:pPr>
        <w:spacing w:after="100" w:before="60"/>
      </w:pPr>
      <w:r>
        <w:rPr>
          <w:rFonts w:ascii="Arial" w:cs="Arial" w:eastAsia="Arial" w:hAnsi="Arial"/>
          <w:b w:val="false"/>
          <w:bCs w:val="false"/>
          <w:i w:val="false"/>
          <w:iCs w:val="false"/>
          <w:color w:val="4A4A4A"/>
          <w:sz w:val="20"/>
          <w:szCs w:val="20"/>
        </w:rPr>
        <w:t xml:space="preserve">Chronos is not a feature dump. The four-tab structure is a brand statement — every surface in the core loop earns its place by answering a specific daily question. Expansion modules deepen specific dimensions of that intelligence. They are not replacements for any core tab. They are extensions that users opt into based on their own health focus.</w:t>
      </w:r>
    </w:p>
    <w:p>
      <w:pPr>
        <w:spacing w:after="100" w:before="60"/>
      </w:pPr>
      <w:r>
        <w:rPr>
          <w:rFonts w:ascii="Arial" w:cs="Arial" w:eastAsia="Arial" w:hAnsi="Arial"/>
          <w:b w:val="false"/>
          <w:bCs w:val="false"/>
          <w:i w:val="false"/>
          <w:iCs w:val="false"/>
          <w:color w:val="4A4A4A"/>
          <w:sz w:val="20"/>
          <w:szCs w:val="20"/>
        </w:rPr>
        <w:t xml:space="preserve">The four core tabs stay exactly as they are. No tab is removed or renamed to accommodate expansion modules. The module system is additive — it layers on top of a proven foundation, not underneath one that is still being validated.</w:t>
      </w:r>
    </w:p>
    <w:p>
      <w:pPr>
        <w:pStyle w:val="Heading2"/>
        <w:spacing w:after="120" w:before="360"/>
      </w:pPr>
      <w:r>
        <w:rPr>
          <w:rFonts w:ascii="Arial" w:cs="Arial" w:eastAsia="Arial" w:hAnsi="Arial"/>
          <w:b/>
          <w:bCs/>
          <w:color w:val="1A1A1A"/>
          <w:sz w:val="26"/>
          <w:szCs w:val="26"/>
        </w:rPr>
        <w:t xml:space="preserve">6.2  Navigation Pattern — Option A: Grid Launcher from Today Tab</w:t>
      </w:r>
    </w:p>
    <w:p>
      <w:pPr>
        <w:spacing w:after="100" w:before="60"/>
      </w:pPr>
      <w:r>
        <w:rPr>
          <w:rFonts w:ascii="Arial" w:cs="Arial" w:eastAsia="Arial" w:hAnsi="Arial"/>
          <w:b w:val="false"/>
          <w:bCs w:val="false"/>
          <w:i w:val="false"/>
          <w:iCs w:val="false"/>
          <w:color w:val="4A4A4A"/>
          <w:sz w:val="20"/>
          <w:szCs w:val="20"/>
        </w:rPr>
        <w:t xml:space="preserve">A persistent grid launcher element sits at the bottom of the Today tab scroll view — below the feedback prompt, above the tab bar safe area. It is subtle: a small compass or grid icon with the label 'Explore' in Jost at 13pt muted. It does not compete with the Today tab content. It is a consistent entry point that users discover naturally as they scroll to the bottom of their daily brief.</w:t>
      </w:r>
    </w:p>
    <w:p>
      <w:pPr>
        <w:spacing w:after="100" w:before="60"/>
      </w:pPr>
      <w:r>
        <w:rPr>
          <w:rFonts w:ascii="Arial" w:cs="Arial" w:eastAsia="Arial" w:hAnsi="Arial"/>
          <w:b w:val="false"/>
          <w:bCs w:val="false"/>
          <w:i w:val="false"/>
          <w:iCs w:val="false"/>
          <w:color w:val="4A4A4A"/>
          <w:sz w:val="20"/>
          <w:szCs w:val="20"/>
        </w:rPr>
        <w:t xml:space="preserve">Tapping the launcher presents a full-screen sheet (detent: large) containing the module grid. The sheet slides up from the bottom. It does not replace the tab bar — the tab bar remains visible and functional. Dismissing the sheet returns to Today.</w:t>
      </w:r>
    </w:p>
    <w:p>
      <w:pPr>
        <w:spacing w:after="100" w:before="60"/>
      </w:pPr>
      <w:r>
        <w:rPr>
          <w:rFonts w:ascii="Arial" w:cs="Arial" w:eastAsia="Arial" w:hAnsi="Arial"/>
          <w:b w:val="false"/>
          <w:bCs w:val="false"/>
          <w:i w:val="false"/>
          <w:iCs w:val="false"/>
          <w:color w:val="4A4A4A"/>
          <w:sz w:val="20"/>
          <w:szCs w:val="20"/>
        </w:rPr>
        <w:t xml:space="preserve">The module grid is a 2-column card layout. Each module card contains: an icon (SF Symbol or custom MBI icon), a module name in Cormorant Garamond, and a one-line purpose statement in Jost. Modules that are built and active render at full opacity. Modules that are planned but not yet built render at 40% opacity with a 'Coming Soon' badge in Chronos Gold. This communicates the product roadmap honestly without fragmenting the navigation or hiding future intent.</w:t>
      </w:r>
    </w:p>
    <w:p>
      <w:pPr>
        <w:spacing w:after="100" w:before="60"/>
      </w:pPr>
      <w:r>
        <w:rPr>
          <w:rFonts w:ascii="Arial" w:cs="Arial" w:eastAsia="Arial" w:hAnsi="Arial"/>
          <w:b w:val="false"/>
          <w:bCs w:val="false"/>
          <w:i w:val="false"/>
          <w:iCs w:val="false"/>
          <w:color w:val="4A4A4A"/>
          <w:sz w:val="20"/>
          <w:szCs w:val="20"/>
        </w:rPr>
        <w:t xml:space="preserve">Architectural note: the grid launcher is a single SwiftUI component (ExploreGridView.swift) presented as a sheet from DashboardView. It requires no changes to the tab bar architecture, no new tabs, and no restructuring of any existing view. Adding a new module in Phase 3 or Phase 4 requires only adding a new ModuleCard entry to the grid data model and building the destination view.</w:t>
      </w:r>
    </w:p>
    <w:p>
      <w:pPr>
        <w:pStyle w:val="Heading2"/>
        <w:spacing w:after="120" w:before="360"/>
      </w:pPr>
      <w:r>
        <w:rPr>
          <w:rFonts w:ascii="Arial" w:cs="Arial" w:eastAsia="Arial" w:hAnsi="Arial"/>
          <w:b/>
          <w:bCs/>
          <w:color w:val="1A1A1A"/>
          <w:sz w:val="26"/>
          <w:szCs w:val="26"/>
        </w:rPr>
        <w:t xml:space="preserve">6.3  Module Registry</w:t>
      </w:r>
    </w:p>
    <w:p>
      <w:pPr>
        <w:spacing w:after="100" w:before="60"/>
      </w:pPr>
      <w:r>
        <w:rPr>
          <w:rFonts w:ascii="Arial" w:cs="Arial" w:eastAsia="Arial" w:hAnsi="Arial"/>
          <w:b w:val="false"/>
          <w:bCs w:val="false"/>
          <w:i w:val="false"/>
          <w:iCs w:val="false"/>
          <w:color w:val="4A4A4A"/>
          <w:sz w:val="20"/>
          <w:szCs w:val="20"/>
        </w:rPr>
        <w:t xml:space="preserve">The following modules are planned across Phase 3 and Phase 4. Each has a locked purpose statement, a data dependency summary, and a phase label. No module ships before its phase gate is passed.</w:t>
      </w:r>
    </w:p>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1 — Activity &amp; Movement</w:t>
      </w:r>
    </w:p>
    <w:p>
      <w:pPr>
        <w:spacing w:after="100" w:before="60"/>
      </w:pPr>
      <w:r>
        <w:rPr>
          <w:rFonts w:ascii="Arial" w:cs="Arial" w:eastAsia="Arial" w:hAnsi="Arial"/>
          <w:b w:val="false"/>
          <w:bCs w:val="false"/>
          <w:i w:val="false"/>
          <w:iCs w:val="false"/>
          <w:color w:val="4A4A4A"/>
          <w:sz w:val="20"/>
          <w:szCs w:val="20"/>
        </w:rPr>
        <w:t xml:space="preserve">Purpose: Workout logging, movement pattern review, and activity load intelligence beyond step count.</w:t>
      </w:r>
    </w:p>
    <w:p>
      <w:pPr>
        <w:spacing w:after="100" w:before="60"/>
      </w:pPr>
      <w:r>
        <w:rPr>
          <w:rFonts w:ascii="Arial" w:cs="Arial" w:eastAsia="Arial" w:hAnsi="Arial"/>
          <w:b w:val="false"/>
          <w:bCs w:val="false"/>
          <w:i w:val="false"/>
          <w:iCs w:val="false"/>
          <w:color w:val="4A4A4A"/>
          <w:sz w:val="20"/>
          <w:szCs w:val="20"/>
        </w:rPr>
        <w:t xml:space="preserve">What it answers: How is my training load affecting my recovery? Am I building fitness or accumulating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HealthKit — workouts, active energy, exercise minutes, VO2max (where available), heart rate zones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Workout log (last 30 days), weekly load chart, personal records, recovery readiness callout</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Activity load score feeds D3 (Activity domain) weighting. High load days inform recovery nudge on Today tab.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Within-user primacy applies. No 'you burned X vs average' framing. All load context is relative to user's own baseline.</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Scoring Dependency</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D3 Activity domain already exists. Module deepens the surface — no scoring rebuild required.</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2 — Diet &amp; Nutrition</w:t>
      </w:r>
    </w:p>
    <w:p>
      <w:pPr>
        <w:spacing w:after="100" w:before="60"/>
      </w:pPr>
      <w:r>
        <w:rPr>
          <w:rFonts w:ascii="Arial" w:cs="Arial" w:eastAsia="Arial" w:hAnsi="Arial"/>
          <w:b w:val="false"/>
          <w:bCs w:val="false"/>
          <w:i w:val="false"/>
          <w:iCs w:val="false"/>
          <w:color w:val="4A4A4A"/>
          <w:sz w:val="20"/>
          <w:szCs w:val="20"/>
        </w:rPr>
        <w:t xml:space="preserve">Purpose: Nutritional pattern tracking and metabolic input monitoring. Not a calorie counter — a signal layer for how food is affecting physiological readiness.</w:t>
      </w:r>
    </w:p>
    <w:p>
      <w:pPr>
        <w:spacing w:after="100" w:before="60"/>
      </w:pPr>
      <w:r>
        <w:rPr>
          <w:rFonts w:ascii="Arial" w:cs="Arial" w:eastAsia="Arial" w:hAnsi="Arial"/>
          <w:b w:val="false"/>
          <w:bCs w:val="false"/>
          <w:i w:val="false"/>
          <w:iCs w:val="false"/>
          <w:color w:val="4A4A4A"/>
          <w:sz w:val="20"/>
          <w:szCs w:val="20"/>
        </w:rPr>
        <w:t xml:space="preserve">What it answers: How is what I am eating showing up in my body systems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Manual logging (meal tags, fasting window), HealthKit dietary data where available, optional CGM integration (Phase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Daily intake log (simplified — meal quality tags, not macros), fasting window tracker, metabolic signal callout, dietary pattern summary (7/30-day)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Fasting state is a Protective Node in the Ontology Engine. Diet inputs feed Tier 1 Root Cause nodes (Poor Diet, Gut Dysbiosis, Ultra-processed Food Intake). This module makes those inputs visible and actionable.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 calorie counting framing. No weight loss language. Nutritional inputs are framed as metabolic signals — fuel quality, fasting state, inflammatory load — not dietary compliance.</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4 Expansion</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CGM integration, A1C input, postprandial glucose pattern detection. Requires lab data ingestion infrastructure.</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3 — Cycle Intelligence</w:t>
      </w:r>
    </w:p>
    <w:p>
      <w:pPr>
        <w:spacing w:after="100" w:before="60"/>
      </w:pPr>
      <w:r>
        <w:rPr>
          <w:rFonts w:ascii="Arial" w:cs="Arial" w:eastAsia="Arial" w:hAnsi="Arial"/>
          <w:b w:val="false"/>
          <w:bCs w:val="false"/>
          <w:i w:val="false"/>
          <w:iCs w:val="false"/>
          <w:color w:val="4A4A4A"/>
          <w:sz w:val="20"/>
          <w:szCs w:val="20"/>
        </w:rPr>
        <w:t xml:space="preserve">Purpose: Menstrual cycle tracking integrated with physiological scoring. HRV, sleep, and recovery scores are interpreted through cycle phase context.</w:t>
      </w:r>
    </w:p>
    <w:p>
      <w:pPr>
        <w:spacing w:after="100" w:before="60"/>
      </w:pPr>
      <w:r>
        <w:rPr>
          <w:rFonts w:ascii="Arial" w:cs="Arial" w:eastAsia="Arial" w:hAnsi="Arial"/>
          <w:b w:val="false"/>
          <w:bCs w:val="false"/>
          <w:i w:val="false"/>
          <w:iCs w:val="false"/>
          <w:color w:val="4A4A4A"/>
          <w:sz w:val="20"/>
          <w:szCs w:val="20"/>
        </w:rPr>
        <w:t xml:space="preserve">What it answers: How is my cycle phase affecting my body systems, and what should I expect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 (biological_sex schema column already added in Sprint 4)</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Manual cycle log, HealthKit menstrual data, HRV pattern correlation, sleep quality by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Cycle calendar, phase-aware score context, HRV-by-phase chart, symptom log, prediction overlay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Cycle phase modifies scoring interpretation — not the raw score. A 65 in the luteal phase reads differently than a 65 in the follicular phase. The module surfaces this context without changing the underlying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Users who opt in to this module see cycle-adjusted context copy on Today and Domains tabs. Users who do not opt in see no change. Opt-in is explicit — never inferred from biological_sex field alone.</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Prerequisite</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biological_sex UI collection (Phase 2) must be complete before Cycle module ships.</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4 — Labs &amp; Biomarkers</w:t>
      </w:r>
    </w:p>
    <w:p>
      <w:pPr>
        <w:spacing w:after="100" w:before="60"/>
      </w:pPr>
      <w:r>
        <w:rPr>
          <w:rFonts w:ascii="Arial" w:cs="Arial" w:eastAsia="Arial" w:hAnsi="Arial"/>
          <w:b w:val="false"/>
          <w:bCs w:val="false"/>
          <w:i w:val="false"/>
          <w:iCs w:val="false"/>
          <w:color w:val="4A4A4A"/>
          <w:sz w:val="20"/>
          <w:szCs w:val="20"/>
        </w:rPr>
        <w:t xml:space="preserve">Purpose: Lab result input and longitudinal biomarker tracking. The bridge between wearable signal and clinical confirmation.</w:t>
      </w:r>
    </w:p>
    <w:p>
      <w:pPr>
        <w:spacing w:after="100" w:before="60"/>
      </w:pPr>
      <w:r>
        <w:rPr>
          <w:rFonts w:ascii="Arial" w:cs="Arial" w:eastAsia="Arial" w:hAnsi="Arial"/>
          <w:b w:val="false"/>
          <w:bCs w:val="false"/>
          <w:i w:val="false"/>
          <w:iCs w:val="false"/>
          <w:color w:val="4A4A4A"/>
          <w:sz w:val="20"/>
          <w:szCs w:val="20"/>
        </w:rPr>
        <w:t xml:space="preserve">What it answers: What do my blood markers say, and how do they align with what my wearable data has been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 / Phase 4</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Manual input (user enters lab values from physician reports), optional HL7 FHIR integration (Phase 4), OCR lab report parsing (Phase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Biomarker log (A1C, lipids, CMP, CBC, thyroid, vitamin D, ferritin), trend chart per marker, Ontology Engine correlation callout, next recommended panel reminder</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Lab values feed the Ontology Engine Activation Rule system directly. A1C ≥5.6% is a Glucose Intolerance activation criterion. This module is the highest-confidence data source in the entire system (lab weight = 1.0 vs wearable weight = 0.9).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Lab values are context, not diagnosis. All copy is wellness-framed. 'Your A1C is trending upward — this is a signal worth discussing with your physician' not 'You may have prediabetes.' Legal review required before this module ships externally.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DPC Connection</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This module is the primary data handoff surface for MBI's DPC model. Lab values entered here generate the physician-ready context shown in Horizon Page 4 (Escalate).</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5 — Journal &amp; Subjective Log</w:t>
      </w:r>
    </w:p>
    <w:p>
      <w:pPr>
        <w:spacing w:after="100" w:before="60"/>
      </w:pPr>
      <w:r>
        <w:rPr>
          <w:rFonts w:ascii="Arial" w:cs="Arial" w:eastAsia="Arial" w:hAnsi="Arial"/>
          <w:b w:val="false"/>
          <w:bCs w:val="false"/>
          <w:i w:val="false"/>
          <w:iCs w:val="false"/>
          <w:color w:val="4A4A4A"/>
          <w:sz w:val="20"/>
          <w:szCs w:val="20"/>
        </w:rPr>
        <w:t xml:space="preserve">Purpose: Daily subjective check-in and longitudinal self-reflection. Captures what wearables cannot — how the user actually feels.</w:t>
      </w:r>
    </w:p>
    <w:p>
      <w:pPr>
        <w:spacing w:after="100" w:before="60"/>
      </w:pPr>
      <w:r>
        <w:rPr>
          <w:rFonts w:ascii="Arial" w:cs="Arial" w:eastAsia="Arial" w:hAnsi="Arial"/>
          <w:b w:val="false"/>
          <w:bCs w:val="false"/>
          <w:i w:val="false"/>
          <w:iCs w:val="false"/>
          <w:color w:val="4A4A4A"/>
          <w:sz w:val="20"/>
          <w:szCs w:val="20"/>
        </w:rPr>
        <w:t xml:space="preserve">What it answers: How did I feel today, and does that align with what my data is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User text input, mood/energy/stress sliders (1–5 scale), optional photo (not analyzed — personal record only), date-stamped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Daily entry prompt (appears after feedback on Today tab), 30-day journal log, subjective-vs-objective correlation view (slider values overlaid on score trend)</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Subjective log data (mood, energy, stress) is weighted at 0.6 in the Ontology Engine Activation Rule system. Consistent low energy self-report plus wearable autonomic decline can activate Chronic Fatigue or Depressive Symptoms nodes before clinical thresholds are crossed.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Journal entries are private by default and never used to generate user-facing copy without explicit user consent. The intelligence layer uses aggregate patterns — never quotes or references specific entry content.</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6 — Goals</w:t>
      </w:r>
    </w:p>
    <w:p>
      <w:pPr>
        <w:spacing w:after="100" w:before="60"/>
      </w:pPr>
      <w:r>
        <w:rPr>
          <w:rFonts w:ascii="Arial" w:cs="Arial" w:eastAsia="Arial" w:hAnsi="Arial"/>
          <w:b w:val="false"/>
          <w:bCs w:val="false"/>
          <w:i w:val="false"/>
          <w:iCs w:val="false"/>
          <w:color w:val="4A4A4A"/>
          <w:sz w:val="20"/>
          <w:szCs w:val="20"/>
        </w:rPr>
        <w:t xml:space="preserve">Purpose: User-defined health goals with progress tracking against personal baseline — not against a population norm or a fixed target.</w:t>
      </w:r>
    </w:p>
    <w:p>
      <w:pPr>
        <w:spacing w:after="100" w:before="60"/>
      </w:pPr>
      <w:r>
        <w:rPr>
          <w:rFonts w:ascii="Arial" w:cs="Arial" w:eastAsia="Arial" w:hAnsi="Arial"/>
          <w:b w:val="false"/>
          <w:bCs w:val="false"/>
          <w:i w:val="false"/>
          <w:iCs w:val="false"/>
          <w:color w:val="4A4A4A"/>
          <w:sz w:val="20"/>
          <w:szCs w:val="20"/>
        </w:rPr>
        <w:t xml:space="preserve">What it answers: Am I moving toward what I said I wanted for my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User-defined goal (text + target metric), scoring engine daily outputs, baseline trajectory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Active goals list, per-goal progress card (baseline trajectory + current direction), milestone log, goal history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Goal Types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Metric-anchored (e.g., 'Improve HRV baseline by 10ms over 90 days'), behavioral (e.g., 'Sleep 7+ hours 5 days per week'), domain-anchored (e.g., 'Keep Autonomic Recovery above my 30-day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Intelligence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Goals inform the Today tab nudge weighting — if a user has an active HRV goal, the nudge prioritizes autonomic recovery context. Goals do not change the score; they change what the narrative layer emphasizes.</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Within-user primacy is absolute here. No goal is framed as 'better than average.' Every target is relative to the user's own baseline trajectory.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health_goal field in Profile (general wellness / weight loss / etc.) is a category preference, not this Goals module. This module is explicit, measurable, user-authored goals.</w:t>
            </w:r>
          </w:p>
        </w:tc>
      </w:tr>
    </w:tbl>
    <w:p>
      <w:pPr>
        <w:spacing w:after="60" w:before="60"/>
      </w:pPr>
      <w:r>
        <w:rPr>
          <w:rFonts w:ascii="Arial" w:cs="Arial" w:eastAsia="Arial" w:hAnsi="Arial"/>
          <w:sz w:val="20"/>
          <w:szCs w:val="20"/>
        </w:rPr>
        <w:t xml:space="preserve"/>
      </w:r>
    </w:p>
    <w:p>
      <w:pPr>
        <w:spacing w:after="80" w:before="240"/>
      </w:pPr>
      <w:r>
        <w:rPr>
          <w:rFonts w:ascii="Arial" w:cs="Arial" w:eastAsia="Arial" w:hAnsi="Arial"/>
          <w:b/>
          <w:bCs/>
          <w:color w:val="B8946A"/>
          <w:sz w:val="22"/>
          <w:szCs w:val="22"/>
        </w:rPr>
        <w:t xml:space="preserve">Module 7 — Rewards &amp; Streaks</w:t>
      </w:r>
    </w:p>
    <w:p>
      <w:pPr>
        <w:spacing w:after="100" w:before="60"/>
      </w:pPr>
      <w:r>
        <w:rPr>
          <w:rFonts w:ascii="Arial" w:cs="Arial" w:eastAsia="Arial" w:hAnsi="Arial"/>
          <w:b w:val="false"/>
          <w:bCs w:val="false"/>
          <w:i w:val="false"/>
          <w:iCs w:val="false"/>
          <w:color w:val="4A4A4A"/>
          <w:sz w:val="20"/>
          <w:szCs w:val="20"/>
        </w:rPr>
        <w:t xml:space="preserve">Purpose: Lightweight gamification layer that reinforces consistent engagement with the daily loop without distorting health behavior incentives.</w:t>
      </w:r>
    </w:p>
    <w:p>
      <w:pPr>
        <w:spacing w:after="100" w:before="60"/>
      </w:pPr>
      <w:r>
        <w:rPr>
          <w:rFonts w:ascii="Arial" w:cs="Arial" w:eastAsia="Arial" w:hAnsi="Arial"/>
          <w:b w:val="false"/>
          <w:bCs w:val="false"/>
          <w:i w:val="false"/>
          <w:iCs w:val="false"/>
          <w:color w:val="4A4A4A"/>
          <w:sz w:val="20"/>
          <w:szCs w:val="20"/>
        </w:rPr>
        <w:t xml:space="preserve">What it answers: How consistent have I been, and what does that consistency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4</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Data Sources</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App open events, daily score completions, feedback submissions, goal milestone completions, journal entries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Screens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Streak tracker (daily loop streak), achievement badges (milestones: 7-day, 30-day, 90-day, first Thriving state, first goal complete), reward history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Reward Types (Phase 4)</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Digital badges (on-device), MBI membership credits (future — tied to DPC membership), partner integrations (Phase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Key Constraint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Rewards never incentivize score improvement for its own sake — only engagement consistency. A user in a sustained Recovering state who opens the app daily earns the same streak credit as a Thriving user. The goal is habit formation, not score chasing.</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Key Constraint 2</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Rewards must not create anxiety about missing a day. Streak protection grace period (one missed day per 7-day window does not break streak) is required before this module ships.</w:t>
            </w:r>
          </w:p>
        </w:tc>
      </w:tr>
    </w:tbl>
    <w:p>
      <w:pPr>
        <w:spacing w:after="60" w:before="60"/>
      </w:pPr>
      <w:r>
        <w:rPr>
          <w:rFonts w:ascii="Arial" w:cs="Arial" w:eastAsia="Arial" w:hAnsi="Arial"/>
          <w:sz w:val="20"/>
          <w:szCs w:val="20"/>
        </w:rPr>
        <w:t xml:space="preserve"/>
      </w:r>
    </w:p>
    <w:p>
      <w:pPr>
        <w:pStyle w:val="Heading2"/>
        <w:spacing w:after="120" w:before="360"/>
      </w:pPr>
      <w:r>
        <w:rPr>
          <w:rFonts w:ascii="Arial" w:cs="Arial" w:eastAsia="Arial" w:hAnsi="Arial"/>
          <w:b/>
          <w:bCs/>
          <w:color w:val="1A1A1A"/>
          <w:sz w:val="26"/>
          <w:szCs w:val="26"/>
        </w:rPr>
        <w:t xml:space="preserve">6.4  Module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Activity &amp; Movement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loop validated with 50+ users. D3 domain stable.</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Diet &amp; Nutrition</w:t>
            </w:r>
          </w:p>
        </w:tc>
        <w:tc>
          <w:tcPr>
            <w:tcW w:type="dxa" w:w="1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5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Core loop validated. Fasting state Ontology node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Cycle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biological_sex UI (Phase 2) complete. 20+ female-identifying users in UAT.</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Goals</w:t>
            </w:r>
          </w:p>
        </w:tc>
        <w:tc>
          <w:tcPr>
            <w:tcW w:type="dxa" w:w="1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5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Core loop validated. health_goal preference field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Journal &amp; Subjective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Core loop validated. Feedback mechanism confirmed in use.</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Labs &amp; Biomarkers</w:t>
            </w:r>
          </w:p>
        </w:tc>
        <w:tc>
          <w:tcPr>
            <w:tcW w:type="dxa" w:w="14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Phase 3/4</w:t>
            </w:r>
          </w:p>
        </w:tc>
        <w:tc>
          <w:tcPr>
            <w:tcW w:type="dxa" w:w="51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DPC model active or in pilot. Legal review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Rewards &amp; Streaks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Phase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50+ DAU sustained. Retention pattern confirmed. Streak grace period designed.</w:t>
            </w:r>
          </w:p>
        </w:tc>
      </w:tr>
    </w:tbl>
    <w:p>
      <w:pPr>
        <w:spacing w:after="60" w:before="60"/>
      </w:pPr>
      <w:r>
        <w:rPr>
          <w:rFonts w:ascii="Arial" w:cs="Arial" w:eastAsia="Arial" w:hAnsi="Arial"/>
          <w:sz w:val="20"/>
          <w:szCs w:val="20"/>
        </w:rPr>
        <w:t xml:space="preserve"/>
      </w:r>
    </w:p>
    <w:p>
      <w:pPr>
        <w:pStyle w:val="Heading2"/>
        <w:spacing w:after="120" w:before="360"/>
      </w:pPr>
      <w:r>
        <w:rPr>
          <w:rFonts w:ascii="Arial" w:cs="Arial" w:eastAsia="Arial" w:hAnsi="Arial"/>
          <w:b/>
          <w:bCs/>
          <w:color w:val="1A1A1A"/>
          <w:sz w:val="26"/>
          <w:szCs w:val="26"/>
        </w:rPr>
        <w:t xml:space="preserve">6.5  Grid Launcher — UI Specification</w:t>
      </w:r>
    </w:p>
    <w:p>
      <w:pPr>
        <w:spacing w:after="100" w:before="60"/>
      </w:pPr>
      <w:r>
        <w:rPr>
          <w:rFonts w:ascii="Arial" w:cs="Arial" w:eastAsia="Arial" w:hAnsi="Arial"/>
          <w:b w:val="false"/>
          <w:bCs w:val="false"/>
          <w:i w:val="false"/>
          <w:iCs w:val="false"/>
          <w:color w:val="4A4A4A"/>
          <w:sz w:val="20"/>
          <w:szCs w:val="20"/>
        </w:rPr>
        <w:t xml:space="preserve">The following specifies the ExploreGridView component that houses all modules. This is not built until Phase 3 opens. The specification is locked here so that when the time comes, there is no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Entry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Bottom of Today tab scroll. Persistent element — always visible at scroll bottom. Small grid icon + 'Explore' label in Jost 13pt muted (#B8946A at 60% opacity).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Sheet Presentation</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Full-screen sheet, large detent, drag-to-dismiss enabled. Tab bar remains visible behind sheet.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Sheet Header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'EXPLORE CHRONOS' eyebrow label (all caps, muted, Jost 11pt). 'Your Health Intelligence' headline (Cormorant Garamond, 28pt). No close button — drag or swipe down to dismiss.</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Grid Layout</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2-column card grid. LazyVGrid with fixed column width. Cards are equal size.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Module Card — Active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Dark surface card. Icon (40pt, Chronos Gold). Module name (Cormorant Garamond, 18pt, parchment). One-line purpose (Jost, 13pt, muted). Full opacity.</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Module Card — Coming Soon</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Same card structure. 40% opacity on icon and text. Gold 'Coming Soon' pill badge in top-right corner of card. Non-tappable.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Card Tap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Navigates to module root view. Sheet does not dismiss — module view pushes onto navigation stack inside the sheet.</w:t>
            </w:r>
          </w:p>
        </w:tc>
      </w:tr>
      <w:tr>
        <w:tc>
          <w:tcPr>
            <w:tcW w:type="dxa" w:w="280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File</w:t>
            </w:r>
          </w:p>
        </w:tc>
        <w:tc>
          <w:tcPr>
            <w:tcW w:type="dxa" w:w="6560"/>
            <w:tcBorders>
              <w:top w:val="single" w:color="CCCCCC" w:sz="1"/>
              <w:left w:val="single" w:color="CCCCCC" w:sz="1"/>
              <w:bottom w:val="single" w:color="CCCCCC" w:sz="1"/>
              <w:right w:val="single" w:color="CCCCCC" w:sz="1"/>
            </w:tcBorders>
            <w:shd w:fill="F6F3EE" w:val="clear"/>
            <w:tcMar>
              <w:top w:type="dxa" w:w="80"/>
              <w:left w:type="dxa" w:w="120"/>
              <w:bottom w:type="dxa" w:w="80"/>
              <w:right w:type="dxa" w:w="120"/>
            </w:tcMar>
          </w:tcPr>
          <w:p>
            <w:r>
              <w:rPr>
                <w:rFonts w:ascii="Arial" w:cs="Arial" w:eastAsia="Arial" w:hAnsi="Arial"/>
                <w:color w:val="1A1A1A"/>
                <w:sz w:val="18"/>
                <w:szCs w:val="18"/>
              </w:rPr>
              <w:t xml:space="preserve">ExploreGridView.swift (new). ModuleCard.swift (new). ModuleRegistry.swift (new — data model only, no business logic).</w:t>
            </w:r>
          </w:p>
        </w:tc>
      </w:tr>
    </w:tbl>
    <w:p>
      <w:pPr>
        <w:pStyle w:val="Heading2"/>
        <w:spacing w:after="120" w:before="360"/>
      </w:pPr>
      <w:r>
        <w:rPr>
          <w:rFonts w:ascii="Arial" w:cs="Arial" w:eastAsia="Arial" w:hAnsi="Arial"/>
          <w:b/>
          <w:bCs/>
          <w:color w:val="1A1A1A"/>
          <w:sz w:val="26"/>
          <w:szCs w:val="26"/>
        </w:rPr>
        <w:t xml:space="preserve">6.6  Non-Negotiables for All Expansion Modules</w:t>
      </w:r>
    </w:p>
    <w:p>
      <w:pPr>
        <w:pStyle w:val="ListParagraph"/>
        <w:numPr>
          <w:ilvl w:val="0"/>
          <w:numId w:val="2"/>
        </w:numPr>
        <w:spacing w:after="40" w:before="40"/>
      </w:pPr>
      <w:r>
        <w:rPr>
          <w:rFonts w:ascii="Arial" w:cs="Arial" w:eastAsia="Arial" w:hAnsi="Arial"/>
          <w:color w:val="4A4A4A"/>
          <w:sz w:val="20"/>
          <w:szCs w:val="20"/>
        </w:rPr>
        <w:t xml:space="preserve">Within-user primacy applies to every module without exception. No population comparisons in any module surface.</w:t>
      </w:r>
    </w:p>
    <w:p>
      <w:pPr>
        <w:pStyle w:val="ListParagraph"/>
        <w:numPr>
          <w:ilvl w:val="0"/>
          <w:numId w:val="2"/>
        </w:numPr>
        <w:spacing w:after="40" w:before="40"/>
      </w:pPr>
      <w:r>
        <w:rPr>
          <w:rFonts w:ascii="Arial" w:cs="Arial" w:eastAsia="Arial" w:hAnsi="Arial"/>
          <w:color w:val="4A4A4A"/>
          <w:sz w:val="20"/>
          <w:szCs w:val="20"/>
        </w:rPr>
        <w:t xml:space="preserve">LLM does not decide in any module. Claude generates narrative and contextual copy only. All scoring, classification, and signal detection is deterministic.</w:t>
      </w:r>
    </w:p>
    <w:p>
      <w:pPr>
        <w:pStyle w:val="ListParagraph"/>
        <w:numPr>
          <w:ilvl w:val="0"/>
          <w:numId w:val="2"/>
        </w:numPr>
        <w:spacing w:after="40" w:before="40"/>
      </w:pPr>
      <w:r>
        <w:rPr>
          <w:rFonts w:ascii="Arial" w:cs="Arial" w:eastAsia="Arial" w:hAnsi="Arial"/>
          <w:color w:val="4A4A4A"/>
          <w:sz w:val="20"/>
          <w:szCs w:val="20"/>
        </w:rPr>
        <w:t xml:space="preserve">Wellness framing only through Phase 3. No clinical language in any module copy path. Legal review required before any module that surfaces lab values or clinical risk language ships to external users.</w:t>
      </w:r>
    </w:p>
    <w:p>
      <w:pPr>
        <w:pStyle w:val="ListParagraph"/>
        <w:numPr>
          <w:ilvl w:val="0"/>
          <w:numId w:val="2"/>
        </w:numPr>
        <w:spacing w:after="40" w:before="40"/>
      </w:pPr>
      <w:r>
        <w:rPr>
          <w:rFonts w:ascii="Arial" w:cs="Arial" w:eastAsia="Arial" w:hAnsi="Arial"/>
          <w:color w:val="4A4A4A"/>
          <w:sz w:val="20"/>
          <w:szCs w:val="20"/>
        </w:rPr>
        <w:t xml:space="preserve">The core four-tab loop is never degraded by a module. If a module feature requires a change to Today, Trend, Domains, or Horizon, that change goes through a strategy session and version increment first.</w:t>
      </w:r>
    </w:p>
    <w:p>
      <w:pPr>
        <w:pStyle w:val="ListParagraph"/>
        <w:numPr>
          <w:ilvl w:val="0"/>
          <w:numId w:val="2"/>
        </w:numPr>
        <w:spacing w:after="40" w:before="40"/>
      </w:pPr>
      <w:r>
        <w:rPr>
          <w:rFonts w:ascii="Arial" w:cs="Arial" w:eastAsia="Arial" w:hAnsi="Arial"/>
          <w:color w:val="4A4A4A"/>
          <w:sz w:val="20"/>
          <w:szCs w:val="20"/>
        </w:rPr>
        <w:t xml:space="preserve">Modules ship complete or not at all. A half-built module with placeholder content does not ship to external users. Coming Soon cards in the grid are acceptable — a module view with stub copy is not.</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
      </w:r>
    </w:p>
    <w:p>
      <w:pPr>
        <w:pBdr>
          <w:top w:val="single" w:color="B8946A" w:sz="4" w:space="4"/>
        </w:pBdr>
        <w:spacing w:after="80" w:before="360"/>
        <w:jc w:val="center"/>
      </w:pPr>
      <w:r>
        <w:rPr>
          <w:rFonts w:ascii="Arial" w:cs="Arial" w:eastAsia="Arial" w:hAnsi="Arial"/>
          <w:color w:val="4A4A4A"/>
          <w:sz w:val="18"/>
          <w:szCs w:val="18"/>
        </w:rPr>
        <w:t xml:space="preserve">CHRONOS BY MBI · CONFIDENTIAL · MAY 2026</w:t>
      </w:r>
    </w:p>
    <w:p>
      <w:pPr>
        <w:jc w:val="center"/>
      </w:pPr>
      <w:r>
        <w:rPr>
          <w:rFonts w:ascii="Arial" w:cs="Arial" w:eastAsia="Arial" w:hAnsi="Arial"/>
          <w:i/>
          <w:iCs/>
          <w:color w:val="4A4A4A"/>
          <w:sz w:val="16"/>
          <w:szCs w:val="16"/>
        </w:rPr>
        <w:t xml:space="preserve">Mynd &amp; Bodi Institute · All Phase 2 work contingent on Phase 1.5 exit 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2026-05-04T12:34:06.011Z</dcterms:created>
  <dcterms:modified xsi:type="dcterms:W3CDTF">2026-05-04T12:34:06.027Z</dcterms:modified>
</cp:coreProperties>
</file>

<file path=docProps/custom.xml><?xml version="1.0" encoding="utf-8"?>
<Properties xmlns="http://schemas.openxmlformats.org/officeDocument/2006/custom-properties" xmlns:vt="http://schemas.openxmlformats.org/officeDocument/2006/docPropsVTypes"/>
</file>