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0A0A0A"/>
          <w:sz w:val="56"/>
          <w:szCs w:val="56"/>
        </w:rPr>
        <w:t xml:space="preserve">MBI · CHRONOS</w:t>
      </w:r>
    </w:p>
    <w:p>
      <w:pPr>
        <w:spacing w:after="60"/>
      </w:pPr>
      <w:r>
        <w:rPr>
          <w:rFonts w:ascii="Arial" w:cs="Arial" w:eastAsia="Arial" w:hAnsi="Arial"/>
          <w:color w:val="B8946A"/>
          <w:sz w:val="32"/>
          <w:szCs w:val="32"/>
        </w:rPr>
        <w:t xml:space="preserve">Legal Compliance Framework</w:t>
      </w:r>
    </w:p>
    <w:p>
      <w:pPr>
        <w:spacing w:after="480"/>
      </w:pPr>
      <w:r>
        <w:rPr>
          <w:rFonts w:ascii="Arial" w:cs="Arial" w:eastAsia="Arial" w:hAnsi="Arial"/>
          <w:color w:val="888888"/>
          <w:sz w:val="22"/>
          <w:szCs w:val="22"/>
        </w:rPr>
        <w:t xml:space="preserve">User-Facing Communications, Narrative Copy &amp; Escalation Design</w:t>
      </w:r>
    </w:p>
    <w:p>
      <w:pPr>
        <w:pBdr>
          <w:bottom w:val="single" w:color="B8946A" w:sz="6" w:space="1"/>
        </w:pBdr>
        <w:spacing w:after="20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Classification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Internal · Confidential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Pending Attorney Review — DO NOT USE AS LEGAL ADVICE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May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Owner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Founder / Technical Co-Founder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Source Research</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Legal Research: Chronos Page 4, May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Companion Doc</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MBI Phase 2 Design Session v1.0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Applies To</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All user-facing copy, Claude narrative prompts, Horizon pages, Doctor Report export, notification copy, gamification copy</w:t>
            </w:r>
          </w:p>
        </w:tc>
      </w:tr>
    </w:tbl>
    <w:p>
      <w:pP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E2E" w:sz="6"/>
              <w:left w:val="single" w:color="8B2E2E" w:sz="6"/>
              <w:bottom w:val="single" w:color="CCCCCC" w:sz="1"/>
              <w:right w:val="single" w:color="CCCCCC" w:sz="1"/>
            </w:tcBorders>
            <w:shd w:fill="F9EDED" w:val="clear"/>
            <w:tcMar>
              <w:top w:type="dxa" w:w="120"/>
              <w:left w:type="dxa" w:w="180"/>
              <w:bottom w:type="dxa" w:w="120"/>
              <w:right w:type="dxa" w:w="180"/>
            </w:tcMar>
          </w:tcPr>
          <w:p>
            <w:pPr>
              <w:spacing w:after="80"/>
            </w:pPr>
            <w:r>
              <w:rPr>
                <w:rFonts w:ascii="Arial" w:cs="Arial" w:eastAsia="Arial" w:hAnsi="Arial"/>
                <w:b/>
                <w:bCs/>
                <w:color w:val="8B2E2E"/>
                <w:sz w:val="20"/>
                <w:szCs w:val="20"/>
              </w:rPr>
              <w:t xml:space="preserve">IMPORTANT</w:t>
            </w:r>
          </w:p>
          <w:p>
            <w:pPr>
              <w:spacing w:after="60"/>
            </w:pPr>
            <w:r>
              <w:rPr>
                <w:rFonts w:ascii="Arial" w:cs="Arial" w:eastAsia="Arial" w:hAnsi="Arial"/>
                <w:color w:val="0A0A0A"/>
                <w:sz w:val="20"/>
                <w:szCs w:val="20"/>
              </w:rPr>
              <w:t xml:space="preserve">This document is a product and engineering compliance guide derived from legal research. It is not legal advice.</w:t>
            </w:r>
          </w:p>
          <w:p>
            <w:pPr>
              <w:spacing w:after="60"/>
            </w:pPr>
            <w:r>
              <w:rPr>
                <w:rFonts w:ascii="Arial" w:cs="Arial" w:eastAsia="Arial" w:hAnsi="Arial"/>
                <w:color w:val="0A0A0A"/>
                <w:sz w:val="20"/>
                <w:szCs w:val="20"/>
              </w:rPr>
              <w:t xml:space="preserve">Every section marked for attorney review must be reviewed by qualified counsel before the relevant feature reaches external users.</w:t>
            </w:r>
          </w:p>
          <w:p>
            <w:pPr>
              <w:spacing w:after="60"/>
            </w:pPr>
            <w:r>
              <w:rPr>
                <w:rFonts w:ascii="Arial" w:cs="Arial" w:eastAsia="Arial" w:hAnsi="Arial"/>
                <w:color w:val="0A0A0A"/>
                <w:sz w:val="20"/>
                <w:szCs w:val="20"/>
              </w:rPr>
              <w:t xml:space="preserve">Build teams should treat this document as a checklist and copy governance resource — not a substitute for legal sign-off.</w:t>
            </w:r>
          </w:p>
        </w:tc>
      </w:tr>
    </w:tbl>
    <w:p>
      <w:r>
        <w:br w:type="page"/>
      </w:r>
    </w:p>
    <w:p>
      <w:pPr>
        <w:spacing w:after="80" w:before="320"/>
      </w:pPr>
      <w:r>
        <w:rPr>
          <w:rFonts w:ascii="Arial" w:cs="Arial" w:eastAsia="Arial" w:hAnsi="Arial"/>
          <w:b/>
          <w:bCs/>
          <w:color w:val="B8946A"/>
          <w:sz w:val="16"/>
          <w:szCs w:val="16"/>
        </w:rPr>
        <w:t xml:space="preserve">SECTION 1</w:t>
      </w:r>
    </w:p>
    <w:p>
      <w:pPr>
        <w:pStyle w:val="Heading1"/>
        <w:spacing w:after="160" w:before="480"/>
      </w:pPr>
      <w:r>
        <w:rPr>
          <w:rFonts w:ascii="Arial" w:cs="Arial" w:eastAsia="Arial" w:hAnsi="Arial"/>
          <w:b/>
          <w:bCs/>
          <w:color w:val="0A0A0A"/>
          <w:sz w:val="44"/>
          <w:szCs w:val="44"/>
        </w:rPr>
        <w:t xml:space="preserve">Why This Document Exists</w:t>
      </w:r>
    </w:p>
    <w:p>
      <w:pPr>
        <w:spacing w:after="120"/>
      </w:pPr>
      <w:r>
        <w:rPr>
          <w:rFonts w:ascii="Arial" w:cs="Arial" w:eastAsia="Arial" w:hAnsi="Arial"/>
          <w:color w:val="0A0A0A"/>
          <w:sz w:val="22"/>
          <w:szCs w:val="22"/>
        </w:rPr>
        <w:t xml:space="preserve">Chronos operates in a regulatory environment where the language and workflow design of a consumer wellness app — not just its underlying data — can determine whether it is treated as a general wellness product or as a software medical device subject to FDA oversight and state practice-of-medicine rules.</w:t>
      </w:r>
    </w:p>
    <w:p>
      <w:pPr>
        <w:spacing w:after="120"/>
      </w:pPr>
      <w:r>
        <w:t xml:space="preserve"/>
      </w:r>
    </w:p>
    <w:p>
      <w:pPr>
        <w:spacing w:after="120"/>
      </w:pPr>
      <w:r>
        <w:rPr>
          <w:rFonts w:ascii="Arial" w:cs="Arial" w:eastAsia="Arial" w:hAnsi="Arial"/>
          <w:color w:val="0A0A0A"/>
          <w:sz w:val="22"/>
          <w:szCs w:val="22"/>
        </w:rPr>
        <w:t xml:space="preserve">The legal research commissioned for the Horizon Escalate page (Page 6) reveals three categories of risk that apply across the entire app, not just the escalation surface:</w:t>
      </w:r>
    </w:p>
    <w:p>
      <w:pPr>
        <w:spacing w:after="120"/>
      </w:pPr>
      <w:r>
        <w:t xml:space="preserve"/>
      </w:r>
    </w:p>
    <w:p>
      <w:pPr>
        <w:pStyle w:val="ListParagraph"/>
        <w:numPr>
          <w:ilvl w:val="0"/>
          <w:numId w:val="2"/>
        </w:numPr>
        <w:spacing w:after="80"/>
      </w:pPr>
      <w:r>
        <w:rPr>
          <w:rFonts w:ascii="Arial" w:cs="Arial" w:eastAsia="Arial" w:hAnsi="Arial"/>
          <w:color w:val="0A0A0A"/>
          <w:sz w:val="21"/>
          <w:szCs w:val="21"/>
        </w:rPr>
        <w:t xml:space="preserve">Copy risk — specific phrases that sound like clinical judgment can constitute practicing medicine or evidence of FDA device intended use regardless of what the underlying data actually is.</w:t>
      </w:r>
    </w:p>
    <w:p>
      <w:pPr>
        <w:pStyle w:val="ListParagraph"/>
        <w:numPr>
          <w:ilvl w:val="0"/>
          <w:numId w:val="2"/>
        </w:numPr>
        <w:spacing w:after="80"/>
      </w:pPr>
      <w:r>
        <w:rPr>
          <w:rFonts w:ascii="Arial" w:cs="Arial" w:eastAsia="Arial" w:hAnsi="Arial"/>
          <w:color w:val="0A0A0A"/>
          <w:sz w:val="21"/>
          <w:szCs w:val="21"/>
        </w:rPr>
        <w:t xml:space="preserve">Workflow risk — the sequence of screens matters as much as the words on any individual screen. A wellness observation followed immediately by provider routing reads as clinical management.</w:t>
      </w:r>
    </w:p>
    <w:p>
      <w:pPr>
        <w:pStyle w:val="ListParagraph"/>
        <w:numPr>
          <w:ilvl w:val="0"/>
          <w:numId w:val="2"/>
        </w:numPr>
        <w:spacing w:after="80"/>
      </w:pPr>
      <w:r>
        <w:rPr>
          <w:rFonts w:ascii="Arial" w:cs="Arial" w:eastAsia="Arial" w:hAnsi="Arial"/>
          <w:color w:val="0A0A0A"/>
          <w:sz w:val="21"/>
          <w:szCs w:val="21"/>
        </w:rPr>
        <w:t xml:space="preserve">Internal document risk — product requirements documents, design docs, data model naming, and business decks can be used as evidence of device intended use even if consumer-facing copy is clean.</w:t>
      </w:r>
    </w:p>
    <w:p>
      <w:pPr>
        <w:spacing w:after="120"/>
      </w:pPr>
      <w:r>
        <w:t xml:space="preserve"/>
      </w:r>
    </w:p>
    <w:p>
      <w:pPr>
        <w:spacing w:after="120"/>
      </w:pPr>
      <w:r>
        <w:rPr>
          <w:rFonts w:ascii="Arial" w:cs="Arial" w:eastAsia="Arial" w:hAnsi="Arial"/>
          <w:color w:val="0A0A0A"/>
          <w:sz w:val="22"/>
          <w:szCs w:val="22"/>
        </w:rPr>
        <w:t xml:space="preserve">This document translates the legal research findings into actionable product rules: what copy is prohibited, what copy is required, what architectural constraints protect the product, and what must go to attorney review before shipping.</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The legal research finding that matters most for this build: disease-name suppression is necessary, but not sufficient. The safer position is that every user-facing surface stays on the measurement side of the clinical-management line — not the symptom-assessment or disease-screening side.</w:t>
      </w:r>
    </w:p>
    <w:p>
      <w:r>
        <w:br w:type="page"/>
      </w:r>
    </w:p>
    <w:p>
      <w:pPr>
        <w:spacing w:after="80" w:before="320"/>
      </w:pPr>
      <w:r>
        <w:rPr>
          <w:rFonts w:ascii="Arial" w:cs="Arial" w:eastAsia="Arial" w:hAnsi="Arial"/>
          <w:b/>
          <w:bCs/>
          <w:color w:val="B8946A"/>
          <w:sz w:val="16"/>
          <w:szCs w:val="16"/>
        </w:rPr>
        <w:t xml:space="preserve">SECTION 2</w:t>
      </w:r>
    </w:p>
    <w:p>
      <w:pPr>
        <w:pStyle w:val="Heading1"/>
        <w:spacing w:after="160" w:before="480"/>
      </w:pPr>
      <w:r>
        <w:rPr>
          <w:rFonts w:ascii="Arial" w:cs="Arial" w:eastAsia="Arial" w:hAnsi="Arial"/>
          <w:b/>
          <w:bCs/>
          <w:color w:val="0A0A0A"/>
          <w:sz w:val="44"/>
          <w:szCs w:val="44"/>
        </w:rPr>
        <w:t xml:space="preserve">Regulatory Landscape</w:t>
      </w:r>
    </w:p>
    <w:p>
      <w:pPr>
        <w:spacing w:after="120"/>
      </w:pPr>
      <w:r>
        <w:rPr>
          <w:rFonts w:ascii="Arial" w:cs="Arial" w:eastAsia="Arial" w:hAnsi="Arial"/>
          <w:color w:val="0A0A0A"/>
          <w:sz w:val="22"/>
          <w:szCs w:val="22"/>
        </w:rPr>
        <w:t xml:space="preserve">Three overlapping regulatory frameworks govern Chronos communications. Each has different triggers and different consequences. Understanding which framework applies in which context is the foundation for all copy decisions.</w:t>
      </w:r>
    </w:p>
    <w:p>
      <w:pPr>
        <w:spacing w:after="160"/>
      </w:pPr>
      <w:r>
        <w:t xml:space="preserve"/>
      </w:r>
    </w:p>
    <w:p>
      <w:pPr>
        <w:pStyle w:val="Heading2"/>
        <w:spacing w:after="120" w:before="360"/>
      </w:pPr>
      <w:r>
        <w:rPr>
          <w:rFonts w:ascii="Arial" w:cs="Arial" w:eastAsia="Arial" w:hAnsi="Arial"/>
          <w:b/>
          <w:bCs/>
          <w:color w:val="0A0A0A"/>
          <w:sz w:val="28"/>
          <w:szCs w:val="28"/>
        </w:rPr>
        <w:t xml:space="preserve">2.1  FDA General Wellness Policy</w:t>
      </w:r>
    </w:p>
    <w:p>
      <w:pPr>
        <w:spacing w:after="120"/>
      </w:pPr>
      <w:r>
        <w:rPr>
          <w:rFonts w:ascii="Arial" w:cs="Arial" w:eastAsia="Arial" w:hAnsi="Arial"/>
          <w:color w:val="0A0A0A"/>
          <w:sz w:val="22"/>
          <w:szCs w:val="22"/>
        </w:rPr>
        <w:t xml:space="preserve">The current governing authority is the FDA's January 2026 General Wellness guidance combined with the device-intended-use regulation at 21 C.F.R. § 801.4.</w:t>
      </w:r>
    </w:p>
    <w:p>
      <w:pPr>
        <w:spacing w:after="120"/>
      </w:pPr>
      <w:r>
        <w:t xml:space="preserve"/>
      </w:r>
    </w:p>
    <w:p>
      <w:pPr>
        <w:spacing w:after="120"/>
      </w:pPr>
      <w:r>
        <w:rPr>
          <w:rFonts w:ascii="Arial" w:cs="Arial" w:eastAsia="Arial" w:hAnsi="Arial"/>
          <w:color w:val="0A0A0A"/>
          <w:sz w:val="22"/>
          <w:szCs w:val="22"/>
        </w:rPr>
        <w:t xml:space="preserve">FDA treats low-risk general wellness software favorably — but the 2026 guidance is explicit that a product exits the general wellness bucket if any of the following are true:</w:t>
      </w:r>
    </w:p>
    <w:p>
      <w:pPr>
        <w:pStyle w:val="ListParagraph"/>
        <w:numPr>
          <w:ilvl w:val="0"/>
          <w:numId w:val="2"/>
        </w:numPr>
        <w:spacing w:after="80"/>
      </w:pPr>
      <w:r>
        <w:rPr>
          <w:rFonts w:ascii="Arial" w:cs="Arial" w:eastAsia="Arial" w:hAnsi="Arial"/>
          <w:color w:val="0A0A0A"/>
          <w:sz w:val="21"/>
          <w:szCs w:val="21"/>
        </w:rPr>
        <w:t xml:space="preserve">Labeling, advertising, or user interface references specific diseases or clinical thresholds.</w:t>
      </w:r>
    </w:p>
    <w:p>
      <w:pPr>
        <w:pStyle w:val="ListParagraph"/>
        <w:numPr>
          <w:ilvl w:val="0"/>
          <w:numId w:val="2"/>
        </w:numPr>
        <w:spacing w:after="80"/>
      </w:pPr>
      <w:r>
        <w:rPr>
          <w:rFonts w:ascii="Arial" w:cs="Arial" w:eastAsia="Arial" w:hAnsi="Arial"/>
          <w:color w:val="0A0A0A"/>
          <w:sz w:val="21"/>
          <w:szCs w:val="21"/>
        </w:rPr>
        <w:t xml:space="preserve">The product includes alerts, alarms, or prompts that recommend or require specific clinical action or medical management.</w:t>
      </w:r>
    </w:p>
    <w:p>
      <w:pPr>
        <w:pStyle w:val="ListParagraph"/>
        <w:numPr>
          <w:ilvl w:val="0"/>
          <w:numId w:val="2"/>
        </w:numPr>
        <w:spacing w:after="80"/>
      </w:pPr>
      <w:r>
        <w:rPr>
          <w:rFonts w:ascii="Arial" w:cs="Arial" w:eastAsia="Arial" w:hAnsi="Arial"/>
          <w:color w:val="0A0A0A"/>
          <w:sz w:val="21"/>
          <w:szCs w:val="21"/>
        </w:rPr>
        <w:t xml:space="preserve">Physiological parameter outputs are intended to prompt or guide clinical management rather than solely for wellness use.</w:t>
      </w:r>
    </w:p>
    <w:p>
      <w:pPr>
        <w:spacing w:after="120"/>
      </w:pPr>
      <w:r>
        <w:t xml:space="preserve"/>
      </w:r>
    </w:p>
    <w:p>
      <w:pPr>
        <w:spacing w:after="120"/>
      </w:pPr>
      <w:r>
        <w:rPr>
          <w:rFonts w:ascii="Arial" w:cs="Arial" w:eastAsia="Arial" w:hAnsi="Arial"/>
          <w:color w:val="0A0A0A"/>
          <w:sz w:val="22"/>
          <w:szCs w:val="22"/>
        </w:rPr>
        <w:t xml:space="preserve">FDA's intended-use rule (21 C.F.R. § 801.4) looks at the manufacturer's objective intent, which can be shown by the user interface, functionality, labeling, advertising, and the surrounding circumstances of distribution. This means internal documents — product requirements, design sessions, data model naming, and investor materials — can constitute evidence of intended use even if consumer-facing copy is clean.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46A" w:sz="6"/>
              <w:left w:val="single" w:color="B8946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B8946A"/>
                <w:sz w:val="20"/>
                <w:szCs w:val="20"/>
              </w:rPr>
              <w:t xml:space="preserve">FDA Line to Stay On</w:t>
            </w:r>
          </w:p>
          <w:p>
            <w:pPr>
              <w:spacing w:after="60"/>
            </w:pPr>
            <w:r>
              <w:rPr>
                <w:rFonts w:ascii="Arial" w:cs="Arial" w:eastAsia="Arial" w:hAnsi="Arial"/>
                <w:color w:val="0A0A0A"/>
                <w:sz w:val="20"/>
                <w:szCs w:val="20"/>
              </w:rPr>
              <w:t xml:space="preserve">The 2026 guidance draws a clear line between a prompt about a measurement or trend (permitted for wellness) and a prompt about clinical management (potential device).</w:t>
            </w:r>
          </w:p>
          <w:p>
            <w:pPr>
              <w:spacing w:after="60"/>
            </w:pPr>
            <w:r>
              <w:rPr>
                <w:rFonts w:ascii="Arial" w:cs="Arial" w:eastAsia="Arial" w:hAnsi="Arial"/>
                <w:color w:val="0A0A0A"/>
                <w:sz w:val="20"/>
                <w:szCs w:val="20"/>
              </w:rPr>
              <w:t xml:space="preserve">Every Chronos communication must stay on the measurement side of this line.</w:t>
            </w:r>
          </w:p>
          <w:p>
            <w:pPr>
              <w:spacing w:after="60"/>
            </w:pPr>
            <w:r>
              <w:rPr>
                <w:rFonts w:ascii="Arial" w:cs="Arial" w:eastAsia="Arial" w:hAnsi="Arial"/>
                <w:color w:val="0A0A0A"/>
                <w:sz w:val="20"/>
                <w:szCs w:val="20"/>
              </w:rPr>
              <w:t xml:space="preserve">Reference: 21 U.S.C. § 360j(o)(1)(B); 21 C.F.R. § 801.4; FDA General Wellness Guidance Jan. 6, 2026.</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2.2  State Practice-of-Medicine Rules</w:t>
      </w:r>
    </w:p>
    <w:p>
      <w:pPr>
        <w:spacing w:after="120"/>
      </w:pPr>
      <w:r>
        <w:rPr>
          <w:rFonts w:ascii="Arial" w:cs="Arial" w:eastAsia="Arial" w:hAnsi="Arial"/>
          <w:color w:val="0A0A0A"/>
          <w:sz w:val="22"/>
          <w:szCs w:val="22"/>
        </w:rPr>
        <w:t xml:space="preserve">In all reviewed launch states (California, New York, Texas), practicing medicine is defined as diagnosing, treating, prescribing, operating, or holding oneself out as authorized to do so. The question is functional: does the software diagnose, treat, prescribe, or hold itself out as doing so?</w:t>
      </w:r>
    </w:p>
    <w:p>
      <w:pPr>
        <w:spacing w:after="120"/>
      </w:pPr>
      <w:r>
        <w:t xml:space="preserve"/>
      </w:r>
    </w:p>
    <w:p>
      <w:pPr>
        <w:spacing w:after="120"/>
      </w:pPr>
      <w:r>
        <w:rPr>
          <w:rFonts w:ascii="Arial" w:cs="Arial" w:eastAsia="Arial" w:hAnsi="Arial"/>
          <w:color w:val="0A0A0A"/>
          <w:sz w:val="22"/>
          <w:szCs w:val="22"/>
        </w:rPr>
        <w:t xml:space="preserve">There is no separate statutory wellness-app exemption in any reviewed state statute. The practice-of-medicine question is answered by what the app actually does and says — not by how it categorizes itself. A generic, non-compensated prompt telling a user it may be worth speaking with a clinician is not clearly prohibited — but phrasing choices matter significantly.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State</w:t>
            </w:r>
          </w:p>
        </w:tc>
        <w:tc>
          <w:tcPr>
            <w:tcW w:type="dxa" w:w="3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Statute</w:t>
            </w:r>
          </w:p>
        </w:tc>
        <w:tc>
          <w:tcPr>
            <w:tcW w:type="dxa" w:w="4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Definition</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California</w:t>
            </w:r>
          </w:p>
        </w:tc>
        <w:tc>
          <w:tcPr>
            <w:tcW w:type="dxa" w:w="3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Cal. Bus. &amp; Prof. Code § 2052</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Unlawful for unlicensed person to diagnose, treat, operate for, or prescribe for a physical or mental condition.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New York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N.Y. Educ. Law §§ 6521, 6522</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Practice of medicine = diagnosing, treating, operating, or prescribing for human disease, pain, injury, deformity, or physical condition.</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Texas</w:t>
            </w:r>
          </w:p>
        </w:tc>
        <w:tc>
          <w:tcPr>
            <w:tcW w:type="dxa" w:w="3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Tex. Occ. Code § 151.002</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Practicing medicine = diagnosis, treatment, or an offer to treat.</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2.3  FTC Health Breach Notification Rule</w:t>
      </w:r>
    </w:p>
    <w:p>
      <w:pPr>
        <w:spacing w:after="120"/>
      </w:pPr>
      <w:r>
        <w:rPr>
          <w:rFonts w:ascii="Arial" w:cs="Arial" w:eastAsia="Arial" w:hAnsi="Arial"/>
          <w:color w:val="0A0A0A"/>
          <w:sz w:val="22"/>
          <w:szCs w:val="22"/>
        </w:rPr>
        <w:t xml:space="preserve">HIPAA is not the primary privacy framework for Chronos — as a direct-to-consumer app not operating for a covered entity, HIPAA typically does not apply. The relevant federal privacy overlay is the FTC Health Breach Notification Rule (16 C.F.R. Part 318), which applies to vendors of personal health records and related entities and requires notices after certain breaches.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7B2A" w:sz="6"/>
              <w:left w:val="single" w:color="C97B2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C97B2A"/>
                <w:sz w:val="20"/>
                <w:szCs w:val="20"/>
              </w:rPr>
              <w:t xml:space="preserve">FTC Rule — Common Gap</w:t>
            </w:r>
          </w:p>
          <w:p>
            <w:pPr>
              <w:spacing w:after="60"/>
            </w:pPr>
            <w:r>
              <w:rPr>
                <w:rFonts w:ascii="Arial" w:cs="Arial" w:eastAsia="Arial" w:hAnsi="Arial"/>
                <w:color w:val="0A0A0A"/>
                <w:sz w:val="20"/>
                <w:szCs w:val="20"/>
              </w:rPr>
              <w:t xml:space="preserve">The FTC specifically warns that the Health Breach Notification Rule applies to many health apps that are not covered by HIPAA.</w:t>
            </w:r>
          </w:p>
          <w:p>
            <w:pPr>
              <w:spacing w:after="60"/>
            </w:pPr>
            <w:r>
              <w:rPr>
                <w:rFonts w:ascii="Arial" w:cs="Arial" w:eastAsia="Arial" w:hAnsi="Arial"/>
                <w:color w:val="0A0A0A"/>
                <w:sz w:val="20"/>
                <w:szCs w:val="20"/>
              </w:rPr>
              <w:t xml:space="preserve">As Chronos adds features that increase handling of identifiable health information (Doctor Report export, Terra device data, DPC scheduling), FTC compliance becomes a release checklist item.</w:t>
            </w:r>
          </w:p>
          <w:p>
            <w:pPr>
              <w:spacing w:after="60"/>
            </w:pPr>
            <w:r>
              <w:rPr>
                <w:rFonts w:ascii="Arial" w:cs="Arial" w:eastAsia="Arial" w:hAnsi="Arial"/>
                <w:color w:val="0A0A0A"/>
                <w:sz w:val="20"/>
                <w:szCs w:val="20"/>
              </w:rPr>
              <w:t xml:space="preserve">The FTC's rule is enforced — do not assume HIPAA non-applicability means no privacy obligations.</w:t>
            </w:r>
          </w:p>
        </w:tc>
      </w:tr>
    </w:tbl>
    <w:p>
      <w:pPr>
        <w:spacing w:after="120"/>
      </w:pPr>
      <w:r>
        <w:t xml:space="preserve"/>
      </w:r>
    </w:p>
    <w:p>
      <w:pPr>
        <w:spacing w:after="120"/>
      </w:pPr>
      <w:r>
        <w:rPr>
          <w:rFonts w:ascii="Arial" w:cs="Arial" w:eastAsia="Arial" w:hAnsi="Arial"/>
          <w:color w:val="0A0A0A"/>
          <w:sz w:val="22"/>
          <w:szCs w:val="22"/>
        </w:rPr>
        <w:t xml:space="preserve">HIPAA does become relevant if Chronos later operates on behalf of a covered entity (e.g., a DPC provider group). At that point, the entire data architecture, export design, and provider integration requires a full HIPAA analysis. That transition must be flagged explicitly before Phase 3 DPC integration begins.</w:t>
      </w:r>
    </w:p>
    <w:p>
      <w:r>
        <w:br w:type="page"/>
      </w:r>
    </w:p>
    <w:p>
      <w:pPr>
        <w:spacing w:after="80" w:before="320"/>
      </w:pPr>
      <w:r>
        <w:rPr>
          <w:rFonts w:ascii="Arial" w:cs="Arial" w:eastAsia="Arial" w:hAnsi="Arial"/>
          <w:b/>
          <w:bCs/>
          <w:color w:val="B8946A"/>
          <w:sz w:val="16"/>
          <w:szCs w:val="16"/>
        </w:rPr>
        <w:t xml:space="preserve">SECTION 3</w:t>
      </w:r>
    </w:p>
    <w:p>
      <w:pPr>
        <w:pStyle w:val="Heading1"/>
        <w:spacing w:after="160" w:before="480"/>
      </w:pPr>
      <w:r>
        <w:rPr>
          <w:rFonts w:ascii="Arial" w:cs="Arial" w:eastAsia="Arial" w:hAnsi="Arial"/>
          <w:b/>
          <w:bCs/>
          <w:color w:val="0A0A0A"/>
          <w:sz w:val="44"/>
          <w:szCs w:val="44"/>
        </w:rPr>
        <w:t xml:space="preserve">Prohibited Copy Patterns</w:t>
      </w:r>
    </w:p>
    <w:p>
      <w:pPr>
        <w:spacing w:after="120"/>
      </w:pPr>
      <w:r>
        <w:rPr>
          <w:rFonts w:ascii="Arial" w:cs="Arial" w:eastAsia="Arial" w:hAnsi="Arial"/>
          <w:color w:val="0A0A0A"/>
          <w:sz w:val="22"/>
          <w:szCs w:val="22"/>
        </w:rPr>
        <w:t xml:space="preserve">The following copy patterns are prohibited across all user-facing surfaces in Chronos: Today tab narrative, Trend tab synthesis, Domains tab copy, Horizon tab all pages, push notifications, onboarding, Doctor Report PDF, and any Claude API system prompts that generate user-facing text.</w:t>
      </w:r>
    </w:p>
    <w:p>
      <w:pPr>
        <w:spacing w:after="160"/>
      </w:pPr>
      <w:r>
        <w:t xml:space="preserve"/>
      </w:r>
    </w:p>
    <w:p>
      <w:pPr>
        <w:pBdr>
          <w:left w:val="single" w:color="8B2E2E" w:sz="8" w:space="6"/>
        </w:pBdr>
        <w:spacing w:after="80" w:before="80"/>
        <w:ind w:left="720"/>
      </w:pPr>
      <w:r>
        <w:rPr>
          <w:rFonts w:ascii="Arial" w:cs="Arial" w:eastAsia="Arial" w:hAnsi="Arial"/>
          <w:i/>
          <w:iCs/>
          <w:color w:val="444444"/>
          <w:sz w:val="20"/>
          <w:szCs w:val="20"/>
        </w:rPr>
        <w:t xml:space="preserve">These are not style guidelines. They are legal constraints derived from the reviewed regulatory framework. Violations may trigger FDA device-intended-use risk or state practice-of-medicine exposure.</w:t>
      </w:r>
    </w:p>
    <w:p>
      <w:pPr>
        <w:spacing w:after="160"/>
      </w:pPr>
      <w:r>
        <w:t xml:space="preserve"/>
      </w:r>
    </w:p>
    <w:p>
      <w:pPr>
        <w:pStyle w:val="Heading2"/>
        <w:spacing w:after="120" w:before="360"/>
      </w:pPr>
      <w:r>
        <w:rPr>
          <w:rFonts w:ascii="Arial" w:cs="Arial" w:eastAsia="Arial" w:hAnsi="Arial"/>
          <w:b/>
          <w:bCs/>
          <w:color w:val="0A0A0A"/>
          <w:sz w:val="28"/>
          <w:szCs w:val="28"/>
        </w:rPr>
        <w:t xml:space="preserve">3.1  Disease and Condition Names</w:t>
      </w:r>
    </w:p>
    <w:p>
      <w:pPr>
        <w:spacing w:after="120"/>
      </w:pPr>
      <w:r>
        <w:rPr>
          <w:rFonts w:ascii="Arial" w:cs="Arial" w:eastAsia="Arial" w:hAnsi="Arial"/>
          <w:color w:val="0A0A0A"/>
          <w:sz w:val="22"/>
          <w:szCs w:val="22"/>
        </w:rPr>
        <w:t xml:space="preserve">No chronic disease endpoint, intermediate dysfunction state, or biological response node name from the Ontology Engine may appear in any user-facing copy at any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36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Prohibited (examples)</w:t>
            </w:r>
          </w:p>
        </w:tc>
        <w:tc>
          <w:tcPr>
            <w:tcW w:type="dxa" w:w="38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Permitted alternative</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Disease endpoints</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Type 2 Diabetes, Cardiovascular Disease, Alzheimer's, Sleep Apnea</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Use pathway names only: Autonomic, Sleep, Metabolic.</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Intermediate states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Insulin Resistance, Hypertension, Sleep Fragmentation, Visceral Obesity</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'Your sleep signal has been under pressure' — not naming the dysfunction.</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Biological nodes</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Sympathetic Dominance, Systemic Inflammation, Autonomic Dysfunction</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'Your autonomic pathway has been elevated' — pathway language only.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conditionClass values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autonomic_stress_load, sleep_architecture_disruption (raw identifiers)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Consumer labels only: 'Autonomic System Under Pressure.' Internal identifiers never rendered in UI.</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3.2  Clinical Urgency and Medical Necessity Language</w:t>
      </w:r>
    </w:p>
    <w:p>
      <w:pPr>
        <w:spacing w:after="120"/>
      </w:pPr>
      <w:r>
        <w:rPr>
          <w:rFonts w:ascii="Arial" w:cs="Arial" w:eastAsia="Arial" w:hAnsi="Arial"/>
          <w:color w:val="0A0A0A"/>
          <w:sz w:val="22"/>
          <w:szCs w:val="22"/>
        </w:rPr>
        <w:t xml:space="preserve">Copy that sounds like an assessment of medical necessity or urgency is prohibited regardless of whether a disease name appears. This category is explicitly called out by the legal research as materially increasing FDA and state practice-of-medicine risk.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Context</w:t>
            </w:r>
          </w:p>
        </w:tc>
        <w:tc>
          <w:tcPr>
            <w:tcW w:type="dxa" w:w="36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PROHIBITED</w:t>
            </w:r>
          </w:p>
        </w:tc>
        <w:tc>
          <w:tcPr>
            <w:tcW w:type="dxa" w:w="38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PERMITTED</w:t>
            </w:r>
          </w:p>
        </w:tc>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page</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"This pattern warrants medical attention"</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"Based on the duration of the wellness measurements you have been tracking, it may be helpful to discuss these measurements with a licensed healthcare professional"</w:t>
              </w:r>
            </w:p>
          </w:tc>
        </w:tr>
      </w:tr>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page</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8B2E2E"/>
                  <w:sz w:val="20"/>
                  <w:szCs w:val="20"/>
                </w:rPr>
                <w:t xml:space="preserve">"This should be evaluated"</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E6B4A"/>
                  <w:sz w:val="20"/>
                  <w:szCs w:val="20"/>
                </w:rPr>
                <w:t xml:space="preserve">"It may be helpful to discuss these measurements"</w:t>
              </w:r>
            </w:p>
          </w:tc>
        </w:tr>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page</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"Seek care"</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"Speaking with a licensed healthcare professional may be helpful"</w:t>
              </w:r>
            </w:p>
          </w:tc>
        </w:tr>
      </w:tr>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page</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8B2E2E"/>
                  <w:sz w:val="20"/>
                  <w:szCs w:val="20"/>
                </w:rPr>
                <w:t xml:space="preserve">"This is concerning"</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E6B4A"/>
                  <w:sz w:val="20"/>
                  <w:szCs w:val="20"/>
                </w:rPr>
                <w:t xml:space="preserve">"This pattern has continued for 14 days"</w:t>
              </w:r>
            </w:p>
          </w:tc>
        </w:tr>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Redirect page</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"You need to address this"</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"Movement today can help redirect this signal"</w:t>
              </w:r>
            </w:p>
          </w:tc>
        </w:tr>
      </w:tr>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Redirect page</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8B2E2E"/>
                  <w:sz w:val="20"/>
                  <w:szCs w:val="20"/>
                </w:rPr>
                <w:t xml:space="preserve">"Required for your health"</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E6B4A"/>
                  <w:sz w:val="20"/>
                  <w:szCs w:val="20"/>
                </w:rPr>
                <w:t xml:space="preserve">"This action targets an upstream signal"</w:t>
              </w:r>
            </w:p>
          </w:tc>
        </w:tr>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Notifications</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"Your health needs attention"</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"Your Horizon signal has something new"</w:t>
              </w:r>
            </w:p>
          </w:tc>
        </w:tr>
      </w:tr>
    </w:tbl>
    <w:p>
      <w:pPr>
        <w:spacing w:after="160"/>
      </w:pPr>
      <w:r>
        <w:t xml:space="preserve"/>
      </w:r>
    </w:p>
    <w:p>
      <w:pPr>
        <w:pStyle w:val="Heading2"/>
        <w:spacing w:after="120" w:before="360"/>
      </w:pPr>
      <w:r>
        <w:rPr>
          <w:rFonts w:ascii="Arial" w:cs="Arial" w:eastAsia="Arial" w:hAnsi="Arial"/>
          <w:b/>
          <w:bCs/>
          <w:color w:val="0A0A0A"/>
          <w:sz w:val="28"/>
          <w:szCs w:val="28"/>
        </w:rPr>
        <w:t xml:space="preserve">3.3  Physician and Provider Framing</w:t>
      </w:r>
    </w:p>
    <w:p>
      <w:pPr>
        <w:spacing w:after="120"/>
      </w:pPr>
      <w:r>
        <w:rPr>
          <w:rFonts w:ascii="Arial" w:cs="Arial" w:eastAsia="Arial" w:hAnsi="Arial"/>
          <w:color w:val="0A0A0A"/>
          <w:sz w:val="22"/>
          <w:szCs w:val="22"/>
        </w:rPr>
        <w:t xml:space="preserve">The legal research specifically calls out 'your physician' as riskier than necessary because it implies individualized clinical judgment. The correct substitute everywhere in the app is 'a licensed healthcare professional.'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Context</w:t>
            </w:r>
          </w:p>
        </w:tc>
        <w:tc>
          <w:tcPr>
            <w:tcW w:type="dxa" w:w="36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PROHIBITED</w:t>
            </w:r>
          </w:p>
        </w:tc>
        <w:tc>
          <w:tcPr>
            <w:tcW w:type="dxa" w:w="38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PERMITTED</w:t>
            </w:r>
          </w:p>
        </w:tc>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prompt</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"worth a conversation with your physician"</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"may be helpful to discuss with a licensed healthcare professional"</w:t>
              </w:r>
            </w:p>
          </w:tc>
        </w:tr>
      </w:tr>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Doctor Report CTA</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8B2E2E"/>
                  <w:sz w:val="20"/>
                  <w:szCs w:val="20"/>
                </w:rPr>
                <w:t xml:space="preserve">"Send to your doctor"</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E6B4A"/>
                  <w:sz w:val="20"/>
                  <w:szCs w:val="20"/>
                </w:rPr>
                <w:t xml:space="preserve">"Share with a licensed healthcare professional"</w:t>
              </w:r>
            </w:p>
          </w:tc>
        </w:tr>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DPC gate copy</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"Recommended appointment"</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"Optional wellness consultation"</w:t>
              </w:r>
            </w:p>
          </w:tc>
        </w:tr>
      </w:tr>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DPC gate copy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8B2E2E"/>
                  <w:sz w:val="20"/>
                  <w:szCs w:val="20"/>
                </w:rPr>
                <w:t xml:space="preserve">"Necessary evaluation"</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E6B4A"/>
                  <w:sz w:val="20"/>
                  <w:szCs w:val="20"/>
                </w:rPr>
                <w:t xml:space="preserve">"A conversation may be helpful"</w:t>
              </w:r>
            </w:p>
          </w:tc>
        </w:tr>
      </w:tr>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DPC gate copy</w:t>
              </w:r>
            </w:p>
          </w:tc>
          <w:tc>
            <w:tcPr>
              <w:tcW w:type="dxa" w:w="36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8B2E2E"/>
                  <w:sz w:val="20"/>
                  <w:szCs w:val="20"/>
                </w:rPr>
                <w:t xml:space="preserve">"Because your pattern is concerning"</w:t>
              </w:r>
            </w:p>
          </w:tc>
          <w:tc>
            <w:tcPr>
              <w:tcW w:type="dxa" w:w="38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2E6B4A"/>
                  <w:sz w:val="20"/>
                  <w:szCs w:val="20"/>
                </w:rPr>
                <w:t xml:space="preserve">"Based on the duration of your tracked measurements"</w:t>
              </w:r>
            </w:p>
          </w:tc>
        </w:tr>
      </w:tr>
    </w:tbl>
    <w:p>
      <w:pPr>
        <w:spacing w:after="120"/>
      </w:pPr>
      <w:r>
        <w:t xml:space="preserve"/>
      </w:r>
    </w:p>
    <w:p>
      <w:pPr>
        <w:spacing w:after="120"/>
      </w:pPr>
      <w:r>
        <w:rPr>
          <w:rFonts w:ascii="Arial" w:cs="Arial" w:eastAsia="Arial" w:hAnsi="Arial"/>
          <w:color w:val="0A0A0A"/>
          <w:sz w:val="22"/>
          <w:szCs w:val="22"/>
        </w:rPr>
        <w:t xml:space="preserve">Additional constraint from New York law: do not use the word 'doctor' in a way that implies the app itself is a doctor-like service. N.Y. Gen. Bus. Law includes disclosure rules for advertising using the title 'doctor' to induce purchase of goods intended to diagnose or treat disease. Keep 'DoctorPromptCard' strictly internal — it must never render as a label, section header, or UI element visible to the user.</w:t>
      </w:r>
    </w:p>
    <w:p>
      <w:pPr>
        <w:spacing w:after="160"/>
      </w:pPr>
      <w:r>
        <w:t xml:space="preserve"/>
      </w:r>
    </w:p>
    <w:p>
      <w:pPr>
        <w:pStyle w:val="Heading2"/>
        <w:spacing w:after="120" w:before="360"/>
      </w:pPr>
      <w:r>
        <w:rPr>
          <w:rFonts w:ascii="Arial" w:cs="Arial" w:eastAsia="Arial" w:hAnsi="Arial"/>
          <w:b/>
          <w:bCs/>
          <w:color w:val="0A0A0A"/>
          <w:sz w:val="28"/>
          <w:szCs w:val="28"/>
        </w:rPr>
        <w:t xml:space="preserve">3.4  Diagnostic Framing in Trend and Domain Copy</w:t>
      </w:r>
    </w:p>
    <w:p>
      <w:pPr>
        <w:spacing w:after="120"/>
      </w:pPr>
      <w:r>
        <w:rPr>
          <w:rFonts w:ascii="Arial" w:cs="Arial" w:eastAsia="Arial" w:hAnsi="Arial"/>
          <w:color w:val="0A0A0A"/>
          <w:sz w:val="22"/>
          <w:szCs w:val="22"/>
        </w:rPr>
        <w:t xml:space="preserve">The prohibition on clinical language extends to the Today tab narrative, Trend tab synthesis, and Domains tab copy — not just the Horizon pages. These surfaces are lower-risk because they are observational and historical, but the Claude API system prompts that generate them must enforce the same copy rules.</w:t>
      </w:r>
    </w:p>
    <w:p>
      <w:pPr>
        <w:spacing w:after="120"/>
      </w:pPr>
      <w:r>
        <w:t xml:space="preserve"/>
      </w:r>
    </w:p>
    <w:p>
      <w:pPr>
        <w:pStyle w:val="ListParagraph"/>
        <w:numPr>
          <w:ilvl w:val="0"/>
          <w:numId w:val="2"/>
        </w:numPr>
        <w:spacing w:after="80"/>
      </w:pPr>
      <w:r>
        <w:rPr>
          <w:rFonts w:ascii="Arial" w:cs="Arial" w:eastAsia="Arial" w:hAnsi="Arial"/>
          <w:color w:val="0A0A0A"/>
          <w:sz w:val="21"/>
          <w:szCs w:val="21"/>
        </w:rPr>
        <w:t xml:space="preserve">Claude narrative prompts must include an explicit system instruction: 'Never name diseases, medical conditions, or clinical states. Observe measurements only.'</w:t>
      </w:r>
    </w:p>
    <w:p>
      <w:pPr>
        <w:pStyle w:val="ListParagraph"/>
        <w:numPr>
          <w:ilvl w:val="0"/>
          <w:numId w:val="2"/>
        </w:numPr>
        <w:spacing w:after="80"/>
      </w:pPr>
      <w:r>
        <w:rPr>
          <w:rFonts w:ascii="Arial" w:cs="Arial" w:eastAsia="Arial" w:hAnsi="Arial"/>
          <w:color w:val="0A0A0A"/>
          <w:sz w:val="21"/>
          <w:szCs w:val="21"/>
        </w:rPr>
        <w:t xml:space="preserve">Trend synthesis must not frame declining metrics as 'warning signs,' 'red flags,' or 'concerning patterns' — use duration and direction language instead.</w:t>
      </w:r>
    </w:p>
    <w:p>
      <w:pPr>
        <w:pStyle w:val="ListParagraph"/>
        <w:numPr>
          <w:ilvl w:val="0"/>
          <w:numId w:val="2"/>
        </w:numPr>
        <w:spacing w:after="80"/>
      </w:pPr>
      <w:r>
        <w:rPr>
          <w:rFonts w:ascii="Arial" w:cs="Arial" w:eastAsia="Arial" w:hAnsi="Arial"/>
          <w:color w:val="0A0A0A"/>
          <w:sz w:val="21"/>
          <w:szCs w:val="21"/>
        </w:rPr>
        <w:t xml:space="preserve">Domain tab role tags (DRIVER, BUFFER, ELEVATED, WATCH, STABLE) must not be changed to clinical equivalents.</w:t>
      </w:r>
    </w:p>
    <w:p>
      <w:r>
        <w:br w:type="page"/>
      </w:r>
    </w:p>
    <w:p>
      <w:pPr>
        <w:spacing w:after="80" w:before="320"/>
      </w:pPr>
      <w:r>
        <w:rPr>
          <w:rFonts w:ascii="Arial" w:cs="Arial" w:eastAsia="Arial" w:hAnsi="Arial"/>
          <w:b/>
          <w:bCs/>
          <w:color w:val="B8946A"/>
          <w:sz w:val="16"/>
          <w:szCs w:val="16"/>
        </w:rPr>
        <w:t xml:space="preserve">SECTION 4</w:t>
      </w:r>
    </w:p>
    <w:p>
      <w:pPr>
        <w:pStyle w:val="Heading1"/>
        <w:spacing w:after="160" w:before="480"/>
      </w:pPr>
      <w:r>
        <w:rPr>
          <w:rFonts w:ascii="Arial" w:cs="Arial" w:eastAsia="Arial" w:hAnsi="Arial"/>
          <w:b/>
          <w:bCs/>
          <w:color w:val="0A0A0A"/>
          <w:sz w:val="44"/>
          <w:szCs w:val="44"/>
        </w:rPr>
        <w:t xml:space="preserve">Required Copy Patterns</w:t>
      </w:r>
    </w:p>
    <w:p>
      <w:pPr>
        <w:spacing w:after="120"/>
      </w:pPr>
      <w:r>
        <w:rPr>
          <w:rFonts w:ascii="Arial" w:cs="Arial" w:eastAsia="Arial" w:hAnsi="Arial"/>
          <w:color w:val="0A0A0A"/>
          <w:sz w:val="22"/>
          <w:szCs w:val="22"/>
        </w:rPr>
        <w:t xml:space="preserve">The following copy patterns are required — they protect the product's general wellness status and must appear in the specified contexts without modification except where noted.</w:t>
      </w:r>
    </w:p>
    <w:p>
      <w:pPr>
        <w:spacing w:after="160"/>
      </w:pPr>
      <w:r>
        <w:t xml:space="preserve"/>
      </w:r>
    </w:p>
    <w:p>
      <w:pPr>
        <w:pStyle w:val="Heading2"/>
        <w:spacing w:after="120" w:before="360"/>
      </w:pPr>
      <w:r>
        <w:rPr>
          <w:rFonts w:ascii="Arial" w:cs="Arial" w:eastAsia="Arial" w:hAnsi="Arial"/>
          <w:b/>
          <w:bCs/>
          <w:color w:val="0A0A0A"/>
          <w:sz w:val="28"/>
          <w:szCs w:val="28"/>
        </w:rPr>
        <w:t xml:space="preserve">4.1  Escalate Page — Approved Full-Draft Copy</w:t>
      </w:r>
    </w:p>
    <w:p>
      <w:pPr>
        <w:spacing w:after="120"/>
      </w:pPr>
      <w:r>
        <w:rPr>
          <w:rFonts w:ascii="Arial" w:cs="Arial" w:eastAsia="Arial" w:hAnsi="Arial"/>
          <w:color w:val="0A0A0A"/>
          <w:sz w:val="22"/>
          <w:szCs w:val="22"/>
        </w:rPr>
        <w:t xml:space="preserve">The legal research provides a materially better-supported copy draft for the Escalate page. This replaces the existing copy. Deviations from this pattern require attorney review before shipping.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B4A" w:sz="6"/>
              <w:left w:val="single" w:color="2E6B4A" w:sz="6"/>
              <w:bottom w:val="single" w:color="CCCCCC" w:sz="1"/>
              <w:right w:val="single" w:color="CCCCCC" w:sz="1"/>
            </w:tcBorders>
            <w:shd w:fill="EDF4F0" w:val="clear"/>
            <w:tcMar>
              <w:top w:type="dxa" w:w="120"/>
              <w:left w:type="dxa" w:w="180"/>
              <w:bottom w:type="dxa" w:w="120"/>
              <w:right w:type="dxa" w:w="180"/>
            </w:tcMar>
          </w:tcPr>
          <w:p>
            <w:pPr>
              <w:spacing w:after="80"/>
            </w:pPr>
            <w:r>
              <w:rPr>
                <w:rFonts w:ascii="Arial" w:cs="Arial" w:eastAsia="Arial" w:hAnsi="Arial"/>
                <w:b/>
                <w:bCs/>
                <w:color w:val="2E6B4A"/>
                <w:sz w:val="20"/>
                <w:szCs w:val="20"/>
              </w:rPr>
              <w:t xml:space="preserve">Approved Escalate Page Copy Structure (Legal Research Sourced)</w:t>
            </w:r>
          </w:p>
          <w:p>
            <w:pPr>
              <w:spacing w:after="60"/>
            </w:pPr>
            <w:r>
              <w:rPr>
                <w:rFonts w:ascii="Arial" w:cs="Arial" w:eastAsia="Arial" w:hAnsi="Arial"/>
                <w:color w:val="0A0A0A"/>
                <w:sz w:val="20"/>
                <w:szCs w:val="20"/>
              </w:rPr>
              <w:t xml:space="preserve">Line 1 (Disclosure above card):</w:t>
            </w:r>
          </w:p>
          <w:p>
            <w:pPr>
              <w:spacing w:after="60"/>
            </w:pPr>
            <w:r>
              <w:rPr>
                <w:rFonts w:ascii="Arial" w:cs="Arial" w:eastAsia="Arial" w:hAnsi="Arial"/>
                <w:color w:val="0A0A0A"/>
                <w:sz w:val="20"/>
                <w:szCs w:val="20"/>
              </w:rPr>
              <w:t xml:space="preserve">"Chronos identifies changes in wellness measurements you choose to track. This screen does not diagnose, treat, or assess disease."</w:t>
            </w:r>
          </w:p>
          <w:p>
            <w:pPr>
              <w:spacing w:after="60"/>
            </w:pPr>
            <w:r>
              <w:rPr>
                <w:rFonts w:ascii="Arial" w:cs="Arial" w:eastAsia="Arial" w:hAnsi="Arial"/>
                <w:color w:val="0A0A0A"/>
                <w:sz w:val="20"/>
                <w:szCs w:val="20"/>
              </w:rPr>
              <w:t xml:space="preserve"/>
            </w:r>
          </w:p>
          <w:p>
            <w:pPr>
              <w:spacing w:after="60"/>
            </w:pPr>
            <w:r>
              <w:rPr>
                <w:rFonts w:ascii="Arial" w:cs="Arial" w:eastAsia="Arial" w:hAnsi="Arial"/>
                <w:color w:val="0A0A0A"/>
                <w:sz w:val="20"/>
                <w:szCs w:val="20"/>
              </w:rPr>
              <w:t xml:space="preserve">Line 2 (Main prompt):</w:t>
            </w:r>
          </w:p>
          <w:p>
            <w:pPr>
              <w:spacing w:after="60"/>
            </w:pPr>
            <w:r>
              <w:rPr>
                <w:rFonts w:ascii="Arial" w:cs="Arial" w:eastAsia="Arial" w:hAnsi="Arial"/>
                <w:color w:val="0A0A0A"/>
                <w:sz w:val="20"/>
                <w:szCs w:val="20"/>
              </w:rPr>
              <w:t xml:space="preserve">"This pattern has continued for [N] days. Based on the duration of the wellness measurements you have been tracking, it may be helpful to discuss these measurements with a licensed healthcare professional."</w:t>
            </w:r>
          </w:p>
          <w:p>
            <w:pPr>
              <w:spacing w:after="60"/>
            </w:pPr>
            <w:r>
              <w:rPr>
                <w:rFonts w:ascii="Arial" w:cs="Arial" w:eastAsia="Arial" w:hAnsi="Arial"/>
                <w:color w:val="0A0A0A"/>
                <w:sz w:val="20"/>
                <w:szCs w:val="20"/>
              </w:rPr>
              <w:t xml:space="preserve"/>
            </w:r>
          </w:p>
          <w:p>
            <w:pPr>
              <w:spacing w:after="60"/>
            </w:pPr>
            <w:r>
              <w:rPr>
                <w:rFonts w:ascii="Arial" w:cs="Arial" w:eastAsia="Arial" w:hAnsi="Arial"/>
                <w:color w:val="0A0A0A"/>
                <w:sz w:val="20"/>
                <w:szCs w:val="20"/>
              </w:rPr>
              <w:t xml:space="preserve">Line 3 (Below card clarifier):</w:t>
            </w:r>
          </w:p>
          <w:p>
            <w:pPr>
              <w:spacing w:after="60"/>
            </w:pPr>
            <w:r>
              <w:rPr>
                <w:rFonts w:ascii="Arial" w:cs="Arial" w:eastAsia="Arial" w:hAnsi="Arial"/>
                <w:color w:val="0A0A0A"/>
                <w:sz w:val="20"/>
                <w:szCs w:val="20"/>
              </w:rPr>
              <w:t xml:space="preserve">"This prompt is based on duration and trend information only. It is not a diagnosis, treatment recommendation, emergency instruction, or determination that medical care is necessary."</w:t>
            </w:r>
          </w:p>
        </w:tc>
      </w:tr>
    </w:tbl>
    <w:p>
      <w:pPr>
        <w:spacing w:after="120"/>
      </w:pPr>
      <w:r>
        <w:t xml:space="preserve"/>
      </w:r>
    </w:p>
    <w:p>
      <w:pPr>
        <w:spacing w:after="120"/>
      </w:pPr>
      <w:r>
        <w:rPr>
          <w:rFonts w:ascii="Arial" w:cs="Arial" w:eastAsia="Arial" w:hAnsi="Arial"/>
          <w:color w:val="0A0A0A"/>
          <w:sz w:val="22"/>
          <w:szCs w:val="22"/>
        </w:rPr>
        <w:t xml:space="preserve">Notes on this copy:</w:t>
      </w:r>
    </w:p>
    <w:p>
      <w:pPr>
        <w:pStyle w:val="ListParagraph"/>
        <w:numPr>
          <w:ilvl w:val="0"/>
          <w:numId w:val="2"/>
        </w:numPr>
        <w:spacing w:after="80"/>
      </w:pPr>
      <w:r>
        <w:rPr>
          <w:rFonts w:ascii="Arial" w:cs="Arial" w:eastAsia="Arial" w:hAnsi="Arial"/>
          <w:color w:val="0A0A0A"/>
          <w:sz w:val="21"/>
          <w:szCs w:val="21"/>
        </w:rPr>
        <w:t xml:space="preserve">'[N] days' is populated from daysInPattern in the pathway_classifications table — user-specific, not a generic number.</w:t>
      </w:r>
    </w:p>
    <w:p>
      <w:pPr>
        <w:pStyle w:val="ListParagraph"/>
        <w:numPr>
          <w:ilvl w:val="0"/>
          <w:numId w:val="2"/>
        </w:numPr>
        <w:spacing w:after="80"/>
      </w:pPr>
      <w:r>
        <w:rPr>
          <w:rFonts w:ascii="Arial" w:cs="Arial" w:eastAsia="Arial" w:hAnsi="Arial"/>
          <w:color w:val="0A0A0A"/>
          <w:sz w:val="21"/>
          <w:szCs w:val="21"/>
        </w:rPr>
        <w:t xml:space="preserve">'Wellness measurements you choose to track' anchors the prompt to user-controlled data, not system assessment.</w:t>
      </w:r>
    </w:p>
    <w:p>
      <w:pPr>
        <w:pStyle w:val="ListParagraph"/>
        <w:numPr>
          <w:ilvl w:val="0"/>
          <w:numId w:val="2"/>
        </w:numPr>
        <w:spacing w:after="80"/>
      </w:pPr>
      <w:r>
        <w:rPr>
          <w:rFonts w:ascii="Arial" w:cs="Arial" w:eastAsia="Arial" w:hAnsi="Arial"/>
          <w:color w:val="0A0A0A"/>
          <w:sz w:val="21"/>
          <w:szCs w:val="21"/>
        </w:rPr>
        <w:t xml:space="preserve">The three-line structure (disclosure / prompt / clarifier) is the architecture recommended by the research. A small disclaimer below a strong clinical-sounding card does not neutralize the card. The disclosure must come first.</w:t>
      </w:r>
    </w:p>
    <w:p>
      <w:pPr>
        <w:pStyle w:val="ListParagraph"/>
        <w:numPr>
          <w:ilvl w:val="0"/>
          <w:numId w:val="2"/>
        </w:numPr>
        <w:spacing w:after="80"/>
      </w:pPr>
      <w:r>
        <w:rPr>
          <w:rFonts w:ascii="Arial" w:cs="Arial" w:eastAsia="Arial" w:hAnsi="Arial"/>
          <w:color w:val="0A0A0A"/>
          <w:sz w:val="21"/>
          <w:szCs w:val="21"/>
        </w:rPr>
        <w:t xml:space="preserve">This copy is still subject to attorney review. Use it as the working draft, not the final approved text.</w:t>
      </w:r>
    </w:p>
    <w:p>
      <w:pPr>
        <w:spacing w:after="160"/>
      </w:pPr>
      <w:r>
        <w:t xml:space="preserve"/>
      </w:r>
    </w:p>
    <w:p>
      <w:pPr>
        <w:pStyle w:val="Heading2"/>
        <w:spacing w:after="120" w:before="360"/>
      </w:pPr>
      <w:r>
        <w:rPr>
          <w:rFonts w:ascii="Arial" w:cs="Arial" w:eastAsia="Arial" w:hAnsi="Arial"/>
          <w:b/>
          <w:bCs/>
          <w:color w:val="0A0A0A"/>
          <w:sz w:val="28"/>
          <w:szCs w:val="28"/>
        </w:rPr>
        <w:t xml:space="preserve">4.2  Redirect Page — Required Intervention Card Constraints</w:t>
      </w:r>
    </w:p>
    <w:p>
      <w:pPr>
        <w:spacing w:after="120"/>
      </w:pPr>
      <w:r>
        <w:rPr>
          <w:rFonts w:ascii="Arial" w:cs="Arial" w:eastAsia="Arial" w:hAnsi="Arial"/>
          <w:color w:val="0A0A0A"/>
          <w:sz w:val="22"/>
          <w:szCs w:val="22"/>
        </w:rPr>
        <w:t xml:space="preserve">The Redirect page (Page 5 in the new architecture) was flagged in the Phase 2 Design Session as carrying equivalent legal exposure to the Escalate page due to the specificity of time-anchored intervention instructions. Required constraints for all intervention card copy:</w:t>
      </w:r>
    </w:p>
    <w:p>
      <w:pPr>
        <w:spacing w:after="120"/>
      </w:pPr>
      <w:r>
        <w:t xml:space="preserve"/>
      </w:r>
    </w:p>
    <w:p>
      <w:pPr>
        <w:pStyle w:val="ListParagraph"/>
        <w:numPr>
          <w:ilvl w:val="0"/>
          <w:numId w:val="2"/>
        </w:numPr>
        <w:spacing w:after="80"/>
      </w:pPr>
      <w:r>
        <w:rPr>
          <w:rFonts w:ascii="Arial" w:cs="Arial" w:eastAsia="Arial" w:hAnsi="Arial"/>
          <w:color w:val="0A0A0A"/>
          <w:sz w:val="21"/>
          <w:szCs w:val="21"/>
        </w:rPr>
        <w:t xml:space="preserve">All intervention cards must carry the footnote: 'These actions target upstream signals, not symptoms. Consistency over intensity.'</w:t>
      </w:r>
    </w:p>
    <w:p>
      <w:pPr>
        <w:pStyle w:val="ListParagraph"/>
        <w:numPr>
          <w:ilvl w:val="0"/>
          <w:numId w:val="2"/>
        </w:numPr>
        <w:spacing w:after="80"/>
      </w:pPr>
      <w:r>
        <w:rPr>
          <w:rFonts w:ascii="Arial" w:cs="Arial" w:eastAsia="Arial" w:hAnsi="Arial"/>
          <w:color w:val="0A0A0A"/>
          <w:sz w:val="21"/>
          <w:szCs w:val="21"/>
        </w:rPr>
        <w:t xml:space="preserve">Time-anchored actions ('This morning: 10 minutes of slow breathing') are permitted if they reference the upstream node being targeted, not a symptom or condition being treated.</w:t>
      </w:r>
    </w:p>
    <w:p>
      <w:pPr>
        <w:pStyle w:val="ListParagraph"/>
        <w:numPr>
          <w:ilvl w:val="0"/>
          <w:numId w:val="2"/>
        </w:numPr>
        <w:spacing w:after="80"/>
      </w:pPr>
      <w:r>
        <w:rPr>
          <w:rFonts w:ascii="Arial" w:cs="Arial" w:eastAsia="Arial" w:hAnsi="Arial"/>
          <w:color w:val="0A0A0A"/>
          <w:sz w:val="21"/>
          <w:szCs w:val="21"/>
        </w:rPr>
        <w:t xml:space="preserve">The upstream node reference line ('Physical inactivity → Metabolic pathway') must be present on every card. This anchors the action to measurement context, not clinical management.</w:t>
      </w:r>
    </w:p>
    <w:p>
      <w:pPr>
        <w:pStyle w:val="ListParagraph"/>
        <w:numPr>
          <w:ilvl w:val="0"/>
          <w:numId w:val="2"/>
        </w:numPr>
        <w:spacing w:after="80"/>
      </w:pPr>
      <w:r>
        <w:rPr>
          <w:rFonts w:ascii="Arial" w:cs="Arial" w:eastAsia="Arial" w:hAnsi="Arial"/>
          <w:color w:val="0A0A0A"/>
          <w:sz w:val="21"/>
          <w:szCs w:val="21"/>
        </w:rPr>
        <w:t xml:space="preserve">The word 'treat,' 'therapy,' 'therapeutic,' or 'treatment' must not appear on the Redirect page under any circumstances.</w:t>
      </w:r>
    </w:p>
    <w:p>
      <w:pPr>
        <w:pStyle w:val="ListParagraph"/>
        <w:numPr>
          <w:ilvl w:val="0"/>
          <w:numId w:val="2"/>
        </w:numPr>
        <w:spacing w:after="80"/>
      </w:pPr>
      <w:r>
        <w:rPr>
          <w:rFonts w:ascii="Arial" w:cs="Arial" w:eastAsia="Arial" w:hAnsi="Arial"/>
          <w:color w:val="0A0A0A"/>
          <w:sz w:val="21"/>
          <w:szCs w:val="21"/>
        </w:rPr>
        <w:t xml:space="preserve">Intervention card copy must be sourced from the Protective Nodes documentation (Daily Exercise, Quality Sleep, Breathwork, etc.) — not invented by Claude at inference time. Claude selects from a curated, pre-approved set.</w:t>
      </w:r>
    </w:p>
    <w:p>
      <w:pPr>
        <w:spacing w:after="160"/>
      </w:pPr>
      <w:r>
        <w:t xml:space="preserve"/>
      </w:r>
    </w:p>
    <w:p>
      <w:pPr>
        <w:pStyle w:val="Heading2"/>
        <w:spacing w:after="120" w:before="360"/>
      </w:pPr>
      <w:r>
        <w:rPr>
          <w:rFonts w:ascii="Arial" w:cs="Arial" w:eastAsia="Arial" w:hAnsi="Arial"/>
          <w:b/>
          <w:bCs/>
          <w:color w:val="0A0A0A"/>
          <w:sz w:val="28"/>
          <w:szCs w:val="28"/>
        </w:rPr>
        <w:t xml:space="preserve">4.3  All Horizon Pages — Required Frame Sentence</w:t>
      </w:r>
    </w:p>
    <w:p>
      <w:pPr>
        <w:spacing w:after="120"/>
      </w:pPr>
      <w:r>
        <w:rPr>
          <w:rFonts w:ascii="Arial" w:cs="Arial" w:eastAsia="Arial" w:hAnsi="Arial"/>
          <w:color w:val="0A0A0A"/>
          <w:sz w:val="22"/>
          <w:szCs w:val="22"/>
        </w:rPr>
        <w:t xml:space="preserve">Every Horizon page that surfaces data derived from the Ontology Engine must include the following frame sentence, visible without scrolling, before any classification output is shown:</w:t>
      </w:r>
    </w:p>
    <w:p>
      <w:pPr>
        <w:spacing w:after="12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"Horizon identifies changes in wellness measurements you choose to track. It does not diagnose, treat, or assess disease."</w:t>
      </w:r>
    </w:p>
    <w:p>
      <w:pPr>
        <w:spacing w:after="120"/>
      </w:pPr>
      <w:r>
        <w:t xml:space="preserve"/>
      </w:r>
    </w:p>
    <w:p>
      <w:pPr>
        <w:spacing w:after="120"/>
      </w:pPr>
      <w:r>
        <w:rPr>
          <w:rFonts w:ascii="Arial" w:cs="Arial" w:eastAsia="Arial" w:hAnsi="Arial"/>
          <w:color w:val="0A0A0A"/>
          <w:sz w:val="22"/>
          <w:szCs w:val="22"/>
        </w:rPr>
        <w:t xml:space="preserve">This sentence must appear:</w:t>
      </w:r>
    </w:p>
    <w:p>
      <w:pPr>
        <w:pStyle w:val="ListParagraph"/>
        <w:numPr>
          <w:ilvl w:val="0"/>
          <w:numId w:val="2"/>
        </w:numPr>
        <w:spacing w:after="80"/>
      </w:pPr>
      <w:r>
        <w:rPr>
          <w:rFonts w:ascii="Arial" w:cs="Arial" w:eastAsia="Arial" w:hAnsi="Arial"/>
          <w:color w:val="0A0A0A"/>
          <w:sz w:val="21"/>
          <w:szCs w:val="21"/>
        </w:rPr>
        <w:t xml:space="preserve">On Page 4 (Trajectory) — above the conditionClass consumer label.</w:t>
      </w:r>
    </w:p>
    <w:p>
      <w:pPr>
        <w:pStyle w:val="ListParagraph"/>
        <w:numPr>
          <w:ilvl w:val="0"/>
          <w:numId w:val="2"/>
        </w:numPr>
        <w:spacing w:after="80"/>
      </w:pPr>
      <w:r>
        <w:rPr>
          <w:rFonts w:ascii="Arial" w:cs="Arial" w:eastAsia="Arial" w:hAnsi="Arial"/>
          <w:color w:val="0A0A0A"/>
          <w:sz w:val="21"/>
          <w:szCs w:val="21"/>
        </w:rPr>
        <w:t xml:space="preserve">On Page 5 (Redirect) — as the footnote already specified.</w:t>
      </w:r>
    </w:p>
    <w:p>
      <w:pPr>
        <w:pStyle w:val="ListParagraph"/>
        <w:numPr>
          <w:ilvl w:val="0"/>
          <w:numId w:val="2"/>
        </w:numPr>
        <w:spacing w:after="80"/>
      </w:pPr>
      <w:r>
        <w:rPr>
          <w:rFonts w:ascii="Arial" w:cs="Arial" w:eastAsia="Arial" w:hAnsi="Arial"/>
          <w:color w:val="0A0A0A"/>
          <w:sz w:val="21"/>
          <w:szCs w:val="21"/>
        </w:rPr>
        <w:t xml:space="preserve">On Page 6 (Escalate) — as Line 1 of the three-line copy structure (Section 4.1).</w:t>
      </w:r>
    </w:p>
    <w:p>
      <w:pPr>
        <w:pStyle w:val="ListParagraph"/>
        <w:numPr>
          <w:ilvl w:val="0"/>
          <w:numId w:val="2"/>
        </w:numPr>
        <w:spacing w:after="80"/>
      </w:pPr>
      <w:r>
        <w:rPr>
          <w:rFonts w:ascii="Arial" w:cs="Arial" w:eastAsia="Arial" w:hAnsi="Arial"/>
          <w:color w:val="0A0A0A"/>
          <w:sz w:val="21"/>
          <w:szCs w:val="21"/>
        </w:rPr>
        <w:t xml:space="preserve">It is not required on Pages 1–3 (Signal, Momentum, Foundations), which do not surface classification outputs.</w:t>
      </w:r>
    </w:p>
    <w:p>
      <w:pPr>
        <w:spacing w:after="160"/>
      </w:pPr>
      <w:r>
        <w:t xml:space="preserve"/>
      </w:r>
    </w:p>
    <w:p>
      <w:pPr>
        <w:pStyle w:val="Heading2"/>
        <w:spacing w:after="120" w:before="360"/>
      </w:pPr>
      <w:r>
        <w:rPr>
          <w:rFonts w:ascii="Arial" w:cs="Arial" w:eastAsia="Arial" w:hAnsi="Arial"/>
          <w:b/>
          <w:bCs/>
          <w:color w:val="0A0A0A"/>
          <w:sz w:val="28"/>
          <w:szCs w:val="28"/>
        </w:rPr>
        <w:t xml:space="preserve">4.4  Doctor Report PDF — Required Cover Language</w:t>
      </w:r>
    </w:p>
    <w:p>
      <w:pPr>
        <w:spacing w:after="120"/>
      </w:pPr>
      <w:r>
        <w:rPr>
          <w:rFonts w:ascii="Arial" w:cs="Arial" w:eastAsia="Arial" w:hAnsi="Arial"/>
          <w:color w:val="0A0A0A"/>
          <w:sz w:val="22"/>
          <w:szCs w:val="22"/>
        </w:rPr>
        <w:t xml:space="preserve">The Doctor Report PDF export must include the following disclaimer on the cover page before any data is shown. This language should not be in small print — it should be the first substantive text the reader sees.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46A" w:sz="6"/>
              <w:left w:val="single" w:color="B8946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B8946A"/>
                <w:sz w:val="20"/>
                <w:szCs w:val="20"/>
              </w:rPr>
              <w:t xml:space="preserve">Required Doctor Report Cover Disclaimer</w:t>
            </w:r>
          </w:p>
          <w:p>
            <w:pPr>
              <w:spacing w:after="60"/>
            </w:pPr>
            <w:r>
              <w:rPr>
                <w:rFonts w:ascii="Arial" w:cs="Arial" w:eastAsia="Arial" w:hAnsi="Arial"/>
                <w:color w:val="0A0A0A"/>
                <w:sz w:val="20"/>
                <w:szCs w:val="20"/>
              </w:rPr>
              <w:t xml:space="preserve">"This export is consumer-generated wellness information based on measurements tracked by the user through the Chronos app.</w:t>
            </w:r>
          </w:p>
          <w:p>
            <w:pPr>
              <w:spacing w:after="60"/>
            </w:pPr>
            <w:r>
              <w:rPr>
                <w:rFonts w:ascii="Arial" w:cs="Arial" w:eastAsia="Arial" w:hAnsi="Arial"/>
                <w:color w:val="0A0A0A"/>
                <w:sz w:val="20"/>
                <w:szCs w:val="20"/>
              </w:rPr>
              <w:t xml:space="preserve">It is not validated clinical instrumentation, a medical record, or a clinical assessment.</w:t>
            </w:r>
          </w:p>
          <w:p>
            <w:pPr>
              <w:spacing w:after="60"/>
            </w:pPr>
            <w:r>
              <w:rPr>
                <w:rFonts w:ascii="Arial" w:cs="Arial" w:eastAsia="Arial" w:hAnsi="Arial"/>
                <w:color w:val="0A0A0A"/>
                <w:sz w:val="20"/>
                <w:szCs w:val="20"/>
              </w:rPr>
              <w:t xml:space="preserve">It should be reviewed in context with other clinical information if considered by a licensed healthcare professional.</w:t>
            </w:r>
          </w:p>
          <w:p>
            <w:pPr>
              <w:spacing w:after="60"/>
            </w:pPr>
            <w:r>
              <w:rPr>
                <w:rFonts w:ascii="Arial" w:cs="Arial" w:eastAsia="Arial" w:hAnsi="Arial"/>
                <w:color w:val="0A0A0A"/>
                <w:sz w:val="20"/>
                <w:szCs w:val="20"/>
              </w:rPr>
              <w:t xml:space="preserve">It is not a diagnosis, treatment recommendation, or determination that medical care is necessary."</w:t>
            </w:r>
          </w:p>
        </w:tc>
      </w:tr>
    </w:tbl>
    <w:p>
      <w:pPr>
        <w:spacing w:after="120"/>
      </w:pPr>
      <w:r>
        <w:t xml:space="preserve"/>
      </w:r>
    </w:p>
    <w:p>
      <w:pPr>
        <w:spacing w:after="120"/>
      </w:pPr>
      <w:r>
        <w:rPr>
          <w:rFonts w:ascii="Arial" w:cs="Arial" w:eastAsia="Arial" w:hAnsi="Arial"/>
          <w:color w:val="0A0A0A"/>
          <w:sz w:val="22"/>
          <w:szCs w:val="22"/>
        </w:rPr>
        <w:t xml:space="preserve">Legal note from research: calling it a 'wellness tracking summary' is helpful and accurate, but the title alone does not prevent the file from becoming part of a provider-side record if the provider imports, stores, or relies on it in care. The disclaimer is a classification aid, not a shield. The stronger architectural control is to keep the product consumer-directed — the user generates and controls the export, not Chronos.</w:t>
      </w:r>
    </w:p>
    <w:p>
      <w:r>
        <w:br w:type="page"/>
      </w:r>
    </w:p>
    <w:p>
      <w:pPr>
        <w:spacing w:after="80" w:before="320"/>
      </w:pPr>
      <w:r>
        <w:rPr>
          <w:rFonts w:ascii="Arial" w:cs="Arial" w:eastAsia="Arial" w:hAnsi="Arial"/>
          <w:b/>
          <w:bCs/>
          <w:color w:val="B8946A"/>
          <w:sz w:val="16"/>
          <w:szCs w:val="16"/>
        </w:rPr>
        <w:t xml:space="preserve">SECTION 5</w:t>
      </w:r>
    </w:p>
    <w:p>
      <w:pPr>
        <w:pStyle w:val="Heading1"/>
        <w:spacing w:after="160" w:before="480"/>
      </w:pPr>
      <w:r>
        <w:rPr>
          <w:rFonts w:ascii="Arial" w:cs="Arial" w:eastAsia="Arial" w:hAnsi="Arial"/>
          <w:b/>
          <w:bCs/>
          <w:color w:val="0A0A0A"/>
          <w:sz w:val="44"/>
          <w:szCs w:val="44"/>
        </w:rPr>
        <w:t xml:space="preserve">Internal Document &amp; Naming Hygiene</w:t>
      </w:r>
    </w:p>
    <w:p>
      <w:pPr>
        <w:spacing w:after="120"/>
      </w:pPr>
      <w:r>
        <w:rPr>
          <w:rFonts w:ascii="Arial" w:cs="Arial" w:eastAsia="Arial" w:hAnsi="Arial"/>
          <w:color w:val="0A0A0A"/>
          <w:sz w:val="22"/>
          <w:szCs w:val="22"/>
        </w:rPr>
        <w:t xml:space="preserve">The legal research explicitly states that internal identifiers, product requirements documents, validation protocols, and investor descriptions of features can constitute evidence of FDA device intended use — even when consumer-facing copy is clean. This section governs how the product team names things internally.</w:t>
      </w:r>
    </w:p>
    <w:p>
      <w:pPr>
        <w:spacing w:after="160"/>
      </w:pPr>
      <w:r>
        <w:t xml:space="preserve"/>
      </w:r>
    </w:p>
    <w:p>
      <w:pPr>
        <w:pBdr>
          <w:left w:val="single" w:color="8B2E2E" w:sz="8" w:space="6"/>
        </w:pBdr>
        <w:spacing w:after="80" w:before="80"/>
        <w:ind w:left="720"/>
      </w:pPr>
      <w:r>
        <w:rPr>
          <w:rFonts w:ascii="Arial" w:cs="Arial" w:eastAsia="Arial" w:hAnsi="Arial"/>
          <w:i/>
          <w:iCs/>
          <w:color w:val="444444"/>
          <w:sz w:val="20"/>
          <w:szCs w:val="20"/>
        </w:rPr>
        <w:t xml:space="preserve">FDA's intended-use framework looks at the manufacturer's objective intent, which can be shown by labeling, advertising, user interface, functionality, and the surrounding circumstances of distribution. Internal documents are discoverable.</w:t>
      </w:r>
    </w:p>
    <w:p>
      <w:pPr>
        <w:spacing w:after="160"/>
      </w:pPr>
      <w:r>
        <w:t xml:space="preserve"/>
      </w:r>
    </w:p>
    <w:p>
      <w:pPr>
        <w:pStyle w:val="Heading2"/>
        <w:spacing w:after="120" w:before="360"/>
      </w:pPr>
      <w:r>
        <w:rPr>
          <w:rFonts w:ascii="Arial" w:cs="Arial" w:eastAsia="Arial" w:hAnsi="Arial"/>
          <w:b/>
          <w:bCs/>
          <w:color w:val="0A0A0A"/>
          <w:sz w:val="28"/>
          <w:szCs w:val="28"/>
        </w:rPr>
        <w:t xml:space="preserve">5.1  Data Model Naming Rules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Element</w:t>
            </w:r>
          </w:p>
        </w:tc>
        <w:tc>
          <w:tcPr>
            <w:tcW w:type="dxa" w:w="34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Current / Proposed Name</w:t>
            </w:r>
          </w:p>
        </w:tc>
        <w:tc>
          <w:tcPr>
            <w:tcW w:type="dxa" w:w="40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Supabase table</w:t>
            </w:r>
          </w:p>
        </w:tc>
        <w:tc>
          <w:tcPr>
            <w:tcW w:type="dxa" w:w="3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pathway_classifications</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Acceptable — describes function without disease reference.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Column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conditionClass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Internal use acceptable. Must NEVER render to user UI. Monitor in code reviews.</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conditionClass values</w:t>
            </w:r>
          </w:p>
        </w:tc>
        <w:tc>
          <w:tcPr>
            <w:tcW w:type="dxa" w:w="3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autonomic_stress_load, sleep_architecture_disruption, etc.</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Acceptable internally. These must map to consumer labels before any user-facing output. Raw values must never appear in UI, notifications, exports, or analytics dashboards visible to users.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Swift component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DoctorPromptCard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Acceptable as internal code name. Must never render as a UI label, section header, or accessible element name visible to users or exposed via accessibility APIs.</w:t>
            </w:r>
          </w:p>
        </w:tc>
      </w:tr>
      <w:tr>
        <w:tc>
          <w:tcPr>
            <w:tcW w:type="dxa" w:w="1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Function name</w:t>
            </w:r>
          </w:p>
        </w:tc>
        <w:tc>
          <w:tcPr>
            <w:tcW w:type="dxa" w:w="3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narrate-horizon-escalate</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Acceptable internally. Do not name functions after disease states: 'detect-diabetes-risk' or similar would be a problem.</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5.2  Document Language Rules</w:t>
      </w:r>
    </w:p>
    <w:p>
      <w:pPr>
        <w:spacing w:after="120"/>
      </w:pPr>
      <w:r>
        <w:rPr>
          <w:rFonts w:ascii="Arial" w:cs="Arial" w:eastAsia="Arial" w:hAnsi="Arial"/>
          <w:color w:val="0A0A0A"/>
          <w:sz w:val="22"/>
          <w:szCs w:val="22"/>
        </w:rPr>
        <w:t xml:space="preserve">The following rules apply to all internal product documents including build handoffs, sprint handoffs, design sessions, PRDs, and strategy documents. These documents are part of the MBI project knowledge base and may be reviewed by counsel, investors, or regulators.</w:t>
      </w:r>
    </w:p>
    <w:p>
      <w:pPr>
        <w:spacing w:after="120"/>
      </w:pPr>
      <w:r>
        <w:t xml:space="preserve"/>
      </w:r>
    </w:p>
    <w:p>
      <w:pPr>
        <w:pStyle w:val="ListParagraph"/>
        <w:numPr>
          <w:ilvl w:val="0"/>
          <w:numId w:val="2"/>
        </w:numPr>
        <w:spacing w:after="80"/>
      </w:pPr>
      <w:r>
        <w:rPr>
          <w:rFonts w:ascii="Arial" w:cs="Arial" w:eastAsia="Arial" w:hAnsi="Arial"/>
          <w:color w:val="0A0A0A"/>
          <w:sz w:val="21"/>
          <w:szCs w:val="21"/>
        </w:rPr>
        <w:t xml:space="preserve">Do not describe the Ontology Engine as 'detecting' or 'predicting' diseases. Use 'classifying patterns in wellness measurements' or 'identifying pathway states.'</w:t>
      </w:r>
    </w:p>
    <w:p>
      <w:pPr>
        <w:pStyle w:val="ListParagraph"/>
        <w:numPr>
          <w:ilvl w:val="0"/>
          <w:numId w:val="2"/>
        </w:numPr>
        <w:spacing w:after="80"/>
      </w:pPr>
      <w:r>
        <w:rPr>
          <w:rFonts w:ascii="Arial" w:cs="Arial" w:eastAsia="Arial" w:hAnsi="Arial"/>
          <w:color w:val="0A0A0A"/>
          <w:sz w:val="21"/>
          <w:szCs w:val="21"/>
        </w:rPr>
        <w:t xml:space="preserve">Do not describe the Escalate page as 'referring' users to physicians. Use 'surfacing a prompt that speaking with a licensed healthcare professional may be helpful.'</w:t>
      </w:r>
    </w:p>
    <w:p>
      <w:pPr>
        <w:pStyle w:val="ListParagraph"/>
        <w:numPr>
          <w:ilvl w:val="0"/>
          <w:numId w:val="2"/>
        </w:numPr>
        <w:spacing w:after="80"/>
      </w:pPr>
      <w:r>
        <w:rPr>
          <w:rFonts w:ascii="Arial" w:cs="Arial" w:eastAsia="Arial" w:hAnsi="Arial"/>
          <w:color w:val="0A0A0A"/>
          <w:sz w:val="21"/>
          <w:szCs w:val="21"/>
        </w:rPr>
        <w:t xml:space="preserve">Do not describe the conditionClass system as a 'disease classification.' Use 'pathway classification' or 'pattern state assignment.'</w:t>
      </w:r>
    </w:p>
    <w:p>
      <w:pPr>
        <w:pStyle w:val="ListParagraph"/>
        <w:numPr>
          <w:ilvl w:val="0"/>
          <w:numId w:val="2"/>
        </w:numPr>
        <w:spacing w:after="80"/>
      </w:pPr>
      <w:r>
        <w:rPr>
          <w:rFonts w:ascii="Arial" w:cs="Arial" w:eastAsia="Arial" w:hAnsi="Arial"/>
          <w:color w:val="0A0A0A"/>
          <w:sz w:val="21"/>
          <w:szCs w:val="21"/>
        </w:rPr>
        <w:t xml:space="preserve">Do not use phrases like 'early detection,' 'risk identification,' or 'disease prediction' in any document that describes a user-facing feature. These phrases are appropriate for internal research context only and must not appear in product, business, or investor documents describing features that have reached or are approaching external users.</w:t>
      </w:r>
    </w:p>
    <w:p>
      <w:pPr>
        <w:pStyle w:val="ListParagraph"/>
        <w:numPr>
          <w:ilvl w:val="0"/>
          <w:numId w:val="2"/>
        </w:numPr>
        <w:spacing w:after="80"/>
      </w:pPr>
      <w:r>
        <w:rPr>
          <w:rFonts w:ascii="Arial" w:cs="Arial" w:eastAsia="Arial" w:hAnsi="Arial"/>
          <w:color w:val="0A0A0A"/>
          <w:sz w:val="21"/>
          <w:szCs w:val="21"/>
        </w:rPr>
        <w:t xml:space="preserve">Investor decks and pitch materials that describe user-facing features are governed by the same rules. A business deck that describes Chronos as 'detecting early markers of Type 2 Diabetes' can be used as FDA intended-use evidence.</w:t>
      </w:r>
    </w:p>
    <w:p>
      <w:pPr>
        <w:spacing w:after="160"/>
      </w:pPr>
      <w:r>
        <w:t xml:space="preserve"/>
      </w:r>
    </w:p>
    <w:p>
      <w:pPr>
        <w:pStyle w:val="Heading2"/>
        <w:spacing w:after="120" w:before="360"/>
      </w:pPr>
      <w:r>
        <w:rPr>
          <w:rFonts w:ascii="Arial" w:cs="Arial" w:eastAsia="Arial" w:hAnsi="Arial"/>
          <w:b/>
          <w:bCs/>
          <w:color w:val="0A0A0A"/>
          <w:sz w:val="28"/>
          <w:szCs w:val="28"/>
        </w:rPr>
        <w:t xml:space="preserve">5.3  The Four Open Questions for Counsel</w:t>
      </w:r>
    </w:p>
    <w:p>
      <w:pPr>
        <w:spacing w:after="120"/>
      </w:pPr>
      <w:r>
        <w:rPr>
          <w:rFonts w:ascii="Arial" w:cs="Arial" w:eastAsia="Arial" w:hAnsi="Arial"/>
          <w:color w:val="0A0A0A"/>
          <w:sz w:val="22"/>
          <w:szCs w:val="22"/>
        </w:rPr>
        <w:t xml:space="preserve">The legal research explicitly identifies four open questions that must be resolved by qualified attorney review before the relevant features reach external users. These are not product decisions — they are legal determinations.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Open Question</w:t>
            </w:r>
          </w:p>
        </w:tc>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Relevant Features</w:t>
            </w:r>
          </w:p>
        </w:tc>
        <w:tc>
          <w:tcPr>
            <w:tcW w:type="dxa" w:w="37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Gate Condition</w:t>
            </w:r>
          </w:p>
        </w:tc>
      </w:tr>
      <w:tr>
        <w:tc>
          <w:tcPr>
            <w:tcW w:type="dxa" w:w="3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Whether internal disease-linked taxonomy, validation protocols, or clinician-facing docs could be used as evidence of device intended use.</w:t>
            </w:r>
          </w:p>
        </w:tc>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Ontology Engine, conditionClass system, all Phase 2 features</w:t>
            </w:r>
          </w:p>
        </w:tc>
        <w:tc>
          <w:tcPr>
            <w:tcW w:type="dxa" w:w="37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all internal documentation before any Ontology Engine output reaches external users.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Whether MBI's DPC model or future provider-facing integration makes Chronos a business associate under HIPAA.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Phase 3 DPC bridge, provider data sharing, Doctor Report PDF</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Attorney HIPAA analysis required before any provider-directed data flow is built or launched.</w:t>
            </w:r>
          </w:p>
        </w:tc>
      </w:tr>
      <w:tr>
        <w:tc>
          <w:tcPr>
            <w:tcW w:type="dxa" w:w="3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Whether economics tied to booking, routing, or downstream DPC enrollment raise anti-kickback or fee-splitting issues.</w:t>
            </w:r>
          </w:p>
        </w:tc>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DPC scheduling, provider directory, any compensated referral path</w:t>
            </w:r>
          </w:p>
        </w:tc>
        <w:tc>
          <w:tcPr>
            <w:tcW w:type="dxa" w:w="37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all commercial arrangements tied to provider routing before Phase 3 DPC features are built.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Whether state-specific professional-board guidance in launch states beyond CA, NY, TX imposes additional telehealth, advertising, or records rules.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All user-facing features, notifications, Doctor Report</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State-specific review required for each new launch state before expansion beyond initial three.</w:t>
            </w:r>
          </w:p>
        </w:tc>
      </w:tr>
    </w:tbl>
    <w:p>
      <w:r>
        <w:br w:type="page"/>
      </w:r>
    </w:p>
    <w:p>
      <w:pPr>
        <w:spacing w:after="80" w:before="320"/>
      </w:pPr>
      <w:r>
        <w:rPr>
          <w:rFonts w:ascii="Arial" w:cs="Arial" w:eastAsia="Arial" w:hAnsi="Arial"/>
          <w:b/>
          <w:bCs/>
          <w:color w:val="B8946A"/>
          <w:sz w:val="16"/>
          <w:szCs w:val="16"/>
        </w:rPr>
        <w:t xml:space="preserve">SECTION 6</w:t>
      </w:r>
    </w:p>
    <w:p>
      <w:pPr>
        <w:pStyle w:val="Heading1"/>
        <w:spacing w:after="160" w:before="480"/>
      </w:pPr>
      <w:r>
        <w:rPr>
          <w:rFonts w:ascii="Arial" w:cs="Arial" w:eastAsia="Arial" w:hAnsi="Arial"/>
          <w:b/>
          <w:bCs/>
          <w:color w:val="0A0A0A"/>
          <w:sz w:val="44"/>
          <w:szCs w:val="44"/>
        </w:rPr>
        <w:t xml:space="preserve">Legal Phase Gate Requirements</w:t>
      </w:r>
    </w:p>
    <w:p>
      <w:pPr>
        <w:spacing w:after="120"/>
      </w:pPr>
      <w:r>
        <w:rPr>
          <w:rFonts w:ascii="Arial" w:cs="Arial" w:eastAsia="Arial" w:hAnsi="Arial"/>
          <w:color w:val="0A0A0A"/>
          <w:sz w:val="22"/>
          <w:szCs w:val="22"/>
        </w:rPr>
        <w:t xml:space="preserve">The following legal review items are hard gates — features do not ship to external users until each item is cleared. This is not a recommendation. These are binding product constraints derived from the regulatory risk analysis.</w:t>
      </w:r>
    </w:p>
    <w:p>
      <w:pPr>
        <w:spacing w:after="160"/>
      </w:pPr>
      <w:r>
        <w:t xml:space="preserve"/>
      </w:r>
    </w:p>
    <w:p>
      <w:pPr>
        <w:pStyle w:val="Heading2"/>
        <w:spacing w:after="120" w:before="360"/>
      </w:pPr>
      <w:r>
        <w:rPr>
          <w:rFonts w:ascii="Arial" w:cs="Arial" w:eastAsia="Arial" w:hAnsi="Arial"/>
          <w:b/>
          <w:bCs/>
          <w:color w:val="0A0A0A"/>
          <w:sz w:val="28"/>
          <w:szCs w:val="28"/>
        </w:rPr>
        <w:t xml:space="preserve">6.1  Phase 2 Pre-Launch Gates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 Gated</w:t>
            </w:r>
          </w:p>
        </w:tc>
        <w:tc>
          <w:tcPr>
            <w:tcW w:type="dxa" w:w="39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Who Clears It</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Horizon Redirect page (Page 5) intervention copy reviewed against wellness-only constraint.</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Phase 2 Horizon build</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all intervention card copy and footnote language.</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Trajectory page (Page 4) conditionClass consumer label set reviewed against FDA intended-use guidance.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Phase 2 Horizon build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all six consumer labels (Section 2.3 of Design Session).</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Escalate page (Page 6) full copy reviewed and attorney-approved three-line copy structure confirmed.</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Phase 2 Horizon build</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Legal review in progress. Must close before first external user sees Page 6.</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Doctor Report PDF cover disclaimer reviewed and approved.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Doctor Report export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cover language before any export is made available.</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Privacy Policy updated to disclose Terra third-party health data routing.</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Terra integration</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Privacy counsel review. Update must be live before first Terra-connected user.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FTC Health Breach Notification Rule compliance confirmed.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All external user distribution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Attorney confirmation that current data handling meets FTC rule requirements.</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Claude API system prompts reviewed for copy constraint compliance.</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All Claude narrative features</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Internal review against Section 3 of this document. Spot-check of generated outputs before external launch.</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6.2  Phase 3 Pre-Launch Gates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 Gated</w:t>
            </w:r>
          </w:p>
        </w:tc>
        <w:tc>
          <w:tcPr>
            <w:tcW w:type="dxa" w:w="39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Who Clears It</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Full HIPAA business associate analysis completed before any provider-directed data flow.</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DPC bridge, provider data sharing, provider portal</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Privacy counsel with HIPAA expertise.</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Anti-kickback and fee-splitting review for any compensated provider routing.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DPC scheduling, provider directory, any referral economics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Healthcare regulatory attorney.</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State-specific telehealth consent and advertising rules reviewed for all launch states.</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DPC scheduling, provider routing</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State-by-state counsel review for each new launch state.</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Lab integration data handling reviewed against FDA SaMD guidance for clinical-grade biomarker data.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Function Health, Everlywell integration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Regulatory counsel with FDA SaMD expertise.</w:t>
            </w:r>
          </w:p>
        </w:tc>
      </w:tr>
      <w:tr>
        <w:tc>
          <w:tcPr>
            <w:tcW w:type="dxa" w:w="3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Ontology Engine v2 adaptive threshold system reviewed if user feedback data is used in threshold adjustment.</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Ontology Engine v2</w:t>
            </w:r>
          </w:p>
        </w:tc>
        <w:tc>
          <w:tcPr>
            <w:tcW w:type="dxa" w:w="3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Attorney review of whether personalized threshold adjustment constitutes device-level adaptation.</w:t>
            </w:r>
          </w:p>
        </w:tc>
      </w:tr>
    </w:tbl>
    <w:p>
      <w:r>
        <w:br w:type="page"/>
      </w:r>
    </w:p>
    <w:p>
      <w:pPr>
        <w:spacing w:after="80" w:before="320"/>
      </w:pPr>
      <w:r>
        <w:rPr>
          <w:rFonts w:ascii="Arial" w:cs="Arial" w:eastAsia="Arial" w:hAnsi="Arial"/>
          <w:b/>
          <w:bCs/>
          <w:color w:val="B8946A"/>
          <w:sz w:val="16"/>
          <w:szCs w:val="16"/>
        </w:rPr>
        <w:t xml:space="preserve">SECTION 7</w:t>
      </w:r>
    </w:p>
    <w:p>
      <w:pPr>
        <w:pStyle w:val="Heading1"/>
        <w:spacing w:after="160" w:before="480"/>
      </w:pPr>
      <w:r>
        <w:rPr>
          <w:rFonts w:ascii="Arial" w:cs="Arial" w:eastAsia="Arial" w:hAnsi="Arial"/>
          <w:b/>
          <w:bCs/>
          <w:color w:val="0A0A0A"/>
          <w:sz w:val="44"/>
          <w:szCs w:val="44"/>
        </w:rPr>
        <w:t xml:space="preserve">Claude API System Prompt Requirements</w:t>
      </w:r>
    </w:p>
    <w:p>
      <w:pPr>
        <w:spacing w:after="120"/>
      </w:pPr>
      <w:r>
        <w:rPr>
          <w:rFonts w:ascii="Arial" w:cs="Arial" w:eastAsia="Arial" w:hAnsi="Arial"/>
          <w:color w:val="0A0A0A"/>
          <w:sz w:val="22"/>
          <w:szCs w:val="22"/>
        </w:rPr>
        <w:t xml:space="preserve">Every Claude API call that generates user-facing text must include the constraints below in the system prompt. These are not optional. They are the enforcement mechanism for all copy rules in Section 3.</w:t>
      </w:r>
    </w:p>
    <w:p>
      <w:pPr>
        <w:spacing w:after="160"/>
      </w:pPr>
      <w:r>
        <w:t xml:space="preserve"/>
      </w:r>
    </w:p>
    <w:p>
      <w:pPr>
        <w:pStyle w:val="Heading2"/>
        <w:spacing w:after="120" w:before="360"/>
      </w:pPr>
      <w:r>
        <w:rPr>
          <w:rFonts w:ascii="Arial" w:cs="Arial" w:eastAsia="Arial" w:hAnsi="Arial"/>
          <w:b/>
          <w:bCs/>
          <w:color w:val="0A0A0A"/>
          <w:sz w:val="28"/>
          <w:szCs w:val="28"/>
        </w:rPr>
        <w:t xml:space="preserve">7.1  Universal Constraints — All Narrative Calls</w:t>
      </w:r>
    </w:p>
    <w:p>
      <w:pPr>
        <w:spacing w:after="120"/>
      </w:pPr>
      <w:r>
        <w:rPr>
          <w:rFonts w:ascii="Arial" w:cs="Arial" w:eastAsia="Arial" w:hAnsi="Arial"/>
          <w:color w:val="0A0A0A"/>
          <w:sz w:val="22"/>
          <w:szCs w:val="22"/>
        </w:rPr>
        <w:t xml:space="preserve">Include in every Claude API system prompt that generates any user-visible text: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46A" w:sz="6"/>
              <w:left w:val="single" w:color="B8946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B8946A"/>
                <w:sz w:val="20"/>
                <w:szCs w:val="20"/>
              </w:rPr>
              <w:t xml:space="preserve">Required System Prompt Block — All Narrative Calls</w:t>
            </w:r>
          </w:p>
          <w:p>
            <w:pPr>
              <w:spacing w:after="60"/>
            </w:pPr>
            <w:r>
              <w:rPr>
                <w:rFonts w:ascii="Arial" w:cs="Arial" w:eastAsia="Arial" w:hAnsi="Arial"/>
                <w:color w:val="0A0A0A"/>
                <w:sz w:val="20"/>
                <w:szCs w:val="20"/>
              </w:rPr>
              <w:t xml:space="preserve">"You are generating wellness observations for the Chronos app by Mynd &amp; Bodi Institute.</w:t>
            </w:r>
          </w:p>
          <w:p>
            <w:pPr>
              <w:spacing w:after="60"/>
            </w:pPr>
            <w:r>
              <w:rPr>
                <w:rFonts w:ascii="Arial" w:cs="Arial" w:eastAsia="Arial" w:hAnsi="Arial"/>
                <w:color w:val="0A0A0A"/>
                <w:sz w:val="20"/>
                <w:szCs w:val="20"/>
              </w:rPr>
              <w:t xml:space="preserve"/>
            </w:r>
          </w:p>
          <w:p>
            <w:pPr>
              <w:spacing w:after="60"/>
            </w:pPr>
            <w:r>
              <w:rPr>
                <w:rFonts w:ascii="Arial" w:cs="Arial" w:eastAsia="Arial" w:hAnsi="Arial"/>
                <w:color w:val="0A0A0A"/>
                <w:sz w:val="20"/>
                <w:szCs w:val="20"/>
              </w:rPr>
              <w:t xml:space="preserve">HARD CONSTRAINTS — never violate these:</w:t>
            </w:r>
          </w:p>
          <w:p>
            <w:pPr>
              <w:spacing w:after="60"/>
            </w:pPr>
            <w:r>
              <w:rPr>
                <w:rFonts w:ascii="Arial" w:cs="Arial" w:eastAsia="Arial" w:hAnsi="Arial"/>
                <w:color w:val="0A0A0A"/>
                <w:sz w:val="20"/>
                <w:szCs w:val="20"/>
              </w:rPr>
              <w:t xml:space="preserve">1. Never name diseases, medical conditions, clinical states, or diagnostic categories. Observe wellness measurements only.</w:t>
            </w:r>
          </w:p>
          <w:p>
            <w:pPr>
              <w:spacing w:after="60"/>
            </w:pPr>
            <w:r>
              <w:rPr>
                <w:rFonts w:ascii="Arial" w:cs="Arial" w:eastAsia="Arial" w:hAnsi="Arial"/>
                <w:color w:val="0A0A0A"/>
                <w:sz w:val="20"/>
                <w:szCs w:val="20"/>
              </w:rPr>
              <w:t xml:space="preserve">2. Never use the words: diagnose, treat, therapy, therapeutic, treatment, medical attention, seek care, consult your doctor, your physician, concerning, warning, emergency.</w:t>
            </w:r>
          </w:p>
          <w:p>
            <w:pPr>
              <w:spacing w:after="60"/>
            </w:pPr>
            <w:r>
              <w:rPr>
                <w:rFonts w:ascii="Arial" w:cs="Arial" w:eastAsia="Arial" w:hAnsi="Arial"/>
                <w:color w:val="0A0A0A"/>
                <w:sz w:val="20"/>
                <w:szCs w:val="20"/>
              </w:rPr>
              <w:t xml:space="preserve">3. Never assess medical necessity. Never say a pattern warrants or requires medical action.</w:t>
            </w:r>
          </w:p>
          <w:p>
            <w:pPr>
              <w:spacing w:after="60"/>
            </w:pPr>
            <w:r>
              <w:rPr>
                <w:rFonts w:ascii="Arial" w:cs="Arial" w:eastAsia="Arial" w:hAnsi="Arial"/>
                <w:color w:val="0A0A0A"/>
                <w:sz w:val="20"/>
                <w:szCs w:val="20"/>
              </w:rPr>
              <w:t xml:space="preserve">4. All observations must be anchored to duration and direction of the user's own measurements — never to population norms or clinical thresholds.</w:t>
            </w:r>
          </w:p>
          <w:p>
            <w:pPr>
              <w:spacing w:after="60"/>
            </w:pPr>
            <w:r>
              <w:rPr>
                <w:rFonts w:ascii="Arial" w:cs="Arial" w:eastAsia="Arial" w:hAnsi="Arial"/>
                <w:color w:val="0A0A0A"/>
                <w:sz w:val="20"/>
                <w:szCs w:val="20"/>
              </w:rPr>
              <w:t xml:space="preserve">5. If asked to generate content that would violate these constraints, return an empty string rather than approximating the request.</w:t>
            </w:r>
          </w:p>
          <w:p>
            <w:pPr>
              <w:spacing w:after="60"/>
            </w:pPr>
            <w:r>
              <w:rPr>
                <w:rFonts w:ascii="Arial" w:cs="Arial" w:eastAsia="Arial" w:hAnsi="Arial"/>
                <w:color w:val="0A0A0A"/>
                <w:sz w:val="20"/>
                <w:szCs w:val="20"/>
              </w:rPr>
              <w:t xml:space="preserv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7.2  Escalate Page — Additional Constraints</w:t>
      </w:r>
    </w:p>
    <w:p>
      <w:pPr>
        <w:spacing w:after="120"/>
      </w:pPr>
      <w:r>
        <w:rPr>
          <w:rFonts w:ascii="Arial" w:cs="Arial" w:eastAsia="Arial" w:hAnsi="Arial"/>
          <w:color w:val="0A0A0A"/>
          <w:sz w:val="22"/>
          <w:szCs w:val="22"/>
        </w:rPr>
        <w:t xml:space="preserve">For the narrate-horizon-escalate function specifically, add the following to the universal block: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46A" w:sz="6"/>
              <w:left w:val="single" w:color="B8946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B8946A"/>
                <w:sz w:val="20"/>
                <w:szCs w:val="20"/>
              </w:rPr>
              <w:t xml:space="preserve">Additional Constraints for Escalate Narrative</w:t>
            </w:r>
          </w:p>
          <w:p>
            <w:pPr>
              <w:spacing w:after="60"/>
            </w:pPr>
            <w:r>
              <w:rPr>
                <w:rFonts w:ascii="Arial" w:cs="Arial" w:eastAsia="Arial" w:hAnsi="Arial"/>
                <w:color w:val="0A0A0A"/>
                <w:sz w:val="20"/>
                <w:szCs w:val="20"/>
              </w:rPr>
              <w:t xml:space="preserve">"The approved copy structure for this page is fixed. Do not generate the escalation prompt text — it is hardcoded in the UI from the approved attorney-reviewed copy.</w:t>
            </w:r>
          </w:p>
          <w:p>
            <w:pPr>
              <w:spacing w:after="60"/>
            </w:pPr>
            <w:r>
              <w:rPr>
                <w:rFonts w:ascii="Arial" w:cs="Arial" w:eastAsia="Arial" w:hAnsi="Arial"/>
                <w:color w:val="0A0A0A"/>
                <w:sz w:val="20"/>
                <w:szCs w:val="20"/>
              </w:rPr>
              <w:t xml:space="preserve">Your role on this page is to generate only the contextual explanation paragraph that describes what the pathway has been doing in duration and trend terms.</w:t>
            </w:r>
          </w:p>
          <w:p>
            <w:pPr>
              <w:spacing w:after="60"/>
            </w:pPr>
            <w:r>
              <w:rPr>
                <w:rFonts w:ascii="Arial" w:cs="Arial" w:eastAsia="Arial" w:hAnsi="Arial"/>
                <w:color w:val="0A0A0A"/>
                <w:sz w:val="20"/>
                <w:szCs w:val="20"/>
              </w:rPr>
              <w:t xml:space="preserv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7.3  Intervention Card Copy — Source Constraint</w:t>
      </w:r>
    </w:p>
    <w:p>
      <w:pPr>
        <w:spacing w:after="120"/>
      </w:pPr>
      <w:r>
        <w:rPr>
          <w:rFonts w:ascii="Arial" w:cs="Arial" w:eastAsia="Arial" w:hAnsi="Arial"/>
          <w:color w:val="0A0A0A"/>
          <w:sz w:val="22"/>
          <w:szCs w:val="22"/>
        </w:rPr>
        <w:t xml:space="preserve">For the narrate-horizon-redirect function, intervention card copy must be selected from a curated, attorney-reviewed set — not generated freely. The system prompt must include: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46A" w:sz="6"/>
              <w:left w:val="single" w:color="B8946A" w:sz="6"/>
              <w:bottom w:val="single" w:color="CCCCCC" w:sz="1"/>
              <w:right w:val="single" w:color="CCCCCC" w:sz="1"/>
            </w:tcBorders>
            <w:shd w:fill="FBF4EC" w:val="clear"/>
            <w:tcMar>
              <w:top w:type="dxa" w:w="120"/>
              <w:left w:type="dxa" w:w="180"/>
              <w:bottom w:type="dxa" w:w="120"/>
              <w:right w:type="dxa" w:w="180"/>
            </w:tcMar>
          </w:tcPr>
          <w:p>
            <w:pPr>
              <w:spacing w:after="80"/>
            </w:pPr>
            <w:r>
              <w:rPr>
                <w:rFonts w:ascii="Arial" w:cs="Arial" w:eastAsia="Arial" w:hAnsi="Arial"/>
                <w:b/>
                <w:bCs/>
                <w:color w:val="B8946A"/>
                <w:sz w:val="20"/>
                <w:szCs w:val="20"/>
              </w:rPr>
              <w:t xml:space="preserve">Intervention Copy Constraint for Redirect Narrative</w:t>
            </w:r>
          </w:p>
          <w:p>
            <w:pPr>
              <w:spacing w:after="60"/>
            </w:pPr>
            <w:r>
              <w:rPr>
                <w:rFonts w:ascii="Arial" w:cs="Arial" w:eastAsia="Arial" w:hAnsi="Arial"/>
                <w:color w:val="0A0A0A"/>
                <w:sz w:val="20"/>
                <w:szCs w:val="20"/>
              </w:rPr>
              <w:t xml:space="preserve">"Intervention recommendations must be selected only from the approved Protective Nodes set provided below.</w:t>
            </w:r>
          </w:p>
          <w:p>
            <w:pPr>
              <w:spacing w:after="60"/>
            </w:pPr>
            <w:r>
              <w:rPr>
                <w:rFonts w:ascii="Arial" w:cs="Arial" w:eastAsia="Arial" w:hAnsi="Arial"/>
                <w:color w:val="0A0A0A"/>
                <w:sz w:val="20"/>
                <w:szCs w:val="20"/>
              </w:rPr>
              <w:t xml:space="preserve">Do not generate novel intervention recommendations.</w:t>
            </w:r>
          </w:p>
          <w:p>
            <w:pPr>
              <w:spacing w:after="60"/>
            </w:pPr>
            <w:r>
              <w:rPr>
                <w:rFonts w:ascii="Arial" w:cs="Arial" w:eastAsia="Arial" w:hAnsi="Arial"/>
                <w:color w:val="0A0A0A"/>
                <w:sz w:val="20"/>
                <w:szCs w:val="20"/>
              </w:rPr>
              <w:t xml:space="preserve">Do not use the words 'treat,' 'therapy,' 'therapeutic,' or 'treatment' under any circumstances.</w:t>
            </w:r>
          </w:p>
          <w:p>
            <w:pPr>
              <w:spacing w:after="60"/>
            </w:pPr>
            <w:r>
              <w:rPr>
                <w:rFonts w:ascii="Arial" w:cs="Arial" w:eastAsia="Arial" w:hAnsi="Arial"/>
                <w:color w:val="0A0A0A"/>
                <w:sz w:val="20"/>
                <w:szCs w:val="20"/>
              </w:rPr>
              <w:t xml:space="preserve">Every intervention card must include the upstream node it is targeting.</w:t>
            </w:r>
          </w:p>
          <w:p>
            <w:pPr>
              <w:spacing w:after="60"/>
            </w:pPr>
            <w:r>
              <w:rPr>
                <w:rFonts w:ascii="Arial" w:cs="Arial" w:eastAsia="Arial" w:hAnsi="Arial"/>
                <w:color w:val="0A0A0A"/>
                <w:sz w:val="20"/>
                <w:szCs w:val="20"/>
              </w:rPr>
              <w:t xml:space="preserve">"</w:t>
            </w:r>
          </w:p>
        </w:tc>
      </w:tr>
    </w:tbl>
    <w:p>
      <w:pPr>
        <w:spacing w:after="160"/>
      </w:pPr>
      <w:r>
        <w:t xml:space="preserve"/>
      </w:r>
    </w:p>
    <w:p>
      <w:pPr>
        <w:spacing w:after="80" w:before="320"/>
      </w:pPr>
      <w:r>
        <w:rPr>
          <w:rFonts w:ascii="Arial" w:cs="Arial" w:eastAsia="Arial" w:hAnsi="Arial"/>
          <w:b/>
          <w:bCs/>
          <w:color w:val="B8946A"/>
          <w:sz w:val="16"/>
          <w:szCs w:val="16"/>
        </w:rPr>
        <w:t xml:space="preserve">SECTION 8</w:t>
      </w:r>
    </w:p>
    <w:p>
      <w:pPr>
        <w:pStyle w:val="Heading1"/>
        <w:spacing w:after="160" w:before="480"/>
      </w:pPr>
      <w:r>
        <w:rPr>
          <w:rFonts w:ascii="Arial" w:cs="Arial" w:eastAsia="Arial" w:hAnsi="Arial"/>
          <w:b/>
          <w:bCs/>
          <w:color w:val="0A0A0A"/>
          <w:sz w:val="44"/>
          <w:szCs w:val="4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Founder / Technical Co-Founder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1.0</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Type</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Legal Compliance Framework — Product &amp; Engineering Reference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Pending Attorney Review — Working Document Only</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Date</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May 2026</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Legal Research: Chronos Page 4, May 2026. Reviewed statutes: Cal. Bus. &amp; Prof. Code § 2052; N.Y. Educ. Law §§ 6521, 6522; Tex. Occ. Code § 151.002; 21 C.F.R. § 801.4; FDA General Wellness Guidance Jan. 6, 2026; 16 C.F.R. Part 318; 45 C.F.R. §§ 160.103, 164.501.</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b/>
                <w:bCs/>
                <w:color w:val="0A0A0A"/>
                <w:sz w:val="20"/>
                <w:szCs w:val="20"/>
              </w:rPr>
              <w:t xml:space="preserve">Review Cycle</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tcPr>
          <w:p>
            <w:pPr>
              <w:spacing w:after="0"/>
            </w:pPr>
            <w:r>
              <w:rPr>
                <w:rFonts w:ascii="Arial" w:cs="Arial" w:eastAsia="Arial" w:hAnsi="Arial"/>
                <w:color w:val="0A0A0A"/>
                <w:sz w:val="20"/>
                <w:szCs w:val="20"/>
              </w:rPr>
              <w:t xml:space="preserve">This document must be reviewed by counsel and updated before any Phase 3 feature is built. Copy rules in Section 3 apply to all sprints from Phase 2 onward.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bCs/>
                <w:color w:val="0A0A0A"/>
                <w:sz w:val="20"/>
                <w:szCs w:val="20"/>
              </w:rPr>
              <w:t xml:space="preserve">Cross-reference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0A0A0A"/>
                <w:sz w:val="20"/>
                <w:szCs w:val="20"/>
              </w:rPr>
              <w:t xml:space="preserve">MBI Phase 2 Design Session v1.0 — Session 5 (Phase 3 DPC Gate). Phase 1 PRD v1.0 — Section 8 (Non-Negotiable Constraints).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E2E" w:sz="6"/>
              <w:left w:val="single" w:color="8B2E2E" w:sz="6"/>
              <w:bottom w:val="single" w:color="CCCCCC" w:sz="1"/>
              <w:right w:val="single" w:color="CCCCCC" w:sz="1"/>
            </w:tcBorders>
            <w:shd w:fill="F9EDED" w:val="clear"/>
            <w:tcMar>
              <w:top w:type="dxa" w:w="120"/>
              <w:left w:type="dxa" w:w="180"/>
              <w:bottom w:type="dxa" w:w="120"/>
              <w:right w:type="dxa" w:w="180"/>
            </w:tcMar>
          </w:tcPr>
          <w:p>
            <w:pPr>
              <w:spacing w:after="80"/>
            </w:pPr>
            <w:r>
              <w:rPr>
                <w:rFonts w:ascii="Arial" w:cs="Arial" w:eastAsia="Arial" w:hAnsi="Arial"/>
                <w:b/>
                <w:bCs/>
                <w:color w:val="8B2E2E"/>
                <w:sz w:val="20"/>
                <w:szCs w:val="20"/>
              </w:rPr>
              <w:t xml:space="preserve">Reminder</w:t>
            </w:r>
          </w:p>
          <w:p>
            <w:pPr>
              <w:spacing w:after="60"/>
            </w:pPr>
            <w:r>
              <w:rPr>
                <w:rFonts w:ascii="Arial" w:cs="Arial" w:eastAsia="Arial" w:hAnsi="Arial"/>
                <w:color w:val="0A0A0A"/>
                <w:sz w:val="20"/>
                <w:szCs w:val="20"/>
              </w:rPr>
              <w:t xml:space="preserve">This document is not legal advice. It is a product and engineering compliance guide derived from legal research.</w:t>
            </w:r>
          </w:p>
          <w:p>
            <w:pPr>
              <w:spacing w:after="60"/>
            </w:pPr>
            <w:r>
              <w:rPr>
                <w:rFonts w:ascii="Arial" w:cs="Arial" w:eastAsia="Arial" w:hAnsi="Arial"/>
                <w:color w:val="0A0A0A"/>
                <w:sz w:val="20"/>
                <w:szCs w:val="20"/>
              </w:rPr>
              <w:t xml:space="preserve">Every item marked 'attorney review required' must be cleared by qualified counsel before the relevant feature ships to external users.</w:t>
            </w:r>
          </w:p>
          <w:p>
            <w:pPr>
              <w:spacing w:after="60"/>
            </w:pPr>
            <w:r>
              <w:rPr>
                <w:rFonts w:ascii="Arial" w:cs="Arial" w:eastAsia="Arial" w:hAnsi="Arial"/>
                <w:color w:val="0A0A0A"/>
                <w:sz w:val="20"/>
                <w:szCs w:val="20"/>
              </w:rPr>
              <w:t xml:space="preserve">The copy patterns in Section 4 are working drafts based on the legal research — they are not approved final copy until reviewed by an attorney.</w:t>
            </w:r>
          </w:p>
        </w:tc>
      </w:tr>
    </w:tbl>
    <w:p>
      <w:pPr>
        <w:spacing w:after="120"/>
      </w:pPr>
      <w:r>
        <w:t xml:space="preserve"/>
      </w:r>
    </w:p>
    <w:p>
      <w:pPr>
        <w:spacing w:after="120"/>
      </w:pPr>
      <w:r>
        <w:rPr>
          <w:rFonts w:ascii="Arial" w:cs="Arial" w:eastAsia="Arial" w:hAnsi="Arial"/>
          <w:i/>
          <w:iCs/>
          <w:color w:val="888888"/>
          <w:sz w:val="22"/>
          <w:szCs w:val="22"/>
        </w:rPr>
        <w:t xml:space="preserve">Any proposed change to the copy rules in Section 3 or the required copy patterns in Section 4 requires explicit discussion and a version increment. Changes may not be made mid-sprint.</w:t>
      </w:r>
    </w:p>
    <w:p>
      <w:pPr>
        <w:spacing w:after="80"/>
      </w:pPr>
      <w:r>
        <w:t xml:space="preserve"/>
      </w:r>
    </w:p>
    <w:p>
      <w:pPr>
        <w:spacing w:after="120"/>
      </w:pPr>
      <w:r>
        <w:rPr>
          <w:rFonts w:ascii="Arial" w:cs="Arial" w:eastAsia="Arial" w:hAnsi="Arial"/>
          <w:i/>
          <w:iCs/>
          <w:color w:val="888888"/>
          <w:sz w:val="22"/>
          <w:szCs w:val="22"/>
        </w:rPr>
        <w:t xml:space="preserve">Confidential · Mynd &amp; Bodi Institute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80"/>
    </w:pPr>
    <w:r>
      <w:rPr>
        <w:rFonts w:ascii="Arial" w:cs="Arial" w:eastAsia="Arial" w:hAnsi="Arial"/>
        <w:color w:val="888888"/>
        <w:sz w:val="16"/>
        <w:szCs w:val="16"/>
      </w:rPr>
      <w:t xml:space="preserve">Mynd &amp; Bodi Institute  ·  Internal Confidential  ·  May 2026</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6A" w:sz="4" w:space="4"/>
      </w:pBdr>
      <w:spacing w:after="0"/>
    </w:pPr>
    <w:r>
      <w:rPr>
        <w:rFonts w:ascii="Arial" w:cs="Arial" w:eastAsia="Arial" w:hAnsi="Arial"/>
        <w:color w:val="888888"/>
        <w:sz w:val="16"/>
        <w:szCs w:val="16"/>
      </w:rPr>
      <w:t xml:space="preserve">MBI · CHRONOS   |   </w:t>
    </w:r>
    <w:r>
      <w:rPr>
        <w:rFonts w:ascii="Arial" w:cs="Arial" w:eastAsia="Arial" w:hAnsi="Arial"/>
        <w:b/>
        <w:bCs/>
        <w:color w:val="B8946A"/>
        <w:sz w:val="16"/>
        <w:szCs w:val="16"/>
      </w:rPr>
      <w:t xml:space="preserve">Legal Compliance Framework v1.0</w:t>
    </w:r>
    <w:r>
      <w:rPr>
        <w:rFonts w:ascii="Arial" w:cs="Arial" w:eastAsia="Arial" w:hAnsi="Arial"/>
        <w:color w:val="8B2E2E"/>
        <w:sz w:val="16"/>
        <w:szCs w:val="16"/>
      </w:rPr>
      <w:t xml:space="preserve">   |   ATTORNEY REVIEW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A"/>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80" w:before="2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2026-05-05T13:41:25.386Z</dcterms:created>
  <dcterms:modified xsi:type="dcterms:W3CDTF">2026-05-05T13:41:25.400Z</dcterms:modified>
</cp:coreProperties>
</file>

<file path=docProps/custom.xml><?xml version="1.0" encoding="utf-8"?>
<Properties xmlns="http://schemas.openxmlformats.org/officeDocument/2006/custom-properties" xmlns:vt="http://schemas.openxmlformats.org/officeDocument/2006/docPropsVTypes"/>
</file>