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0A0A0A"/>
          <w:sz w:val="56"/>
          <w:szCs w:val="56"/>
        </w:rPr>
        <w:t xml:space="preserve">MBI · CHRONOS</w:t>
      </w:r>
    </w:p>
    <w:p>
      <w:pPr>
        <w:spacing w:after="60"/>
      </w:pPr>
      <w:r>
        <w:rPr>
          <w:rFonts w:ascii="Arial" w:cs="Arial" w:eastAsia="Arial" w:hAnsi="Arial"/>
          <w:color w:val="B8946A"/>
          <w:sz w:val="32"/>
          <w:szCs w:val="32"/>
        </w:rPr>
        <w:t xml:space="preserve">Phase 2 Design Session</w:t>
      </w:r>
    </w:p>
    <w:p>
      <w:pPr>
        <w:spacing w:after="480"/>
      </w:pPr>
      <w:r>
        <w:rPr>
          <w:rFonts w:ascii="Arial" w:cs="Arial" w:eastAsia="Arial" w:hAnsi="Arial"/>
          <w:color w:val="888888"/>
          <w:sz w:val="24"/>
          <w:szCs w:val="24"/>
        </w:rPr>
        <w:t xml:space="preserve">Strategy &amp; Architecture</w:t>
      </w:r>
    </w:p>
    <w:p>
      <w:pPr>
        <w:pBdr>
          <w:bottom w:val="single" w:color="B8946A" w:sz="6" w:space="1"/>
        </w:pBdr>
        <w:spacing w:after="20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Classification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Internal · Confidential</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Version</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1.0</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Status</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Active — Design Session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Date</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May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Owner</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Founder / Technical Co-Founder</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Execution Project</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MBI MVP Phase 2 (Claude Code)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88888"/>
                <w:sz w:val="18"/>
                <w:szCs w:val="18"/>
              </w:rPr>
              <w:t xml:space="preserve">Predecessor</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Epic 1 Sprint 4 AAR + Epic 2 Sprint 1 AAR</w:t>
            </w:r>
          </w:p>
        </w:tc>
      </w:tr>
    </w:tbl>
    <w:p>
      <w:pPr>
        <w:spacing w:after="48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This document is the governing design session for Phase 2 of the Chronos build. All five sessions are locked here before any sprint handoff is generated. Phase 2 does not begin without explicit founder sign-off on each session.</w:t>
      </w:r>
    </w:p>
    <w:p>
      <w:r>
        <w:br w:type="page"/>
      </w:r>
    </w:p>
    <w:p>
      <w:pPr>
        <w:pStyle w:val="Heading1"/>
        <w:spacing w:after="160" w:before="480"/>
      </w:pPr>
      <w:r>
        <w:rPr>
          <w:rFonts w:ascii="Arial" w:cs="Arial" w:eastAsia="Arial" w:hAnsi="Arial"/>
          <w:b/>
          <w:bCs/>
          <w:color w:val="0A0A0A"/>
          <w:sz w:val="44"/>
          <w:szCs w:val="44"/>
        </w:rPr>
        <w:t xml:space="preserve">Session Index</w:t>
      </w:r>
    </w:p>
    <w:p>
      <w:pPr>
        <w:spacing w:after="120"/>
      </w:pPr>
      <w:r>
        <w:rPr>
          <w:rFonts w:ascii="Arial" w:cs="Arial" w:eastAsia="Arial" w:hAnsi="Arial"/>
          <w:color w:val="0A0A0A"/>
          <w:sz w:val="22"/>
          <w:szCs w:val="22"/>
        </w:rPr>
        <w:t xml:space="preserve">This design session contains five distinct strategy modules. Each must be completed in order before the Phase 2 sprint queue is finalized.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No.</w:t>
            </w:r>
          </w:p>
        </w:tc>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Session</w:t>
            </w:r>
          </w:p>
        </w:tc>
        <w:tc>
          <w:tcPr>
            <w:tcW w:type="dxa" w:w="57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Purpose</w:t>
            </w:r>
          </w:p>
        </w:tc>
      </w:tr>
      <w:tr>
        <w:tc>
          <w:tcPr>
            <w:tcW w:type="dxa" w:w="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1</w:t>
            </w:r>
          </w:p>
        </w:tc>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Horizon Page Discovery Affordance</w:t>
            </w:r>
          </w:p>
        </w:tc>
        <w:tc>
          <w:tcPr>
            <w:tcW w:type="dxa" w:w="57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Visual and UX treatment for users not yet in an elevated pathway state — the positive trajectory view and how-this-works surface without FAQ framing.</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Ontology Engine v1 Specification</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Full architecture spec: what the engine reads, how it classifies, how it connects to Horizon pages, and how it learns over time.</w:t>
            </w:r>
          </w:p>
        </w:tc>
      </w:tr>
      <w:tr>
        <w:tc>
          <w:tcPr>
            <w:tcW w:type="dxa" w:w="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3</w:t>
            </w:r>
          </w:p>
        </w:tc>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Phase 2 Full Feature List</w:t>
            </w:r>
          </w:p>
        </w:tc>
        <w:tc>
          <w:tcPr>
            <w:tcW w:type="dxa" w:w="57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Complete grouped inventory of all Phase 2 features including the full notification system and gamification layer.</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Terra API Integration Review</w:t>
            </w:r>
          </w:p>
        </w:tc>
        <w:tc>
          <w:tcPr>
            <w:tcW w:type="dxa" w:w="5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Evaluation of tryterra.co as the universal wearable data layer — what it covers, architecture implications, and Phase 2 integration path.</w:t>
            </w:r>
          </w:p>
        </w:tc>
      </w:tr>
      <w:tr>
        <w:tc>
          <w:tcPr>
            <w:tcW w:type="dxa" w:w="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5</w:t>
            </w:r>
          </w:p>
        </w:tc>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Phase 3 DPC Escalation Gate</w:t>
            </w:r>
          </w:p>
        </w:tc>
        <w:tc>
          <w:tcPr>
            <w:tcW w:type="dxa" w:w="57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Design of the Coming Soon gate architecture for all DPC, outside application, and clinical escalation surfaces.</w:t>
            </w:r>
          </w:p>
        </w:tc>
      </w:tr>
    </w:tbl>
    <w:p>
      <w:r>
        <w:br w:type="page"/>
      </w:r>
    </w:p>
    <w:p>
      <w:pPr>
        <w:spacing w:after="80" w:before="320"/>
      </w:pPr>
      <w:r>
        <w:rPr>
          <w:rFonts w:ascii="Arial" w:cs="Arial" w:eastAsia="Arial" w:hAnsi="Arial"/>
          <w:b/>
          <w:bCs/>
          <w:color w:val="B8946A"/>
          <w:sz w:val="16"/>
          <w:szCs w:val="16"/>
        </w:rPr>
        <w:t xml:space="preserve">SESSION 1</w:t>
      </w:r>
    </w:p>
    <w:p>
      <w:pPr>
        <w:pStyle w:val="Heading1"/>
        <w:spacing w:after="160" w:before="480"/>
      </w:pPr>
      <w:r>
        <w:rPr>
          <w:rFonts w:ascii="Arial" w:cs="Arial" w:eastAsia="Arial" w:hAnsi="Arial"/>
          <w:b/>
          <w:bCs/>
          <w:color w:val="0A0A0A"/>
          <w:sz w:val="44"/>
          <w:szCs w:val="44"/>
        </w:rPr>
        <w:t xml:space="preserve">Horizon Page Discovery Affordance</w:t>
      </w:r>
    </w:p>
    <w:p>
      <w:pPr>
        <w:spacing w:after="120"/>
      </w:pPr>
      <w:r>
        <w:rPr>
          <w:rFonts w:ascii="Arial" w:cs="Arial" w:eastAsia="Arial" w:hAnsi="Arial"/>
          <w:color w:val="0A0A0A"/>
          <w:sz w:val="22"/>
          <w:szCs w:val="22"/>
        </w:rPr>
        <w:t xml:space="preserve">The Horizon tab now has four pages. A user who is not in an elevated pathway state will only see Page 1 (Signal). The problem to solve in this session: what does that user experience, and how does the system communicate that more exists — without prematurely exposing escalation language or making the tab feel empty when all signals are CALM?</w:t>
      </w:r>
    </w:p>
    <w:p>
      <w:pPr>
        <w:spacing w:after="16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A user in a healthy, CALM state is not a second-class citizen of the Horizon tab. The positive trajectory experience must feel like a reward for the signals they are building — not a waiting room for a future problem.</w:t>
      </w:r>
    </w:p>
    <w:p>
      <w:pPr>
        <w:spacing w:after="160"/>
      </w:pPr>
      <w:r>
        <w:t xml:space="preserve"/>
      </w:r>
    </w:p>
    <w:p>
      <w:pPr>
        <w:pStyle w:val="Heading2"/>
        <w:spacing w:after="120" w:before="360"/>
      </w:pPr>
      <w:r>
        <w:rPr>
          <w:rFonts w:ascii="Arial" w:cs="Arial" w:eastAsia="Arial" w:hAnsi="Arial"/>
          <w:b/>
          <w:bCs/>
          <w:color w:val="0A0A0A"/>
          <w:sz w:val="28"/>
          <w:szCs w:val="28"/>
        </w:rPr>
        <w:t xml:space="preserve">1.1  The Problem with a Single Visible Page</w:t>
      </w:r>
    </w:p>
    <w:p>
      <w:pPr>
        <w:spacing w:after="120"/>
      </w:pPr>
      <w:r>
        <w:rPr>
          <w:rFonts w:ascii="Arial" w:cs="Arial" w:eastAsia="Arial" w:hAnsi="Arial"/>
          <w:color w:val="0A0A0A"/>
          <w:sz w:val="22"/>
          <w:szCs w:val="22"/>
        </w:rPr>
        <w:t xml:space="preserve">When all pathways are CALM and only Page 1 is active, the tab is effectively a one-screen surface. There are two failure modes to avoid:</w:t>
      </w:r>
    </w:p>
    <w:p>
      <w:pPr>
        <w:pStyle w:val="ListParagraph"/>
        <w:numPr>
          <w:ilvl w:val="0"/>
          <w:numId w:val="2"/>
        </w:numPr>
        <w:spacing w:after="80"/>
      </w:pPr>
      <w:r>
        <w:rPr>
          <w:rFonts w:ascii="Arial" w:cs="Arial" w:eastAsia="Arial" w:hAnsi="Arial"/>
          <w:color w:val="0A0A0A"/>
          <w:sz w:val="21"/>
          <w:szCs w:val="21"/>
        </w:rPr>
        <w:t xml:space="preserve">Emptiness — the user sees three CALM cards, a static 'Working in your favor' section, and nothing else. The tab does not feel alive or worth returning to.</w:t>
      </w:r>
    </w:p>
    <w:p>
      <w:pPr>
        <w:pStyle w:val="ListParagraph"/>
        <w:numPr>
          <w:ilvl w:val="0"/>
          <w:numId w:val="2"/>
        </w:numPr>
        <w:spacing w:after="80"/>
      </w:pPr>
      <w:r>
        <w:rPr>
          <w:rFonts w:ascii="Arial" w:cs="Arial" w:eastAsia="Arial" w:hAnsi="Arial"/>
          <w:color w:val="0A0A0A"/>
          <w:sz w:val="21"/>
          <w:szCs w:val="21"/>
        </w:rPr>
        <w:t xml:space="preserve">False urgency — surfacing hints of Pages 2–4 even when they are locked could induce the exact health anxiety the product is architecturally designed to prevent.</w:t>
      </w:r>
    </w:p>
    <w:p>
      <w:pPr>
        <w:spacing w:after="120"/>
      </w:pPr>
      <w:r>
        <w:t xml:space="preserve"/>
      </w:r>
    </w:p>
    <w:p>
      <w:pPr>
        <w:spacing w:after="120"/>
      </w:pPr>
      <w:r>
        <w:rPr>
          <w:rFonts w:ascii="Arial" w:cs="Arial" w:eastAsia="Arial" w:hAnsi="Arial"/>
          <w:color w:val="0A0A0A"/>
          <w:sz w:val="22"/>
          <w:szCs w:val="22"/>
        </w:rPr>
        <w:t xml:space="preserve">The solution is to build two pages that always exist for every user regardless of pathway state: a Positive Trajectory page and a How This Works page. These are not FAQ screens — they are intelligence surfaces that reward a healthy user with meaning.</w:t>
      </w:r>
    </w:p>
    <w:p>
      <w:pPr>
        <w:spacing w:after="160"/>
      </w:pPr>
      <w:r>
        <w:t xml:space="preserve"/>
      </w:r>
    </w:p>
    <w:p>
      <w:pPr>
        <w:pStyle w:val="Heading2"/>
        <w:spacing w:after="120" w:before="360"/>
      </w:pPr>
      <w:r>
        <w:rPr>
          <w:rFonts w:ascii="Arial" w:cs="Arial" w:eastAsia="Arial" w:hAnsi="Arial"/>
          <w:b/>
          <w:bCs/>
          <w:color w:val="0A0A0A"/>
          <w:sz w:val="28"/>
          <w:szCs w:val="28"/>
        </w:rPr>
        <w:t xml:space="preserve">1.2  Page Architecture — Full State 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480"/>
        <w:gridCol w:w="4080"/>
      </w:tblGrid>
      <w:tr>
        <w:tc>
          <w:tcPr>
            <w:tcW w:type="dxa" w:w="7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Page</w:t>
            </w:r>
          </w:p>
        </w:tc>
        <w:tc>
          <w:tcPr>
            <w:tcW w:type="dxa" w:w="21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Internal Name</w:t>
            </w:r>
          </w:p>
        </w:tc>
        <w:tc>
          <w:tcPr>
            <w:tcW w:type="dxa" w:w="24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Unlock Condition</w:t>
            </w:r>
          </w:p>
        </w:tc>
        <w:tc>
          <w:tcPr>
            <w:tcW w:type="dxa" w:w="40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Always Visible?</w:t>
            </w:r>
          </w:p>
        </w:tc>
      </w:tr>
      <w:tr>
        <w:tc>
          <w:tcPr>
            <w:tcW w:type="dxa" w:w="7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1</w:t>
            </w:r>
          </w:p>
        </w:tc>
        <w:tc>
          <w:tcPr>
            <w:tcW w:type="dxa" w:w="21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Signal</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Always</w:t>
            </w:r>
          </w:p>
        </w:tc>
        <w:tc>
          <w:tcPr>
            <w:tcW w:type="dxa" w:w="40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Yes — all users at all times.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Momentum</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Always (new)</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Yes — replaces empty-state with positive trajectory view.</w:t>
            </w:r>
          </w:p>
        </w:tc>
      </w:tr>
      <w:tr>
        <w:tc>
          <w:tcPr>
            <w:tcW w:type="dxa" w:w="7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3</w:t>
            </w:r>
          </w:p>
        </w:tc>
        <w:tc>
          <w:tcPr>
            <w:tcW w:type="dxa" w:w="21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Foundations</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Always (new)</w:t>
            </w:r>
          </w:p>
        </w:tc>
        <w:tc>
          <w:tcPr>
            <w:tcW w:type="dxa" w:w="40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Yes — how the engine works, without FAQ framing.</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Trajectory</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5+ consecutive days below threshold, trend not improving</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No — unlocks automatically after sync.</w:t>
            </w:r>
          </w:p>
        </w:tc>
      </w:tr>
      <w:tr>
        <w:tc>
          <w:tcPr>
            <w:tcW w:type="dxa" w:w="7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5</w:t>
            </w:r>
          </w:p>
        </w:tc>
        <w:tc>
          <w:tcPr>
            <w:tcW w:type="dxa" w:w="21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Redirect</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Unlocks with Page 4</w:t>
            </w:r>
          </w:p>
        </w:tc>
        <w:tc>
          <w:tcPr>
            <w:tcW w:type="dxa" w:w="40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No — gates with Trajectory.</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Escalate</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14+ days in pattern, confidence &gt;75%</w:t>
            </w:r>
          </w:p>
        </w:tc>
        <w:tc>
          <w:tcPr>
            <w:tcW w:type="dxa" w:w="40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No — highest gate, legal review required.</w:t>
            </w:r>
          </w:p>
        </w:tc>
      </w:tr>
    </w:tbl>
    <w:p>
      <w:pPr>
        <w:spacing w:after="160"/>
      </w:pPr>
      <w:r>
        <w:t xml:space="preserve"/>
      </w:r>
    </w:p>
    <w:p>
      <w:pPr>
        <w:spacing w:after="120"/>
      </w:pPr>
      <w:r>
        <w:rPr>
          <w:rFonts w:ascii="Arial" w:cs="Arial" w:eastAsia="Arial" w:hAnsi="Arial"/>
          <w:color w:val="0A0A0A"/>
          <w:sz w:val="22"/>
          <w:szCs w:val="22"/>
        </w:rPr>
        <w:t xml:space="preserve">The dot indicator at the bottom of Horizon always shows a minimum of three dots (Pages 1–3) for every user. When Pages 4–5 activate, four dots appear. When Page 6 activates, five dots appear. A user in a clean health state will never see a single dot with nothing to explore.</w:t>
      </w:r>
    </w:p>
    <w:p>
      <w:pPr>
        <w:spacing w:after="160"/>
      </w:pPr>
      <w:r>
        <w:t xml:space="preserve"/>
      </w:r>
    </w:p>
    <w:p>
      <w:pPr>
        <w:pStyle w:val="Heading2"/>
        <w:spacing w:after="120" w:before="360"/>
      </w:pPr>
      <w:r>
        <w:rPr>
          <w:rFonts w:ascii="Arial" w:cs="Arial" w:eastAsia="Arial" w:hAnsi="Arial"/>
          <w:b/>
          <w:bCs/>
          <w:color w:val="0A0A0A"/>
          <w:sz w:val="28"/>
          <w:szCs w:val="28"/>
        </w:rPr>
        <w:t xml:space="preserve">1.3  Page 2 — Momentum (Positive Trajectory)</w:t>
      </w:r>
    </w:p>
    <w:p>
      <w:pPr>
        <w:pStyle w:val="Heading3"/>
        <w:spacing w:after="80" w:before="280"/>
      </w:pPr>
      <w:r>
        <w:rPr>
          <w:rFonts w:ascii="Arial" w:cs="Arial" w:eastAsia="Arial" w:hAnsi="Arial"/>
          <w:b/>
          <w:bCs/>
          <w:color w:val="444444"/>
          <w:sz w:val="22"/>
          <w:szCs w:val="22"/>
        </w:rPr>
        <w:t xml:space="preserve">Screen Purpose</w:t>
      </w:r>
    </w:p>
    <w:p>
      <w:pPr>
        <w:spacing w:after="120"/>
      </w:pPr>
      <w:r>
        <w:rPr>
          <w:rFonts w:ascii="Arial" w:cs="Arial" w:eastAsia="Arial" w:hAnsi="Arial"/>
          <w:color w:val="0A0A0A"/>
          <w:sz w:val="22"/>
          <w:szCs w:val="22"/>
        </w:rPr>
        <w:t xml:space="preserve">This page answers: What is my physiological momentum right now? It is the Horizon tab's reward state — the view a user earns by maintaining strong signals across pathways. It should feel like looking at a health portrait, not a report card.</w:t>
      </w:r>
    </w:p>
    <w:p>
      <w:pPr>
        <w:spacing w:after="120"/>
      </w:pPr>
      <w:r>
        <w:t xml:space="preserve"/>
      </w:r>
    </w:p>
    <w:p>
      <w:pPr>
        <w:pStyle w:val="Heading3"/>
        <w:spacing w:after="80" w:before="280"/>
      </w:pPr>
      <w:r>
        <w:rPr>
          <w:rFonts w:ascii="Arial" w:cs="Arial" w:eastAsia="Arial" w:hAnsi="Arial"/>
          <w:b/>
          <w:bCs/>
          <w:color w:val="444444"/>
          <w:sz w:val="22"/>
          <w:szCs w:val="22"/>
        </w:rPr>
        <w:t xml:space="preserve">Visual Treatment</w:t>
      </w:r>
    </w:p>
    <w:p>
      <w:pPr>
        <w:pStyle w:val="ListParagraph"/>
        <w:numPr>
          <w:ilvl w:val="0"/>
          <w:numId w:val="2"/>
        </w:numPr>
        <w:spacing w:after="80"/>
      </w:pPr>
      <w:r>
        <w:rPr>
          <w:rFonts w:ascii="Arial" w:cs="Arial" w:eastAsia="Arial" w:hAnsi="Arial"/>
          <w:color w:val="0A0A0A"/>
          <w:sz w:val="21"/>
          <w:szCs w:val="21"/>
        </w:rPr>
        <w:t xml:space="preserve">Header label: BUILDING MOMENTUM. Not 'Your Progress' — this signals forward direction.</w:t>
      </w:r>
    </w:p>
    <w:p>
      <w:pPr>
        <w:pStyle w:val="ListParagraph"/>
        <w:numPr>
          <w:ilvl w:val="0"/>
          <w:numId w:val="2"/>
        </w:numPr>
        <w:spacing w:after="80"/>
      </w:pPr>
      <w:r>
        <w:rPr>
          <w:rFonts w:ascii="Arial" w:cs="Arial" w:eastAsia="Arial" w:hAnsi="Arial"/>
          <w:color w:val="0A0A0A"/>
          <w:sz w:val="21"/>
          <w:szCs w:val="21"/>
        </w:rPr>
        <w:t xml:space="preserve">Three pathway momentum cards, one per pathway (Autonomic / Sleep / Metabolic). Each card shows the pathway name, a trajectory line statement (not a score), and one specific compounding effect sentence.</w:t>
      </w:r>
    </w:p>
    <w:p>
      <w:pPr>
        <w:pStyle w:val="ListParagraph"/>
        <w:numPr>
          <w:ilvl w:val="0"/>
          <w:numId w:val="2"/>
        </w:numPr>
        <w:spacing w:after="80"/>
      </w:pPr>
      <w:r>
        <w:rPr>
          <w:rFonts w:ascii="Arial" w:cs="Arial" w:eastAsia="Arial" w:hAnsi="Arial"/>
          <w:color w:val="0A0A0A"/>
          <w:sz w:val="21"/>
          <w:szCs w:val="21"/>
        </w:rPr>
        <w:t xml:space="preserve">Trajectory line statement format: 'Your autonomic stability has held for 11 days.' Not a score. Not a percentage. A duration statement in plain language.</w:t>
      </w:r>
    </w:p>
    <w:p>
      <w:pPr>
        <w:pStyle w:val="ListParagraph"/>
        <w:numPr>
          <w:ilvl w:val="0"/>
          <w:numId w:val="2"/>
        </w:numPr>
        <w:spacing w:after="80"/>
      </w:pPr>
      <w:r>
        <w:rPr>
          <w:rFonts w:ascii="Arial" w:cs="Arial" w:eastAsia="Arial" w:hAnsi="Arial"/>
          <w:color w:val="0A0A0A"/>
          <w:sz w:val="21"/>
          <w:szCs w:val="21"/>
        </w:rPr>
        <w:t xml:space="preserve">Compounding effect sentence: One sentence about what this streak is building toward. Example: 'Consistent HRV stability at this duration is associated with lower baseline inflammatory load.' Wellness framing only — no clinical language.</w:t>
      </w:r>
    </w:p>
    <w:p>
      <w:pPr>
        <w:pStyle w:val="ListParagraph"/>
        <w:numPr>
          <w:ilvl w:val="0"/>
          <w:numId w:val="2"/>
        </w:numPr>
        <w:spacing w:after="80"/>
      </w:pPr>
      <w:r>
        <w:rPr>
          <w:rFonts w:ascii="Arial" w:cs="Arial" w:eastAsia="Arial" w:hAnsi="Arial"/>
          <w:color w:val="0A0A0A"/>
          <w:sz w:val="21"/>
          <w:szCs w:val="21"/>
        </w:rPr>
        <w:t xml:space="preserve">At the bottom: an Allostatic Momentum indicator — a single horizontal bar showing the net direction of the user's physiological state over the rolling 14-day window. No number. No score. One of three states: Building / Holding / Shifting. Color-coded: green / gold / amber.</w:t>
      </w:r>
    </w:p>
    <w:p>
      <w:pPr>
        <w:spacing w:after="120"/>
      </w:pPr>
      <w:r>
        <w:t xml:space="preserve"/>
      </w:r>
    </w:p>
    <w:p>
      <w:pPr>
        <w:pStyle w:val="Heading3"/>
        <w:spacing w:after="80" w:before="280"/>
      </w:pPr>
      <w:r>
        <w:rPr>
          <w:rFonts w:ascii="Arial" w:cs="Arial" w:eastAsia="Arial" w:hAnsi="Arial"/>
          <w:b/>
          <w:bCs/>
          <w:color w:val="444444"/>
          <w:sz w:val="22"/>
          <w:szCs w:val="22"/>
        </w:rPr>
        <w:t xml:space="preserve">Copy Constraints</w:t>
      </w:r>
    </w:p>
    <w:p>
      <w:pPr>
        <w:pStyle w:val="ListParagraph"/>
        <w:numPr>
          <w:ilvl w:val="0"/>
          <w:numId w:val="2"/>
        </w:numPr>
        <w:spacing w:after="80"/>
      </w:pPr>
      <w:r>
        <w:rPr>
          <w:rFonts w:ascii="Arial" w:cs="Arial" w:eastAsia="Arial" w:hAnsi="Arial"/>
          <w:color w:val="0A0A0A"/>
          <w:sz w:val="21"/>
          <w:szCs w:val="21"/>
        </w:rPr>
        <w:t xml:space="preserve">Forward-facing language only. No 'your score was' or 'last week.'</w:t>
      </w:r>
    </w:p>
    <w:p>
      <w:pPr>
        <w:pStyle w:val="ListParagraph"/>
        <w:numPr>
          <w:ilvl w:val="0"/>
          <w:numId w:val="2"/>
        </w:numPr>
        <w:spacing w:after="80"/>
      </w:pPr>
      <w:r>
        <w:rPr>
          <w:rFonts w:ascii="Arial" w:cs="Arial" w:eastAsia="Arial" w:hAnsi="Arial"/>
          <w:color w:val="0A0A0A"/>
          <w:sz w:val="21"/>
          <w:szCs w:val="21"/>
        </w:rPr>
        <w:t xml:space="preserve">Duration framing preferred over magnitude framing. 'Held for 11 days' is better than 'strong.'</w:t>
      </w:r>
    </w:p>
    <w:p>
      <w:pPr>
        <w:pStyle w:val="ListParagraph"/>
        <w:numPr>
          <w:ilvl w:val="0"/>
          <w:numId w:val="2"/>
        </w:numPr>
        <w:spacing w:after="80"/>
      </w:pPr>
      <w:r>
        <w:rPr>
          <w:rFonts w:ascii="Arial" w:cs="Arial" w:eastAsia="Arial" w:hAnsi="Arial"/>
          <w:color w:val="0A0A0A"/>
          <w:sz w:val="21"/>
          <w:szCs w:val="21"/>
        </w:rPr>
        <w:t xml:space="preserve">The compounding effect sentence must be sourced from the Ontology Engine's Protective Nodes documentation — not invented by Claude at inference time. Claude selects from a curated set mapped to each pathway state.</w:t>
      </w:r>
    </w:p>
    <w:p>
      <w:pPr>
        <w:spacing w:after="160"/>
      </w:pPr>
      <w:r>
        <w:t xml:space="preserve"/>
      </w:r>
    </w:p>
    <w:p>
      <w:pPr>
        <w:pStyle w:val="Heading2"/>
        <w:spacing w:after="120" w:before="360"/>
      </w:pPr>
      <w:r>
        <w:rPr>
          <w:rFonts w:ascii="Arial" w:cs="Arial" w:eastAsia="Arial" w:hAnsi="Arial"/>
          <w:b/>
          <w:bCs/>
          <w:color w:val="0A0A0A"/>
          <w:sz w:val="28"/>
          <w:szCs w:val="28"/>
        </w:rPr>
        <w:t xml:space="preserve">1.4  Page 3 — Foundations (How This Works)</w:t>
      </w:r>
    </w:p>
    <w:p>
      <w:pPr>
        <w:pStyle w:val="Heading3"/>
        <w:spacing w:after="80" w:before="280"/>
      </w:pPr>
      <w:r>
        <w:rPr>
          <w:rFonts w:ascii="Arial" w:cs="Arial" w:eastAsia="Arial" w:hAnsi="Arial"/>
          <w:b/>
          <w:bCs/>
          <w:color w:val="444444"/>
          <w:sz w:val="22"/>
          <w:szCs w:val="22"/>
        </w:rPr>
        <w:t xml:space="preserve">Screen Purpose</w:t>
      </w:r>
    </w:p>
    <w:p>
      <w:pPr>
        <w:spacing w:after="120"/>
      </w:pPr>
      <w:r>
        <w:rPr>
          <w:rFonts w:ascii="Arial" w:cs="Arial" w:eastAsia="Arial" w:hAnsi="Arial"/>
          <w:color w:val="0A0A0A"/>
          <w:sz w:val="22"/>
          <w:szCs w:val="22"/>
        </w:rPr>
        <w:t xml:space="preserve">This page answers: What is Horizon actually watching? It makes the engine legible without being clinical, manual-like, or FAQ-formatted. The goal is to create trust through transparency — a user who understands the logic is more likely to trust the output and less likely to be alarmed by a future ELEVATED state.</w:t>
      </w:r>
    </w:p>
    <w:p>
      <w:pPr>
        <w:spacing w:after="120"/>
      </w:pPr>
      <w:r>
        <w:t xml:space="preserve"/>
      </w:r>
    </w:p>
    <w:p>
      <w:pPr>
        <w:pStyle w:val="Heading3"/>
        <w:spacing w:after="80" w:before="280"/>
      </w:pPr>
      <w:r>
        <w:rPr>
          <w:rFonts w:ascii="Arial" w:cs="Arial" w:eastAsia="Arial" w:hAnsi="Arial"/>
          <w:b/>
          <w:bCs/>
          <w:color w:val="444444"/>
          <w:sz w:val="22"/>
          <w:szCs w:val="22"/>
        </w:rPr>
        <w:t xml:space="preserve">Design Constraints</w:t>
      </w:r>
    </w:p>
    <w:p>
      <w:pPr>
        <w:pStyle w:val="ListParagraph"/>
        <w:numPr>
          <w:ilvl w:val="0"/>
          <w:numId w:val="2"/>
        </w:numPr>
        <w:spacing w:after="80"/>
      </w:pPr>
      <w:r>
        <w:rPr>
          <w:rFonts w:ascii="Arial" w:cs="Arial" w:eastAsia="Arial" w:hAnsi="Arial"/>
          <w:color w:val="0A0A0A"/>
          <w:sz w:val="21"/>
          <w:szCs w:val="21"/>
        </w:rPr>
        <w:t xml:space="preserve">This is not an FAQ. It is not a help screen. It does not use question-and-answer formatting.</w:t>
      </w:r>
    </w:p>
    <w:p>
      <w:pPr>
        <w:pStyle w:val="ListParagraph"/>
        <w:numPr>
          <w:ilvl w:val="0"/>
          <w:numId w:val="2"/>
        </w:numPr>
        <w:spacing w:after="80"/>
      </w:pPr>
      <w:r>
        <w:rPr>
          <w:rFonts w:ascii="Arial" w:cs="Arial" w:eastAsia="Arial" w:hAnsi="Arial"/>
          <w:color w:val="0A0A0A"/>
          <w:sz w:val="21"/>
          <w:szCs w:val="21"/>
        </w:rPr>
        <w:t xml:space="preserve">It reads like the product is explaining itself — first-person system voice. 'Horizon watches three upstream pathways. Each pathway is a cluster of signals that tend to move together before you feel anything.'</w:t>
      </w:r>
    </w:p>
    <w:p>
      <w:pPr>
        <w:pStyle w:val="ListParagraph"/>
        <w:numPr>
          <w:ilvl w:val="0"/>
          <w:numId w:val="2"/>
        </w:numPr>
        <w:spacing w:after="80"/>
      </w:pPr>
      <w:r>
        <w:rPr>
          <w:rFonts w:ascii="Arial" w:cs="Arial" w:eastAsia="Arial" w:hAnsi="Arial"/>
          <w:color w:val="0A0A0A"/>
          <w:sz w:val="21"/>
          <w:szCs w:val="21"/>
        </w:rPr>
        <w:t xml:space="preserve">Three sections, each brief: What Horizon watches (the three-pathway model, one sentence each). What triggers a shift (plain-language description of the 5-day consecutive threshold, no numbers in the headline). What you can do now (one CTA line per pathway tied to a Protective Node — not the daily nudge, pathway-specific context).</w:t>
      </w:r>
    </w:p>
    <w:p>
      <w:pPr>
        <w:pStyle w:val="ListParagraph"/>
        <w:numPr>
          <w:ilvl w:val="0"/>
          <w:numId w:val="2"/>
        </w:numPr>
        <w:spacing w:after="80"/>
      </w:pPr>
      <w:r>
        <w:rPr>
          <w:rFonts w:ascii="Arial" w:cs="Arial" w:eastAsia="Arial" w:hAnsi="Arial"/>
          <w:color w:val="0A0A0A"/>
          <w:sz w:val="21"/>
          <w:szCs w:val="21"/>
        </w:rPr>
        <w:t xml:space="preserve">No score numbers. No threshold percentages. No medical terminology.</w:t>
      </w:r>
    </w:p>
    <w:p>
      <w:pPr>
        <w:spacing w:after="120"/>
      </w:pPr>
      <w:r>
        <w:t xml:space="preserve"/>
      </w:r>
    </w:p>
    <w:p>
      <w:pPr>
        <w:pStyle w:val="Heading3"/>
        <w:spacing w:after="80" w:before="280"/>
      </w:pPr>
      <w:r>
        <w:rPr>
          <w:rFonts w:ascii="Arial" w:cs="Arial" w:eastAsia="Arial" w:hAnsi="Arial"/>
          <w:b/>
          <w:bCs/>
          <w:color w:val="444444"/>
          <w:sz w:val="22"/>
          <w:szCs w:val="22"/>
        </w:rPr>
        <w:t xml:space="preserve">Voice Examples</w:t>
      </w:r>
    </w:p>
    <w:p>
      <w:pPr>
        <w:pBdr>
          <w:left w:val="single" w:color="B8946A" w:sz="8" w:space="6"/>
        </w:pBdr>
        <w:spacing w:after="80" w:before="80"/>
        <w:ind w:left="720"/>
      </w:pPr>
      <w:r>
        <w:rPr>
          <w:rFonts w:ascii="Arial" w:cs="Arial" w:eastAsia="Arial" w:hAnsi="Arial"/>
          <w:i/>
          <w:iCs/>
          <w:color w:val="444444"/>
          <w:sz w:val="20"/>
          <w:szCs w:val="20"/>
        </w:rPr>
        <w:t xml:space="preserve">Horizon watches three upstream pathways: Autonomic, Sleep, and Metabolic. Each one is a cluster of signals that tend to shift before you feel anything change.</w:t>
      </w:r>
    </w:p>
    <w:p>
      <w:pPr>
        <w:pBdr>
          <w:left w:val="single" w:color="B8946A" w:sz="8" w:space="6"/>
        </w:pBdr>
        <w:spacing w:after="80" w:before="80"/>
        <w:ind w:left="720"/>
      </w:pPr>
      <w:r>
        <w:rPr>
          <w:rFonts w:ascii="Arial" w:cs="Arial" w:eastAsia="Arial" w:hAnsi="Arial"/>
          <w:i/>
          <w:iCs/>
          <w:color w:val="444444"/>
          <w:sz w:val="20"/>
          <w:szCs w:val="20"/>
        </w:rPr>
        <w:t xml:space="preserve">When a pathway stays under pressure for long enough, Horizon surfaces what it sees forming — and what historically has helped redirect it.</w:t>
      </w:r>
    </w:p>
    <w:p>
      <w:pPr>
        <w:pBdr>
          <w:left w:val="single" w:color="B8946A" w:sz="8" w:space="6"/>
        </w:pBdr>
        <w:spacing w:after="80" w:before="80"/>
        <w:ind w:left="720"/>
      </w:pPr>
      <w:r>
        <w:rPr>
          <w:rFonts w:ascii="Arial" w:cs="Arial" w:eastAsia="Arial" w:hAnsi="Arial"/>
          <w:i/>
          <w:iCs/>
          <w:color w:val="444444"/>
          <w:sz w:val="20"/>
          <w:szCs w:val="20"/>
        </w:rPr>
        <w:t xml:space="preserve">Right now, all three pathways are calm. That is information too. Keep building.</w:t>
      </w:r>
    </w:p>
    <w:p>
      <w:pPr>
        <w:spacing w:after="120"/>
      </w:pPr>
      <w:r>
        <w:t xml:space="preserve"/>
      </w:r>
    </w:p>
    <w:p>
      <w:pPr>
        <w:pStyle w:val="Heading3"/>
        <w:spacing w:after="80" w:before="280"/>
      </w:pPr>
      <w:r>
        <w:rPr>
          <w:rFonts w:ascii="Arial" w:cs="Arial" w:eastAsia="Arial" w:hAnsi="Arial"/>
          <w:b/>
          <w:bCs/>
          <w:color w:val="444444"/>
          <w:sz w:val="22"/>
          <w:szCs w:val="22"/>
        </w:rPr>
        <w:t xml:space="preserve">Discovery Affordance — Edge Peek</w:t>
      </w:r>
    </w:p>
    <w:p>
      <w:pPr>
        <w:spacing w:after="120"/>
      </w:pPr>
      <w:r>
        <w:rPr>
          <w:rFonts w:ascii="Arial" w:cs="Arial" w:eastAsia="Arial" w:hAnsi="Arial"/>
          <w:color w:val="0A0A0A"/>
          <w:sz w:val="22"/>
          <w:szCs w:val="22"/>
        </w:rPr>
        <w:t xml:space="preserve">When a user is on Page 1 (Signal) for the first time, a subtle edge-peek animation fires once — a 3-point swipe gesture revealing the left edge of Page 2, then snapping back. This communicates that the surface is swipeable without any text instruction. The animation fires once per install, not on every launch.</w:t>
      </w:r>
    </w:p>
    <w:p>
      <w:pPr>
        <w:spacing w:after="160"/>
      </w:pPr>
      <w:r>
        <w:t xml:space="preserve"/>
      </w:r>
    </w:p>
    <w:p>
      <w:pPr>
        <w:pStyle w:val="Heading2"/>
        <w:spacing w:after="120" w:before="360"/>
      </w:pPr>
      <w:r>
        <w:rPr>
          <w:rFonts w:ascii="Arial" w:cs="Arial" w:eastAsia="Arial" w:hAnsi="Arial"/>
          <w:b/>
          <w:bCs/>
          <w:color w:val="0A0A0A"/>
          <w:sz w:val="28"/>
          <w:szCs w:val="28"/>
        </w:rPr>
        <w:t xml:space="preserve">1.5  Dot Indicator Behavior</w:t>
      </w:r>
    </w:p>
    <w:p>
      <w:pPr>
        <w:spacing w:after="120"/>
      </w:pPr>
      <w:r>
        <w:rPr>
          <w:rFonts w:ascii="Arial" w:cs="Arial" w:eastAsia="Arial" w:hAnsi="Arial"/>
          <w:color w:val="0A0A0A"/>
          <w:sz w:val="22"/>
          <w:szCs w:val="22"/>
        </w:rPr>
        <w:t xml:space="preserve">The dot indicator below the page container communicates position and availability. Constraints:</w:t>
      </w:r>
    </w:p>
    <w:p>
      <w:pPr>
        <w:pStyle w:val="ListParagraph"/>
        <w:numPr>
          <w:ilvl w:val="0"/>
          <w:numId w:val="2"/>
        </w:numPr>
        <w:spacing w:after="80"/>
      </w:pPr>
      <w:r>
        <w:rPr>
          <w:rFonts w:ascii="Arial" w:cs="Arial" w:eastAsia="Arial" w:hAnsi="Arial"/>
          <w:color w:val="0A0A0A"/>
          <w:sz w:val="21"/>
          <w:szCs w:val="21"/>
        </w:rPr>
        <w:t xml:space="preserve">Minimum three dots always visible (Pages 1–3 always exist).</w:t>
      </w:r>
    </w:p>
    <w:p>
      <w:pPr>
        <w:pStyle w:val="ListParagraph"/>
        <w:numPr>
          <w:ilvl w:val="0"/>
          <w:numId w:val="2"/>
        </w:numPr>
        <w:spacing w:after="80"/>
      </w:pPr>
      <w:r>
        <w:rPr>
          <w:rFonts w:ascii="Arial" w:cs="Arial" w:eastAsia="Arial" w:hAnsi="Arial"/>
          <w:color w:val="0A0A0A"/>
          <w:sz w:val="21"/>
          <w:szCs w:val="21"/>
        </w:rPr>
        <w:t xml:space="preserve">Dot 4 appears when Trajectory (old Page 2) unlocks. Amber color.</w:t>
      </w:r>
    </w:p>
    <w:p>
      <w:pPr>
        <w:pStyle w:val="ListParagraph"/>
        <w:numPr>
          <w:ilvl w:val="0"/>
          <w:numId w:val="2"/>
        </w:numPr>
        <w:spacing w:after="80"/>
      </w:pPr>
      <w:r>
        <w:rPr>
          <w:rFonts w:ascii="Arial" w:cs="Arial" w:eastAsia="Arial" w:hAnsi="Arial"/>
          <w:color w:val="0A0A0A"/>
          <w:sz w:val="21"/>
          <w:szCs w:val="21"/>
        </w:rPr>
        <w:t xml:space="preserve">Dot 5 appears when Redirect (old Page 3) unlocks. Amber color.</w:t>
      </w:r>
    </w:p>
    <w:p>
      <w:pPr>
        <w:pStyle w:val="ListParagraph"/>
        <w:numPr>
          <w:ilvl w:val="0"/>
          <w:numId w:val="2"/>
        </w:numPr>
        <w:spacing w:after="80"/>
      </w:pPr>
      <w:r>
        <w:rPr>
          <w:rFonts w:ascii="Arial" w:cs="Arial" w:eastAsia="Arial" w:hAnsi="Arial"/>
          <w:color w:val="0A0A0A"/>
          <w:sz w:val="21"/>
          <w:szCs w:val="21"/>
        </w:rPr>
        <w:t xml:space="preserve">Dot 6 appears when Escalate unlocks. No change to dot appearance from Redirect — the escalation state is communicated inside the page, not at the navigation layer.</w:t>
      </w:r>
    </w:p>
    <w:p>
      <w:pPr>
        <w:pStyle w:val="ListParagraph"/>
        <w:numPr>
          <w:ilvl w:val="0"/>
          <w:numId w:val="2"/>
        </w:numPr>
        <w:spacing w:after="80"/>
      </w:pPr>
      <w:r>
        <w:rPr>
          <w:rFonts w:ascii="Arial" w:cs="Arial" w:eastAsia="Arial" w:hAnsi="Arial"/>
          <w:color w:val="0A0A0A"/>
          <w:sz w:val="21"/>
          <w:szCs w:val="21"/>
        </w:rPr>
        <w:t xml:space="preserve">Active dot: gold fill. Inactive dot: grey outline. No labels.</w:t>
      </w:r>
    </w:p>
    <w:p>
      <w:pPr>
        <w:spacing w:after="160"/>
      </w:pPr>
      <w:r>
        <w:t xml:space="preserve"/>
      </w:r>
    </w:p>
    <w:p>
      <w:pPr>
        <w:pStyle w:val="Heading2"/>
        <w:spacing w:after="120" w:before="360"/>
      </w:pPr>
      <w:r>
        <w:rPr>
          <w:rFonts w:ascii="Arial" w:cs="Arial" w:eastAsia="Arial" w:hAnsi="Arial"/>
          <w:b/>
          <w:bCs/>
          <w:color w:val="0A0A0A"/>
          <w:sz w:val="28"/>
          <w:szCs w:val="28"/>
        </w:rPr>
        <w:t xml:space="preserve">1.6  Exit Criteria for This Design Decision</w:t>
      </w:r>
    </w:p>
    <w:p>
      <w:pPr>
        <w:pStyle w:val="ListParagraph"/>
        <w:numPr>
          <w:ilvl w:val="0"/>
          <w:numId w:val="2"/>
        </w:numPr>
        <w:spacing w:after="80"/>
      </w:pPr>
      <w:r>
        <w:rPr>
          <w:rFonts w:ascii="Arial" w:cs="Arial" w:eastAsia="Arial" w:hAnsi="Arial"/>
          <w:color w:val="0A0A0A"/>
          <w:sz w:val="21"/>
          <w:szCs w:val="21"/>
        </w:rPr>
        <w:t xml:space="preserve">A user whose pathways are all CALM has three pages to explore.</w:t>
      </w:r>
    </w:p>
    <w:p>
      <w:pPr>
        <w:pStyle w:val="ListParagraph"/>
        <w:numPr>
          <w:ilvl w:val="0"/>
          <w:numId w:val="2"/>
        </w:numPr>
        <w:spacing w:after="80"/>
      </w:pPr>
      <w:r>
        <w:rPr>
          <w:rFonts w:ascii="Arial" w:cs="Arial" w:eastAsia="Arial" w:hAnsi="Arial"/>
          <w:color w:val="0A0A0A"/>
          <w:sz w:val="21"/>
          <w:szCs w:val="21"/>
        </w:rPr>
        <w:t xml:space="preserve">Page 2 (Momentum) uses duration framing, not score framing.</w:t>
      </w:r>
    </w:p>
    <w:p>
      <w:pPr>
        <w:pStyle w:val="ListParagraph"/>
        <w:numPr>
          <w:ilvl w:val="0"/>
          <w:numId w:val="2"/>
        </w:numPr>
        <w:spacing w:after="80"/>
      </w:pPr>
      <w:r>
        <w:rPr>
          <w:rFonts w:ascii="Arial" w:cs="Arial" w:eastAsia="Arial" w:hAnsi="Arial"/>
          <w:color w:val="0A0A0A"/>
          <w:sz w:val="21"/>
          <w:szCs w:val="21"/>
        </w:rPr>
        <w:t xml:space="preserve">Page 3 (Foundations) reads as system transparency, not a help document.</w:t>
      </w:r>
    </w:p>
    <w:p>
      <w:pPr>
        <w:pStyle w:val="ListParagraph"/>
        <w:numPr>
          <w:ilvl w:val="0"/>
          <w:numId w:val="2"/>
        </w:numPr>
        <w:spacing w:after="80"/>
      </w:pPr>
      <w:r>
        <w:rPr>
          <w:rFonts w:ascii="Arial" w:cs="Arial" w:eastAsia="Arial" w:hAnsi="Arial"/>
          <w:color w:val="0A0A0A"/>
          <w:sz w:val="21"/>
          <w:szCs w:val="21"/>
        </w:rPr>
        <w:t xml:space="preserve">No FAQ-style question/answer formatting appears anywhere.</w:t>
      </w:r>
    </w:p>
    <w:p>
      <w:pPr>
        <w:pStyle w:val="ListParagraph"/>
        <w:numPr>
          <w:ilvl w:val="0"/>
          <w:numId w:val="2"/>
        </w:numPr>
        <w:spacing w:after="80"/>
      </w:pPr>
      <w:r>
        <w:rPr>
          <w:rFonts w:ascii="Arial" w:cs="Arial" w:eastAsia="Arial" w:hAnsi="Arial"/>
          <w:color w:val="0A0A0A"/>
          <w:sz w:val="21"/>
          <w:szCs w:val="21"/>
        </w:rPr>
        <w:t xml:space="preserve">The edge-peek affordance fires once per install only.</w:t>
      </w:r>
    </w:p>
    <w:p>
      <w:pPr>
        <w:pStyle w:val="ListParagraph"/>
        <w:numPr>
          <w:ilvl w:val="0"/>
          <w:numId w:val="2"/>
        </w:numPr>
        <w:spacing w:after="80"/>
      </w:pPr>
      <w:r>
        <w:rPr>
          <w:rFonts w:ascii="Arial" w:cs="Arial" w:eastAsia="Arial" w:hAnsi="Arial"/>
          <w:color w:val="0A0A0A"/>
          <w:sz w:val="21"/>
          <w:szCs w:val="21"/>
        </w:rPr>
        <w:t xml:space="preserve">All copy on Pages 2 and 3 passes wellness-only constraint.</w:t>
      </w:r>
    </w:p>
    <w:p>
      <w:r>
        <w:br w:type="page"/>
      </w:r>
    </w:p>
    <w:p>
      <w:pPr>
        <w:spacing w:after="80" w:before="320"/>
      </w:pPr>
      <w:r>
        <w:rPr>
          <w:rFonts w:ascii="Arial" w:cs="Arial" w:eastAsia="Arial" w:hAnsi="Arial"/>
          <w:b/>
          <w:bCs/>
          <w:color w:val="B8946A"/>
          <w:sz w:val="16"/>
          <w:szCs w:val="16"/>
        </w:rPr>
        <w:t xml:space="preserve">SESSION 2</w:t>
      </w:r>
    </w:p>
    <w:p>
      <w:pPr>
        <w:pStyle w:val="Heading1"/>
        <w:spacing w:after="160" w:before="480"/>
      </w:pPr>
      <w:r>
        <w:rPr>
          <w:rFonts w:ascii="Arial" w:cs="Arial" w:eastAsia="Arial" w:hAnsi="Arial"/>
          <w:b/>
          <w:bCs/>
          <w:color w:val="0A0A0A"/>
          <w:sz w:val="44"/>
          <w:szCs w:val="44"/>
        </w:rPr>
        <w:t xml:space="preserve">Ontology Engine v1 Specification</w:t>
      </w:r>
    </w:p>
    <w:p>
      <w:pPr>
        <w:spacing w:after="120"/>
      </w:pPr>
      <w:r>
        <w:rPr>
          <w:rFonts w:ascii="Arial" w:cs="Arial" w:eastAsia="Arial" w:hAnsi="Arial"/>
          <w:color w:val="0A0A0A"/>
          <w:sz w:val="22"/>
          <w:szCs w:val="22"/>
        </w:rPr>
        <w:t xml:space="preserve">The Chronic Disease Ontology Engine is MBI's core proprietary asset — a four-tier causal graph mapping modifiable behavior through biological response nodes, intermediate dysfunction states, and chronic disease endpoints. This session specifies exactly how v1 of that engine connects to the live product: what it reads, how it classifies, how it gates outputs, and how it learns.</w:t>
      </w:r>
    </w:p>
    <w:p>
      <w:pPr>
        <w:spacing w:after="16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The Ontology Engine does not generate narrative. It classifies. Claude generates narrative from classifications. This separation is an architectural invariant — not a convenience.</w:t>
      </w:r>
    </w:p>
    <w:p>
      <w:pPr>
        <w:spacing w:after="160"/>
      </w:pPr>
      <w:r>
        <w:t xml:space="preserve"/>
      </w:r>
    </w:p>
    <w:p>
      <w:pPr>
        <w:pStyle w:val="Heading2"/>
        <w:spacing w:after="120" w:before="360"/>
      </w:pPr>
      <w:r>
        <w:rPr>
          <w:rFonts w:ascii="Arial" w:cs="Arial" w:eastAsia="Arial" w:hAnsi="Arial"/>
          <w:b/>
          <w:bCs/>
          <w:color w:val="0A0A0A"/>
          <w:sz w:val="28"/>
          <w:szCs w:val="28"/>
        </w:rPr>
        <w:t xml:space="preserve">2.1  Architecture Overview</w:t>
      </w:r>
    </w:p>
    <w:p>
      <w:pPr>
        <w:spacing w:after="120"/>
      </w:pPr>
      <w:r>
        <w:rPr>
          <w:rFonts w:ascii="Arial" w:cs="Arial" w:eastAsia="Arial" w:hAnsi="Arial"/>
          <w:color w:val="0A0A0A"/>
          <w:sz w:val="22"/>
          <w:szCs w:val="22"/>
        </w:rPr>
        <w:t xml:space="preserve">The engine operates as a deterministic classification layer sitting between the scoring pipeline and the Horizon narrative layer. It receives structured daily_scores data and outputs a structured classification object. It never produces text. It never receives text from Claude.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HealthKit / Terra (input)</w:t>
            </w:r>
          </w:p>
        </w:tc>
        <w:tc>
          <w:tcPr>
            <w:tcW w:type="dxa" w:w="6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Raw biometric data ingested per sync. 8 core metrics today, dynamic expansion via schema versioning.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Scoring Engine (deterministic)</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Computes domain scores and Resilience Index. Outputs daily_scores row. No ML. No inference.</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Ontology Engine (classification)</w:t>
            </w:r>
          </w:p>
        </w:tc>
        <w:tc>
          <w:tcPr>
            <w:tcW w:type="dxa" w:w="6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Reads daily_scores history. Evaluates pathway state, activates nodes, assigns conditionClass, computes confidenceGate. Deterministic rules — no ML in v1.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Claude API (narrative)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Receives structured classification output. Generates Horizon page copy. Never influences scoring or classification.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Horizon UI (display)</w:t>
            </w:r>
          </w:p>
        </w:tc>
        <w:tc>
          <w:tcPr>
            <w:tcW w:type="dxa" w:w="6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Renders classification and narrative. Page unlock state driven by engine output, not UI logic.</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2.2  What the Engine Reads</w:t>
      </w:r>
    </w:p>
    <w:p>
      <w:pPr>
        <w:pStyle w:val="Heading3"/>
        <w:spacing w:after="80" w:before="280"/>
      </w:pPr>
      <w:r>
        <w:rPr>
          <w:rFonts w:ascii="Arial" w:cs="Arial" w:eastAsia="Arial" w:hAnsi="Arial"/>
          <w:b/>
          <w:bCs/>
          <w:color w:val="444444"/>
          <w:sz w:val="22"/>
          <w:szCs w:val="22"/>
        </w:rPr>
        <w:t xml:space="preserve">Current Metric Set (Phase 2 v1)</w:t>
      </w:r>
    </w:p>
    <w:p>
      <w:pPr>
        <w:spacing w:after="120"/>
      </w:pPr>
      <w:r>
        <w:rPr>
          <w:rFonts w:ascii="Arial" w:cs="Arial" w:eastAsia="Arial" w:hAnsi="Arial"/>
          <w:color w:val="0A0A0A"/>
          <w:sz w:val="22"/>
          <w:szCs w:val="22"/>
        </w:rPr>
        <w:t xml:space="preserve">All metrics are read from the daily_scores and daily_inputs tables. The engine reads per-user history only — within-user primacy is enforced at the data layer.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Source</w:t>
            </w:r>
          </w:p>
        </w:tc>
        <w:tc>
          <w:tcPr>
            <w:tcW w:type="dxa" w:w="24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Pathway Mapped To</w:t>
            </w:r>
          </w:p>
        </w:tc>
        <w:tc>
          <w:tcPr>
            <w:tcW w:type="dxa" w:w="248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Node Activated</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HRV (ms)</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HealthKit / Apple Watch</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Autonomic</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Low HRV → Sympathetic Dominance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Resting Heart Rate (bpm)</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HealthKit / Apple Watch</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Autonomic</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Elevated RHR → Autonomic Dysfunction</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Respiratory Rate (rpm)</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HealthKit / Apple Watch</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Autonomic / Sleep</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Elevated RR → Early Illness Signal</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Sleep Duration (hrs)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HealthKit</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Sleep</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&lt; Baseline → Sleep Fragmentation</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Sleep Efficiency (%)</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HealthKit</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Sleep</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Low efficiency → Sleep Architecture Disruption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Steps (count)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HealthKit</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Metabolic</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&lt; Threshold → Physical Inactivity</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Active Minutes (min)</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HealthKit</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Metabolic</w:t>
            </w:r>
          </w:p>
        </w:tc>
        <w:tc>
          <w:tcPr>
            <w:tcW w:type="dxa" w:w="248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Low → Physical Inactivity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Active Energy (kcal)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HealthKit</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Metabolic</w:t>
            </w:r>
          </w:p>
        </w:tc>
        <w:tc>
          <w:tcPr>
            <w:tcW w:type="dxa" w:w="24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Supporting metabolic load signal</w:t>
            </w:r>
          </w:p>
        </w:tc>
      </w:tr>
    </w:tbl>
    <w:p>
      <w:pPr>
        <w:spacing w:after="160"/>
      </w:pPr>
      <w:r>
        <w:t xml:space="preserve"/>
      </w:r>
    </w:p>
    <w:p>
      <w:pPr>
        <w:pStyle w:val="Heading3"/>
        <w:spacing w:after="80" w:before="280"/>
      </w:pPr>
      <w:r>
        <w:rPr>
          <w:rFonts w:ascii="Arial" w:cs="Arial" w:eastAsia="Arial" w:hAnsi="Arial"/>
          <w:b/>
          <w:bCs/>
          <w:color w:val="444444"/>
          <w:sz w:val="22"/>
          <w:szCs w:val="22"/>
        </w:rPr>
        <w:t xml:space="preserve">Dynamic Metric Expansion</w:t>
      </w:r>
    </w:p>
    <w:p>
      <w:pPr>
        <w:spacing w:after="120"/>
      </w:pPr>
      <w:r>
        <w:rPr>
          <w:rFonts w:ascii="Arial" w:cs="Arial" w:eastAsia="Arial" w:hAnsi="Arial"/>
          <w:color w:val="0A0A0A"/>
          <w:sz w:val="22"/>
          <w:szCs w:val="22"/>
        </w:rPr>
        <w:t xml:space="preserve">The engine is designed to be metric-agnostic. New metrics are added without rebuilding the classification logic. The architecture uses a metric_node_map table in Supabase that stores metric slug → pathway → node associations. Adding a new metric (e.g. blood oxygen, weight from a smart scale, blood pressure from Terra) requires:</w:t>
      </w:r>
    </w:p>
    <w:p>
      <w:pPr>
        <w:pStyle w:val="ListParagraph"/>
        <w:numPr>
          <w:ilvl w:val="0"/>
          <w:numId w:val="3"/>
        </w:numPr>
        <w:spacing w:after="80"/>
      </w:pPr>
      <w:r>
        <w:rPr>
          <w:rFonts w:ascii="Arial" w:cs="Arial" w:eastAsia="Arial" w:hAnsi="Arial"/>
          <w:color w:val="0A0A0A"/>
          <w:sz w:val="21"/>
          <w:szCs w:val="21"/>
        </w:rPr>
        <w:t xml:space="preserve">Add the metric to the ingestion pipeline.</w:t>
      </w:r>
    </w:p>
    <w:p>
      <w:pPr>
        <w:pStyle w:val="ListParagraph"/>
        <w:numPr>
          <w:ilvl w:val="0"/>
          <w:numId w:val="3"/>
        </w:numPr>
        <w:spacing w:after="80"/>
      </w:pPr>
      <w:r>
        <w:rPr>
          <w:rFonts w:ascii="Arial" w:cs="Arial" w:eastAsia="Arial" w:hAnsi="Arial"/>
          <w:color w:val="0A0A0A"/>
          <w:sz w:val="21"/>
          <w:szCs w:val="21"/>
        </w:rPr>
        <w:t xml:space="preserve">Add a row to metric_node_map with its pathway and node association.</w:t>
      </w:r>
    </w:p>
    <w:p>
      <w:pPr>
        <w:pStyle w:val="ListParagraph"/>
        <w:numPr>
          <w:ilvl w:val="0"/>
          <w:numId w:val="3"/>
        </w:numPr>
        <w:spacing w:after="80"/>
      </w:pPr>
      <w:r>
        <w:rPr>
          <w:rFonts w:ascii="Arial" w:cs="Arial" w:eastAsia="Arial" w:hAnsi="Arial"/>
          <w:color w:val="0A0A0A"/>
          <w:sz w:val="21"/>
          <w:szCs w:val="21"/>
        </w:rPr>
        <w:t xml:space="preserve">Set activation thresholds in the node_activation_rules table.</w:t>
      </w:r>
    </w:p>
    <w:p>
      <w:pPr>
        <w:pStyle w:val="ListParagraph"/>
        <w:numPr>
          <w:ilvl w:val="0"/>
          <w:numId w:val="3"/>
        </w:numPr>
        <w:spacing w:after="80"/>
      </w:pPr>
      <w:r>
        <w:rPr>
          <w:rFonts w:ascii="Arial" w:cs="Arial" w:eastAsia="Arial" w:hAnsi="Arial"/>
          <w:color w:val="0A0A0A"/>
          <w:sz w:val="21"/>
          <w:szCs w:val="21"/>
        </w:rPr>
        <w:t xml:space="preserve">The engine picks it up on next classification run — no code change required.</w:t>
      </w:r>
    </w:p>
    <w:p>
      <w:pPr>
        <w:spacing w:after="12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This is the architectural reason Terra integration (Session 4) is a Phase 2 priority rather than Phase 3. The engine is built to receive it cleanly.</w:t>
      </w:r>
    </w:p>
    <w:p>
      <w:pPr>
        <w:spacing w:after="160"/>
      </w:pPr>
      <w:r>
        <w:t xml:space="preserve"/>
      </w:r>
    </w:p>
    <w:p>
      <w:pPr>
        <w:pStyle w:val="Heading2"/>
        <w:spacing w:after="120" w:before="360"/>
      </w:pPr>
      <w:r>
        <w:rPr>
          <w:rFonts w:ascii="Arial" w:cs="Arial" w:eastAsia="Arial" w:hAnsi="Arial"/>
          <w:b/>
          <w:bCs/>
          <w:color w:val="0A0A0A"/>
          <w:sz w:val="28"/>
          <w:szCs w:val="28"/>
        </w:rPr>
        <w:t xml:space="preserve">2.3  Four-Tier Classification Logic</w:t>
      </w:r>
    </w:p>
    <w:p>
      <w:pPr>
        <w:spacing w:after="120"/>
      </w:pPr>
      <w:r>
        <w:rPr>
          <w:rFonts w:ascii="Arial" w:cs="Arial" w:eastAsia="Arial" w:hAnsi="Arial"/>
          <w:color w:val="0A0A0A"/>
          <w:sz w:val="22"/>
          <w:szCs w:val="22"/>
        </w:rPr>
        <w:t xml:space="preserve">The engine evaluates each user's rolling 14-day history and assigns activation state across the four tiers of the ontology graph. In v1, classification is rule-based — no machine learning. All thresholds are within-user: they compare to the user's own 90-day baseline, not population norms.</w:t>
      </w:r>
    </w:p>
    <w:p>
      <w:pPr>
        <w:spacing w:after="120"/>
      </w:pPr>
      <w:r>
        <w:t xml:space="preserve"/>
      </w:r>
    </w:p>
    <w:p>
      <w:pPr>
        <w:pStyle w:val="Heading3"/>
        <w:spacing w:after="80" w:before="280"/>
      </w:pPr>
      <w:r>
        <w:rPr>
          <w:rFonts w:ascii="Arial" w:cs="Arial" w:eastAsia="Arial" w:hAnsi="Arial"/>
          <w:b/>
          <w:bCs/>
          <w:color w:val="444444"/>
          <w:sz w:val="22"/>
          <w:szCs w:val="22"/>
        </w:rPr>
        <w:t xml:space="preserve">Tier 1 — Root Cause Proxies (Wearable-Inferred)</w:t>
      </w:r>
    </w:p>
    <w:p>
      <w:pPr>
        <w:spacing w:after="120"/>
      </w:pPr>
      <w:r>
        <w:rPr>
          <w:rFonts w:ascii="Arial" w:cs="Arial" w:eastAsia="Arial" w:hAnsi="Arial"/>
          <w:color w:val="0A0A0A"/>
          <w:sz w:val="22"/>
          <w:szCs w:val="22"/>
        </w:rPr>
        <w:t xml:space="preserve">Root causes not directly measurable from wearables are inferred from downstream signals. In v1, the engine uses three inferred root cause proxies:</w:t>
      </w:r>
    </w:p>
    <w:p>
      <w:pPr>
        <w:pStyle w:val="ListParagraph"/>
        <w:numPr>
          <w:ilvl w:val="0"/>
          <w:numId w:val="2"/>
        </w:numPr>
        <w:spacing w:after="80"/>
      </w:pPr>
      <w:r>
        <w:rPr>
          <w:rFonts w:ascii="Arial" w:cs="Arial" w:eastAsia="Arial" w:hAnsi="Arial"/>
          <w:color w:val="0A0A0A"/>
          <w:sz w:val="21"/>
          <w:szCs w:val="21"/>
        </w:rPr>
        <w:t xml:space="preserve">Physical Inactivity — inferred from steps &lt; 70% of user baseline for 5+ consecutive days.</w:t>
      </w:r>
    </w:p>
    <w:p>
      <w:pPr>
        <w:pStyle w:val="ListParagraph"/>
        <w:numPr>
          <w:ilvl w:val="0"/>
          <w:numId w:val="2"/>
        </w:numPr>
        <w:spacing w:after="80"/>
      </w:pPr>
      <w:r>
        <w:rPr>
          <w:rFonts w:ascii="Arial" w:cs="Arial" w:eastAsia="Arial" w:hAnsi="Arial"/>
          <w:color w:val="0A0A0A"/>
          <w:sz w:val="21"/>
          <w:szCs w:val="21"/>
        </w:rPr>
        <w:t xml:space="preserve">Circadian Disruption — inferred from sleep_start variance &gt; 45 minutes from user mean for 5+ consecutive days.</w:t>
      </w:r>
    </w:p>
    <w:p>
      <w:pPr>
        <w:pStyle w:val="ListParagraph"/>
        <w:numPr>
          <w:ilvl w:val="0"/>
          <w:numId w:val="2"/>
        </w:numPr>
        <w:spacing w:after="80"/>
      </w:pPr>
      <w:r>
        <w:rPr>
          <w:rFonts w:ascii="Arial" w:cs="Arial" w:eastAsia="Arial" w:hAnsi="Arial"/>
          <w:color w:val="0A0A0A"/>
          <w:sz w:val="21"/>
          <w:szCs w:val="21"/>
        </w:rPr>
        <w:t xml:space="preserve">Chronic Psychological Stress — inferred from HRV &lt; 80% of user baseline AND RHR &gt; 105% of user baseline simultaneously for 4+ consecutive days.</w:t>
      </w:r>
    </w:p>
    <w:p>
      <w:pPr>
        <w:spacing w:after="120"/>
      </w:pPr>
      <w:r>
        <w:t xml:space="preserve"/>
      </w:r>
    </w:p>
    <w:p>
      <w:pPr>
        <w:pStyle w:val="Heading3"/>
        <w:spacing w:after="80" w:before="280"/>
      </w:pPr>
      <w:r>
        <w:rPr>
          <w:rFonts w:ascii="Arial" w:cs="Arial" w:eastAsia="Arial" w:hAnsi="Arial"/>
          <w:b/>
          <w:bCs/>
          <w:color w:val="444444"/>
          <w:sz w:val="22"/>
          <w:szCs w:val="22"/>
        </w:rPr>
        <w:t xml:space="preserve">Tier 2 — Biological Response Node Activation</w:t>
      </w:r>
    </w:p>
    <w:p>
      <w:pPr>
        <w:spacing w:after="120"/>
      </w:pPr>
      <w:r>
        <w:rPr>
          <w:rFonts w:ascii="Arial" w:cs="Arial" w:eastAsia="Arial" w:hAnsi="Arial"/>
          <w:color w:val="0A0A0A"/>
          <w:sz w:val="22"/>
          <w:szCs w:val="22"/>
        </w:rPr>
        <w:t xml:space="preserve">Each biological response node has a defined activation rule combining metric thresholds and consecutive-day requirements. Activation is binary in v1 (active / inactive). Key nodes and their activation rules:</w:t>
      </w:r>
    </w:p>
    <w:p>
      <w:pPr>
        <w:pStyle w:val="ListParagraph"/>
        <w:numPr>
          <w:ilvl w:val="0"/>
          <w:numId w:val="2"/>
        </w:numPr>
        <w:spacing w:after="80"/>
      </w:pPr>
      <w:r>
        <w:rPr>
          <w:rFonts w:ascii="Arial" w:cs="Arial" w:eastAsia="Arial" w:hAnsi="Arial"/>
          <w:color w:val="0A0A0A"/>
          <w:sz w:val="21"/>
          <w:szCs w:val="21"/>
        </w:rPr>
        <w:t xml:space="preserve">Low HRV — HRV &lt; 80% of user 90-day baseline for 5+ consecutive days.</w:t>
      </w:r>
    </w:p>
    <w:p>
      <w:pPr>
        <w:pStyle w:val="ListParagraph"/>
        <w:numPr>
          <w:ilvl w:val="0"/>
          <w:numId w:val="2"/>
        </w:numPr>
        <w:spacing w:after="80"/>
      </w:pPr>
      <w:r>
        <w:rPr>
          <w:rFonts w:ascii="Arial" w:cs="Arial" w:eastAsia="Arial" w:hAnsi="Arial"/>
          <w:color w:val="0A0A0A"/>
          <w:sz w:val="21"/>
          <w:szCs w:val="21"/>
        </w:rPr>
        <w:t xml:space="preserve">Elevated Resting Heart Rate — RHR &gt; 110% of user 90-day baseline for 5+ consecutive days.</w:t>
      </w:r>
    </w:p>
    <w:p>
      <w:pPr>
        <w:pStyle w:val="ListParagraph"/>
        <w:numPr>
          <w:ilvl w:val="0"/>
          <w:numId w:val="2"/>
        </w:numPr>
        <w:spacing w:after="80"/>
      </w:pPr>
      <w:r>
        <w:rPr>
          <w:rFonts w:ascii="Arial" w:cs="Arial" w:eastAsia="Arial" w:hAnsi="Arial"/>
          <w:color w:val="0A0A0A"/>
          <w:sz w:val="21"/>
          <w:szCs w:val="21"/>
        </w:rPr>
        <w:t xml:space="preserve">Sympathetic Dominance — Low HRV AND Elevated RHR simultaneously active.</w:t>
      </w:r>
    </w:p>
    <w:p>
      <w:pPr>
        <w:pStyle w:val="ListParagraph"/>
        <w:numPr>
          <w:ilvl w:val="0"/>
          <w:numId w:val="2"/>
        </w:numPr>
        <w:spacing w:after="80"/>
      </w:pPr>
      <w:r>
        <w:rPr>
          <w:rFonts w:ascii="Arial" w:cs="Arial" w:eastAsia="Arial" w:hAnsi="Arial"/>
          <w:color w:val="0A0A0A"/>
          <w:sz w:val="21"/>
          <w:szCs w:val="21"/>
        </w:rPr>
        <w:t xml:space="preserve">Sleep Fragmentation — Sleep duration &lt; 85% of user baseline OR sleep efficiency &lt; 85% for 5+ consecutive days.</w:t>
      </w:r>
    </w:p>
    <w:p>
      <w:pPr>
        <w:spacing w:after="120"/>
      </w:pPr>
      <w:r>
        <w:t xml:space="preserve"/>
      </w:r>
    </w:p>
    <w:p>
      <w:pPr>
        <w:pStyle w:val="Heading3"/>
        <w:spacing w:after="80" w:before="280"/>
      </w:pPr>
      <w:r>
        <w:rPr>
          <w:rFonts w:ascii="Arial" w:cs="Arial" w:eastAsia="Arial" w:hAnsi="Arial"/>
          <w:b/>
          <w:bCs/>
          <w:color w:val="444444"/>
          <w:sz w:val="22"/>
          <w:szCs w:val="22"/>
        </w:rPr>
        <w:t xml:space="preserve">Tier 3 — Intermediate Dysfunction State Classification</w:t>
      </w:r>
    </w:p>
    <w:p>
      <w:pPr>
        <w:spacing w:after="120"/>
      </w:pPr>
      <w:r>
        <w:rPr>
          <w:rFonts w:ascii="Arial" w:cs="Arial" w:eastAsia="Arial" w:hAnsi="Arial"/>
          <w:color w:val="0A0A0A"/>
          <w:sz w:val="22"/>
          <w:szCs w:val="22"/>
        </w:rPr>
        <w:t xml:space="preserve">When two or more Tier 2 nodes in the same pathway are simultaneously active for the required duration, the engine assigns a conditionClass. This is the consumer-facing translation that appears on Horizon Page 4 (Trajectory) as a wellness-language label.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conditionClass (Internal)</w:t>
            </w:r>
          </w:p>
        </w:tc>
        <w:tc>
          <w:tcPr>
            <w:tcW w:type="dxa" w:w="2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Pathway</w:t>
            </w:r>
          </w:p>
        </w:tc>
        <w:tc>
          <w:tcPr>
            <w:tcW w:type="dxa" w:w="4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Consumer Label (Horizon Page 4)</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autonomic_stress_load</w:t>
            </w:r>
          </w:p>
        </w:tc>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Autonomic</w:t>
            </w:r>
          </w:p>
        </w:tc>
        <w:tc>
          <w:tcPr>
            <w:tcW w:type="dxa" w:w="4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Autonomic System Under Pressure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sleep_architecture_disruption</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Sleep</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Sleep Architecture Under Pressure</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metabolic_inactivity_load</w:t>
            </w:r>
          </w:p>
        </w:tc>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Metabolic</w:t>
            </w:r>
          </w:p>
        </w:tc>
        <w:tc>
          <w:tcPr>
            <w:tcW w:type="dxa" w:w="4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Metabolic Recovery Window</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combined_autonomic_sleep</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Autonomic + Sleep</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Recovery Capacity Under Pressure</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combined_metabolic_sleep</w:t>
            </w:r>
          </w:p>
        </w:tc>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Metabolic + Sleep</w:t>
            </w:r>
          </w:p>
        </w:tc>
        <w:tc>
          <w:tcPr>
            <w:tcW w:type="dxa" w:w="4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Restorative Load Accumulating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full_system_load</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All Three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Systemic Resilience Under Pressure</w:t>
            </w:r>
          </w:p>
        </w:tc>
      </w:tr>
    </w:tbl>
    <w:p>
      <w:pPr>
        <w:spacing w:after="160"/>
      </w:pPr>
      <w:r>
        <w:t xml:space="preserve"/>
      </w:r>
    </w:p>
    <w:p>
      <w:pPr>
        <w:pStyle w:val="Heading3"/>
        <w:spacing w:after="80" w:before="280"/>
      </w:pPr>
      <w:r>
        <w:rPr>
          <w:rFonts w:ascii="Arial" w:cs="Arial" w:eastAsia="Arial" w:hAnsi="Arial"/>
          <w:b/>
          <w:bCs/>
          <w:color w:val="444444"/>
          <w:sz w:val="22"/>
          <w:szCs w:val="22"/>
        </w:rPr>
        <w:t xml:space="preserve">Confidence Gate</w:t>
      </w:r>
    </w:p>
    <w:p>
      <w:pPr>
        <w:spacing w:after="120"/>
      </w:pPr>
      <w:r>
        <w:rPr>
          <w:rFonts w:ascii="Arial" w:cs="Arial" w:eastAsia="Arial" w:hAnsi="Arial"/>
          <w:color w:val="0A0A0A"/>
          <w:sz w:val="22"/>
          <w:szCs w:val="22"/>
        </w:rPr>
        <w:t xml:space="preserve">The confidenceGate value grows from 0.0 to 1.0 over 14 days from when conditionClass is first assigned. It gates Horizon page visibility:</w:t>
      </w:r>
    </w:p>
    <w:p>
      <w:pPr>
        <w:pStyle w:val="ListParagraph"/>
        <w:numPr>
          <w:ilvl w:val="0"/>
          <w:numId w:val="2"/>
        </w:numPr>
        <w:spacing w:after="80"/>
      </w:pPr>
      <w:r>
        <w:rPr>
          <w:rFonts w:ascii="Arial" w:cs="Arial" w:eastAsia="Arial" w:hAnsi="Arial"/>
          <w:color w:val="0A0A0A"/>
          <w:sz w:val="21"/>
          <w:szCs w:val="21"/>
        </w:rPr>
        <w:t xml:space="preserve">Page 4 (Trajectory) visible when conditionClass is assigned and confidenceGate &gt;= 0.3 (day 4–5).</w:t>
      </w:r>
    </w:p>
    <w:p>
      <w:pPr>
        <w:pStyle w:val="ListParagraph"/>
        <w:numPr>
          <w:ilvl w:val="0"/>
          <w:numId w:val="2"/>
        </w:numPr>
        <w:spacing w:after="80"/>
      </w:pPr>
      <w:r>
        <w:rPr>
          <w:rFonts w:ascii="Arial" w:cs="Arial" w:eastAsia="Arial" w:hAnsi="Arial"/>
          <w:color w:val="0A0A0A"/>
          <w:sz w:val="21"/>
          <w:szCs w:val="21"/>
        </w:rPr>
        <w:t xml:space="preserve">Page 5 (Redirect) visible when confidenceGate &gt;= 0.5 (day 7).</w:t>
      </w:r>
    </w:p>
    <w:p>
      <w:pPr>
        <w:pStyle w:val="ListParagraph"/>
        <w:numPr>
          <w:ilvl w:val="0"/>
          <w:numId w:val="2"/>
        </w:numPr>
        <w:spacing w:after="80"/>
      </w:pPr>
      <w:r>
        <w:rPr>
          <w:rFonts w:ascii="Arial" w:cs="Arial" w:eastAsia="Arial" w:hAnsi="Arial"/>
          <w:color w:val="0A0A0A"/>
          <w:sz w:val="21"/>
          <w:szCs w:val="21"/>
        </w:rPr>
        <w:t xml:space="preserve">Page 6 (Escalate) visible when confidenceGate &gt;= 0.75 (day 10–11) AND 14+ days have elapsed.</w:t>
      </w:r>
    </w:p>
    <w:p>
      <w:pPr>
        <w:pStyle w:val="ListParagraph"/>
        <w:numPr>
          <w:ilvl w:val="0"/>
          <w:numId w:val="2"/>
        </w:numPr>
        <w:spacing w:after="80"/>
      </w:pPr>
      <w:r>
        <w:rPr>
          <w:rFonts w:ascii="Arial" w:cs="Arial" w:eastAsia="Arial" w:hAnsi="Arial"/>
          <w:color w:val="0A0A0A"/>
          <w:sz w:val="21"/>
          <w:szCs w:val="21"/>
        </w:rPr>
        <w:t xml:space="preserve">If the pattern resolves before a gate threshold is reached, conditionClass clears and the page does not surface.</w:t>
      </w:r>
    </w:p>
    <w:p>
      <w:pPr>
        <w:spacing w:after="160"/>
      </w:pPr>
      <w:r>
        <w:t xml:space="preserve"/>
      </w:r>
    </w:p>
    <w:p>
      <w:pPr>
        <w:pStyle w:val="Heading2"/>
        <w:spacing w:after="120" w:before="360"/>
      </w:pPr>
      <w:r>
        <w:rPr>
          <w:rFonts w:ascii="Arial" w:cs="Arial" w:eastAsia="Arial" w:hAnsi="Arial"/>
          <w:b/>
          <w:bCs/>
          <w:color w:val="0A0A0A"/>
          <w:sz w:val="28"/>
          <w:szCs w:val="28"/>
        </w:rPr>
        <w:t xml:space="preserve">2.4  Data Model — Ontology Engine Tables</w:t>
      </w:r>
    </w:p>
    <w:p>
      <w:pPr>
        <w:spacing w:after="120"/>
      </w:pPr>
      <w:r>
        <w:rPr>
          <w:rFonts w:ascii="Arial" w:cs="Arial" w:eastAsia="Arial" w:hAnsi="Arial"/>
          <w:color w:val="0A0A0A"/>
          <w:sz w:val="22"/>
          <w:szCs w:val="22"/>
        </w:rPr>
        <w:t xml:space="preserve">Four new tables support the engine. These sit in Supabase alongside the existing scoring tables.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Key Columns</w:t>
            </w:r>
          </w:p>
        </w:tc>
        <w:tc>
          <w:tcPr>
            <w:tcW w:type="dxa" w:w="45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metric_node_map</w:t>
            </w:r>
          </w:p>
        </w:tc>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metric_slug, pathway, node_id, weight</w:t>
            </w:r>
          </w:p>
        </w:tc>
        <w:tc>
          <w:tcPr>
            <w:tcW w:type="dxa" w:w="4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Maps each ingested metric to its pathway and ontology node. The dynamic expansion table — add a metric here, engine picks it up.</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node_activation_rules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node_id, threshold_pct, consecutive_days, operator</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Defines the activation criteria for each biological response node. All thresholds are expressed as percentage of user baseline, not absolute values.</w:t>
            </w:r>
          </w:p>
        </w:tc>
      </w:tr>
      <w:tr>
        <w:tc>
          <w:tcPr>
            <w:tcW w:type="dxa" w:w="26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pathway_classifications</w:t>
            </w:r>
          </w:p>
        </w:tc>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user_id, date, pathway, conditionClass, confidenceGate, daysInPattern, escalationLevel</w:t>
            </w:r>
          </w:p>
        </w:tc>
        <w:tc>
          <w:tcPr>
            <w:tcW w:type="dxa" w:w="4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The engine output table. One row per user per pathway per day. Queried by the Horizon UI to determine page visibility and card state.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node_activation_log</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user_id, date, node_id, active, value, baseline_value</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Audit trail of every node activation event per user. Required for reproducibility (Truth Before Velocity constraint). Also the learning input for v2.</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2.5  How the Engine Learns — v1 to v2 Path</w:t>
      </w:r>
    </w:p>
    <w:p>
      <w:pPr>
        <w:spacing w:after="120"/>
      </w:pPr>
      <w:r>
        <w:rPr>
          <w:rFonts w:ascii="Arial" w:cs="Arial" w:eastAsia="Arial" w:hAnsi="Arial"/>
          <w:color w:val="0A0A0A"/>
          <w:sz w:val="22"/>
          <w:szCs w:val="22"/>
        </w:rPr>
        <w:t xml:space="preserve">v1 of the engine is fully deterministic. All thresholds are static rules. v2 introduces within-user adaptive thresholds. The architecture is designed for this transition without a rebuild.</w:t>
      </w:r>
    </w:p>
    <w:p>
      <w:pPr>
        <w:spacing w:after="120"/>
      </w:pPr>
      <w:r>
        <w:t xml:space="preserve"/>
      </w:r>
    </w:p>
    <w:p>
      <w:pPr>
        <w:pStyle w:val="Heading3"/>
        <w:spacing w:after="80" w:before="280"/>
      </w:pPr>
      <w:r>
        <w:rPr>
          <w:rFonts w:ascii="Arial" w:cs="Arial" w:eastAsia="Arial" w:hAnsi="Arial"/>
          <w:b/>
          <w:bCs/>
          <w:color w:val="444444"/>
          <w:sz w:val="22"/>
          <w:szCs w:val="22"/>
        </w:rPr>
        <w:t xml:space="preserve">v1 (Phase 2) — Deterministic Rules</w:t>
      </w:r>
    </w:p>
    <w:p>
      <w:pPr>
        <w:pStyle w:val="ListParagraph"/>
        <w:numPr>
          <w:ilvl w:val="0"/>
          <w:numId w:val="2"/>
        </w:numPr>
        <w:spacing w:after="80"/>
      </w:pPr>
      <w:r>
        <w:rPr>
          <w:rFonts w:ascii="Arial" w:cs="Arial" w:eastAsia="Arial" w:hAnsi="Arial"/>
          <w:color w:val="0A0A0A"/>
          <w:sz w:val="21"/>
          <w:szCs w:val="21"/>
        </w:rPr>
        <w:t xml:space="preserve">All thresholds are static percentages of user baseline (e.g. HRV &lt; 80%).</w:t>
      </w:r>
    </w:p>
    <w:p>
      <w:pPr>
        <w:pStyle w:val="ListParagraph"/>
        <w:numPr>
          <w:ilvl w:val="0"/>
          <w:numId w:val="2"/>
        </w:numPr>
        <w:spacing w:after="80"/>
      </w:pPr>
      <w:r>
        <w:rPr>
          <w:rFonts w:ascii="Arial" w:cs="Arial" w:eastAsia="Arial" w:hAnsi="Arial"/>
          <w:color w:val="0A0A0A"/>
          <w:sz w:val="21"/>
          <w:szCs w:val="21"/>
        </w:rPr>
        <w:t xml:space="preserve">The 90-day baseline window recalculates rolling — as new days are added, old days age out.</w:t>
      </w:r>
    </w:p>
    <w:p>
      <w:pPr>
        <w:pStyle w:val="ListParagraph"/>
        <w:numPr>
          <w:ilvl w:val="0"/>
          <w:numId w:val="2"/>
        </w:numPr>
        <w:spacing w:after="80"/>
      </w:pPr>
      <w:r>
        <w:rPr>
          <w:rFonts w:ascii="Arial" w:cs="Arial" w:eastAsia="Arial" w:hAnsi="Arial"/>
          <w:color w:val="0A0A0A"/>
          <w:sz w:val="21"/>
          <w:szCs w:val="21"/>
        </w:rPr>
        <w:t xml:space="preserve">node_activation_log accumulates the training data for v2 silently in the background.</w:t>
      </w:r>
    </w:p>
    <w:p>
      <w:pPr>
        <w:spacing w:after="120"/>
      </w:pPr>
      <w:r>
        <w:t xml:space="preserve"/>
      </w:r>
    </w:p>
    <w:p>
      <w:pPr>
        <w:pStyle w:val="Heading3"/>
        <w:spacing w:after="80" w:before="280"/>
      </w:pPr>
      <w:r>
        <w:rPr>
          <w:rFonts w:ascii="Arial" w:cs="Arial" w:eastAsia="Arial" w:hAnsi="Arial"/>
          <w:b/>
          <w:bCs/>
          <w:color w:val="444444"/>
          <w:sz w:val="22"/>
          <w:szCs w:val="22"/>
        </w:rPr>
        <w:t xml:space="preserve">v2 (Phase 3) — Within-User Adaptive Thresholds</w:t>
      </w:r>
    </w:p>
    <w:p>
      <w:pPr>
        <w:pStyle w:val="ListParagraph"/>
        <w:numPr>
          <w:ilvl w:val="0"/>
          <w:numId w:val="2"/>
        </w:numPr>
        <w:spacing w:after="80"/>
      </w:pPr>
      <w:r>
        <w:rPr>
          <w:rFonts w:ascii="Arial" w:cs="Arial" w:eastAsia="Arial" w:hAnsi="Arial"/>
          <w:color w:val="0A0A0A"/>
          <w:sz w:val="21"/>
          <w:szCs w:val="21"/>
        </w:rPr>
        <w:t xml:space="preserve">Each user's activation thresholds adjust based on their own historical node activation patterns and feedback signal (felt right / felt off).</w:t>
      </w:r>
    </w:p>
    <w:p>
      <w:pPr>
        <w:pStyle w:val="ListParagraph"/>
        <w:numPr>
          <w:ilvl w:val="0"/>
          <w:numId w:val="2"/>
        </w:numPr>
        <w:spacing w:after="80"/>
      </w:pPr>
      <w:r>
        <w:rPr>
          <w:rFonts w:ascii="Arial" w:cs="Arial" w:eastAsia="Arial" w:hAnsi="Arial"/>
          <w:color w:val="0A0A0A"/>
          <w:sz w:val="21"/>
          <w:szCs w:val="21"/>
        </w:rPr>
        <w:t xml:space="preserve">A user who consistently rates scores as 'felt right' on days when a node was flagged confirms the threshold. A consistent 'felt off' signal on days when classification did not activate narrows the threshold.</w:t>
      </w:r>
    </w:p>
    <w:p>
      <w:pPr>
        <w:pStyle w:val="ListParagraph"/>
        <w:numPr>
          <w:ilvl w:val="0"/>
          <w:numId w:val="2"/>
        </w:numPr>
        <w:spacing w:after="80"/>
      </w:pPr>
      <w:r>
        <w:rPr>
          <w:rFonts w:ascii="Arial" w:cs="Arial" w:eastAsia="Arial" w:hAnsi="Arial"/>
          <w:color w:val="0A0A0A"/>
          <w:sz w:val="21"/>
          <w:szCs w:val="21"/>
        </w:rPr>
        <w:t xml:space="preserve">This is not population ML — it is per-user Bayesian threshold adjustment. Within-user primacy holds completely.</w:t>
      </w:r>
    </w:p>
    <w:p>
      <w:pPr>
        <w:pStyle w:val="ListParagraph"/>
        <w:numPr>
          <w:ilvl w:val="0"/>
          <w:numId w:val="2"/>
        </w:numPr>
        <w:spacing w:after="80"/>
      </w:pPr>
      <w:r>
        <w:rPr>
          <w:rFonts w:ascii="Arial" w:cs="Arial" w:eastAsia="Arial" w:hAnsi="Arial"/>
          <w:color w:val="0A0A0A"/>
          <w:sz w:val="21"/>
          <w:szCs w:val="21"/>
        </w:rPr>
        <w:t xml:space="preserve">The feedback table from Phase 1 is the training signal. Every 'felt right' / 'felt off' entry is a labeled data point tied to that day's classification state.</w:t>
      </w:r>
    </w:p>
    <w:p>
      <w:pPr>
        <w:spacing w:after="120"/>
      </w:pPr>
      <w:r>
        <w:t xml:space="preserve"/>
      </w:r>
    </w:p>
    <w:p>
      <w:pPr>
        <w:pStyle w:val="Heading3"/>
        <w:spacing w:after="80" w:before="280"/>
      </w:pPr>
      <w:r>
        <w:rPr>
          <w:rFonts w:ascii="Arial" w:cs="Arial" w:eastAsia="Arial" w:hAnsi="Arial"/>
          <w:b/>
          <w:bCs/>
          <w:color w:val="444444"/>
          <w:sz w:val="22"/>
          <w:szCs w:val="22"/>
        </w:rPr>
        <w:t xml:space="preserve">v3 (Phase 4+) — Longitudinal Pattern Recognition</w:t>
      </w:r>
    </w:p>
    <w:p>
      <w:pPr>
        <w:pStyle w:val="ListParagraph"/>
        <w:numPr>
          <w:ilvl w:val="0"/>
          <w:numId w:val="2"/>
        </w:numPr>
        <w:spacing w:after="80"/>
      </w:pPr>
      <w:r>
        <w:rPr>
          <w:rFonts w:ascii="Arial" w:cs="Arial" w:eastAsia="Arial" w:hAnsi="Arial"/>
          <w:color w:val="0A0A0A"/>
          <w:sz w:val="21"/>
          <w:szCs w:val="21"/>
        </w:rPr>
        <w:t xml:space="preserve">With sufficient history (12+ months per user), the engine begins identifying pre-pattern signals — metrics that consistently precede a conditionClass activation by 7–14 days.</w:t>
      </w:r>
    </w:p>
    <w:p>
      <w:pPr>
        <w:pStyle w:val="ListParagraph"/>
        <w:numPr>
          <w:ilvl w:val="0"/>
          <w:numId w:val="2"/>
        </w:numPr>
        <w:spacing w:after="80"/>
      </w:pPr>
      <w:r>
        <w:rPr>
          <w:rFonts w:ascii="Arial" w:cs="Arial" w:eastAsia="Arial" w:hAnsi="Arial"/>
          <w:color w:val="0A0A0A"/>
          <w:sz w:val="21"/>
          <w:szCs w:val="21"/>
        </w:rPr>
        <w:t xml:space="preserve">This is the earliest warning capability — the true realization of the Horizon tab's stated purpose: seeing what is forming before the user can feel it.</w:t>
      </w:r>
    </w:p>
    <w:p>
      <w:pPr>
        <w:pStyle w:val="ListParagraph"/>
        <w:numPr>
          <w:ilvl w:val="0"/>
          <w:numId w:val="2"/>
        </w:numPr>
        <w:spacing w:after="80"/>
      </w:pPr>
      <w:r>
        <w:rPr>
          <w:rFonts w:ascii="Arial" w:cs="Arial" w:eastAsia="Arial" w:hAnsi="Arial"/>
          <w:color w:val="0A0A0A"/>
          <w:sz w:val="21"/>
          <w:szCs w:val="21"/>
        </w:rPr>
        <w:t xml:space="preserve">This phase requires Phase 3 lab integration data (HbA1c, fasting glucose, etc.) for meaningful endpoint correlation.</w:t>
      </w:r>
    </w:p>
    <w:p>
      <w:pPr>
        <w:spacing w:after="160"/>
      </w:pPr>
      <w:r>
        <w:t xml:space="preserve"/>
      </w:r>
    </w:p>
    <w:p>
      <w:pPr>
        <w:pStyle w:val="Heading2"/>
        <w:spacing w:after="120" w:before="360"/>
      </w:pPr>
      <w:r>
        <w:rPr>
          <w:rFonts w:ascii="Arial" w:cs="Arial" w:eastAsia="Arial" w:hAnsi="Arial"/>
          <w:b/>
          <w:bCs/>
          <w:color w:val="0A0A0A"/>
          <w:sz w:val="28"/>
          <w:szCs w:val="28"/>
        </w:rPr>
        <w:t xml:space="preserve">2.6  Non-Negotiable Engine Constraints</w:t>
      </w:r>
    </w:p>
    <w:p>
      <w:pPr>
        <w:pStyle w:val="ListParagraph"/>
        <w:numPr>
          <w:ilvl w:val="0"/>
          <w:numId w:val="2"/>
        </w:numPr>
        <w:spacing w:after="80"/>
      </w:pPr>
      <w:r>
        <w:rPr>
          <w:rFonts w:ascii="Arial" w:cs="Arial" w:eastAsia="Arial" w:hAnsi="Arial"/>
          <w:color w:val="0A0A0A"/>
          <w:sz w:val="21"/>
          <w:szCs w:val="21"/>
        </w:rPr>
        <w:t xml:space="preserve">The engine never produces text output. It produces structured classification objects only.</w:t>
      </w:r>
    </w:p>
    <w:p>
      <w:pPr>
        <w:pStyle w:val="ListParagraph"/>
        <w:numPr>
          <w:ilvl w:val="0"/>
          <w:numId w:val="2"/>
        </w:numPr>
        <w:spacing w:after="80"/>
      </w:pPr>
      <w:r>
        <w:rPr>
          <w:rFonts w:ascii="Arial" w:cs="Arial" w:eastAsia="Arial" w:hAnsi="Arial"/>
          <w:color w:val="0A0A0A"/>
          <w:sz w:val="21"/>
          <w:szCs w:val="21"/>
        </w:rPr>
        <w:t xml:space="preserve">Claude never influences classification. Claude receives classification output and generates narrative.</w:t>
      </w:r>
    </w:p>
    <w:p>
      <w:pPr>
        <w:pStyle w:val="ListParagraph"/>
        <w:numPr>
          <w:ilvl w:val="0"/>
          <w:numId w:val="2"/>
        </w:numPr>
        <w:spacing w:after="80"/>
      </w:pPr>
      <w:r>
        <w:rPr>
          <w:rFonts w:ascii="Arial" w:cs="Arial" w:eastAsia="Arial" w:hAnsi="Arial"/>
          <w:color w:val="0A0A0A"/>
          <w:sz w:val="21"/>
          <w:szCs w:val="21"/>
        </w:rPr>
        <w:t xml:space="preserve">Every classification is versioned. Schema changes to node_activation_rules increment the engine version. pathway_classifications rows record the engine version that produced them.</w:t>
      </w:r>
    </w:p>
    <w:p>
      <w:pPr>
        <w:pStyle w:val="ListParagraph"/>
        <w:numPr>
          <w:ilvl w:val="0"/>
          <w:numId w:val="2"/>
        </w:numPr>
        <w:spacing w:after="80"/>
      </w:pPr>
      <w:r>
        <w:rPr>
          <w:rFonts w:ascii="Arial" w:cs="Arial" w:eastAsia="Arial" w:hAnsi="Arial"/>
          <w:color w:val="0A0A0A"/>
          <w:sz w:val="21"/>
          <w:szCs w:val="21"/>
        </w:rPr>
        <w:t xml:space="preserve">Within-user primacy is enforced at the query layer. No cross-user aggregation, no population benchmarks.</w:t>
      </w:r>
    </w:p>
    <w:p>
      <w:pPr>
        <w:pStyle w:val="ListParagraph"/>
        <w:numPr>
          <w:ilvl w:val="0"/>
          <w:numId w:val="2"/>
        </w:numPr>
        <w:spacing w:after="80"/>
      </w:pPr>
      <w:r>
        <w:rPr>
          <w:rFonts w:ascii="Arial" w:cs="Arial" w:eastAsia="Arial" w:hAnsi="Arial"/>
          <w:color w:val="0A0A0A"/>
          <w:sz w:val="21"/>
          <w:szCs w:val="21"/>
        </w:rPr>
        <w:t xml:space="preserve">Wellness-only language constraint applies to all conditionClass consumer labels. No disease names, no clinical staging terms.</w:t>
      </w:r>
    </w:p>
    <w:p>
      <w:r>
        <w:br w:type="page"/>
      </w:r>
    </w:p>
    <w:p>
      <w:pPr>
        <w:spacing w:after="80" w:before="320"/>
      </w:pPr>
      <w:r>
        <w:rPr>
          <w:rFonts w:ascii="Arial" w:cs="Arial" w:eastAsia="Arial" w:hAnsi="Arial"/>
          <w:b/>
          <w:bCs/>
          <w:color w:val="B8946A"/>
          <w:sz w:val="16"/>
          <w:szCs w:val="16"/>
        </w:rPr>
        <w:t xml:space="preserve">SESSION 3</w:t>
      </w:r>
    </w:p>
    <w:p>
      <w:pPr>
        <w:pStyle w:val="Heading1"/>
        <w:spacing w:after="160" w:before="480"/>
      </w:pPr>
      <w:r>
        <w:rPr>
          <w:rFonts w:ascii="Arial" w:cs="Arial" w:eastAsia="Arial" w:hAnsi="Arial"/>
          <w:b/>
          <w:bCs/>
          <w:color w:val="0A0A0A"/>
          <w:sz w:val="44"/>
          <w:szCs w:val="44"/>
        </w:rPr>
        <w:t xml:space="preserve">Phase 2 Full Feature List</w:t>
      </w:r>
    </w:p>
    <w:p>
      <w:pPr>
        <w:spacing w:after="120"/>
      </w:pPr>
      <w:r>
        <w:rPr>
          <w:rFonts w:ascii="Arial" w:cs="Arial" w:eastAsia="Arial" w:hAnsi="Arial"/>
          <w:color w:val="0A0A0A"/>
          <w:sz w:val="22"/>
          <w:szCs w:val="22"/>
        </w:rPr>
        <w:t xml:space="preserve">This is the complete Phase 2 feature inventory, grouped by domain. Items are ordered by architectural dependency — features that unlock others appear first within their group. Sprint sequencing is not determined here; this is the full scope gate.</w:t>
      </w:r>
    </w:p>
    <w:p>
      <w:pPr>
        <w:spacing w:after="16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Phase 2 does not begin until all Phase 1 exit criteria are met. The exit criteria from the Phase 1 PRD (retention, willingness to pay signal, loop validation, engine stability, founder validation) are a hard gate. This list is what follows that gate — not what precedes it.</w:t>
      </w:r>
    </w:p>
    <w:p>
      <w:pPr>
        <w:spacing w:after="160"/>
      </w:pPr>
      <w:r>
        <w:t xml:space="preserve"/>
      </w:r>
    </w:p>
    <w:p>
      <w:pPr>
        <w:pStyle w:val="Heading2"/>
        <w:spacing w:after="120" w:before="360"/>
      </w:pPr>
      <w:r>
        <w:rPr>
          <w:rFonts w:ascii="Arial" w:cs="Arial" w:eastAsia="Arial" w:hAnsi="Arial"/>
          <w:b/>
          <w:bCs/>
          <w:color w:val="0A0A0A"/>
          <w:sz w:val="28"/>
          <w:szCs w:val="28"/>
        </w:rPr>
        <w:t xml:space="preserve">3.1  Foundation Infrastructure</w:t>
      </w:r>
    </w:p>
    <w:p>
      <w:pPr>
        <w:spacing w:after="120"/>
      </w:pPr>
      <w:r>
        <w:rPr>
          <w:rFonts w:ascii="Arial" w:cs="Arial" w:eastAsia="Arial" w:hAnsi="Arial"/>
          <w:color w:val="0A0A0A"/>
          <w:sz w:val="22"/>
          <w:szCs w:val="22"/>
        </w:rPr>
        <w:t xml:space="preserve">These items must be built first. All other Phase 2 features depend on at least one of them.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Apple Developer Credentials + TestFlight</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Gate for all external user distribution. Required before any non-founder user touches the app.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App Store Submission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First public distribution. Requires credentials, privacy policy, App Store listing, and screenshots.</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Apple / Google SSO</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Sign In with Apple required for App Store approval. Google SSO for Android groundwork. Email-only auth is sufficient through Phase 1 solo validation only.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Push Notification Infrastructure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APNs registration, permission request flow, device token storage in Supabase. Required before any notification feature is built. This is the plumbing — all notification features depend on it.</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Onboarding Resume Checkpoint</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Currently restarts from splash on re-open mid-onboarding. Acceptable for solo validation; unacceptable for external users. Checkpoint saves progress and resumes from last completed stage.</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3.2  Notification System</w:t>
      </w:r>
    </w:p>
    <w:p>
      <w:pPr>
        <w:spacing w:after="120"/>
      </w:pPr>
      <w:r>
        <w:rPr>
          <w:rFonts w:ascii="Arial" w:cs="Arial" w:eastAsia="Arial" w:hAnsi="Arial"/>
          <w:color w:val="0A0A0A"/>
          <w:sz w:val="22"/>
          <w:szCs w:val="22"/>
        </w:rPr>
        <w:t xml:space="preserve">The notification system is a full application-layer feature set, not a single toggle. It has three tiers that must be built in order.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Morning Brief Notification</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Daily push notification delivering the Chronos score brief at user-configured wake time. Title: 'Your morning signal.' Body: score band + top driver in one sentence. Tapping opens Today tab. Requires Brief Delivery Time control (Profile tab).</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Horizon Alert Notification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Fires once when a pathway first transitions from CALM to ELEVATED. Single notification — never repeated for the same pattern. Copy: 'Something is forming in your [Pathway] pathway. Horizon has more.' Deep-links to Horizon Page 4.</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Streak &amp; Momentum Notifications</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Part of the gamification system (see Section 3.5). Fires on streak milestones (7, 14, 30 days). Positive framing only. Never fires during a declining score window.</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Evening Recovery Check-in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Optional second daily notification at user-configured evening time. Lightweight subjective prompt: 'How did today feel?' Three-tap response (Strong / Mixed / Rough). Response is stored as subjective_rating and informs Inferred Stress domain.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Re-engagement Nudge</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P2</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Fires if the user has not opened the app for 48+ hours. Single notification only — does not repeat daily. Copy: 'Your signal is waiting.' Does not reveal score state in the notification body (prevents anxiety from a glance notification).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Brief Delivery Time Control</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Activates the currently-greyed Brief Delivery Time row in the Preferences tab. Time picker tied to notification scheduling. Default: 7:00 AM.</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Notification Preferences Screen</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Full notification control surface within Preferences tab. Per-notification-type toggles with context lines explaining what each does. Replaces the current single Morning Brief toggle with a structured control panel.</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3.3  Display Mode System</w:t>
      </w:r>
    </w:p>
    <w:p>
      <w:pPr>
        <w:spacing w:after="120"/>
      </w:pPr>
      <w:r>
        <w:rPr>
          <w:rFonts w:ascii="Arial" w:cs="Arial" w:eastAsia="Arial" w:hAnsi="Arial"/>
          <w:color w:val="0A0A0A"/>
          <w:sz w:val="22"/>
          <w:szCs w:val="22"/>
        </w:rPr>
        <w:t xml:space="preserve">Highest priority Phase 2 feature per Sprint 4 closeout. Governs the entire experience layer globally.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Mode</w:t>
            </w:r>
          </w:p>
        </w:tc>
        <w:tc>
          <w:tcPr>
            <w:tcW w:type="dxa" w:w="71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Coach Me Hard</w:t>
            </w:r>
          </w:p>
        </w:tc>
        <w:tc>
          <w:tcPr>
            <w:tcW w:type="dxa" w:w="71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Maximum detail. Full narrative, all driver context, expanded nudge with options, Horizon always showing full state. For users who want to optimize actively.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Just the Highlights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Default mode. Balanced narrative. Today tab as currently designed. Standard nudge. This is what Phase 1 shipped.</w:t>
            </w:r>
          </w:p>
        </w:tc>
      </w:tr>
      <w:tr>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Silent Partner</w:t>
            </w:r>
          </w:p>
        </w:tc>
        <w:tc>
          <w:tcPr>
            <w:tcW w:type="dxa" w:w="71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Minimal narrative. Score and band only on Today tab. No drivers shown. No nudge. User requests context explicitly by tapping. For users who want data without guidance.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Bare Minimum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Score only. No narrative, no drivers, no nudge. Single number. For users in overwhelm or recovery phases who want signal without engagement pressure.</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3.4  Horizon Tab Expansion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Page 2 — Momentum (new)</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Positive trajectory view for CALM-state users. Duration framing, compounding effect sentences, Allostatic Momentum bar. See Session 1.</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Page 3 — Foundations (new)</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How-this-works surface. System transparency without FAQ framing. See Session 1.</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Page Discovery Edge Peek</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One-time swipe animation on first load communicating page navigation exists. Fires once per install.</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Ontology Engine v1</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Full classification engine connecting scoring pipeline to Horizon pages. See Session 2.</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Horizon Assist</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User can query what Horizon is showing. Curated question suggestions surfaced by the system. Claude API with disclaimer architecture. Research/explain mode only — does not modify classification.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Doctor Report Export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PDF export of Horizon signals formatted for physician review. Data model already built. Low lift. Wellness framing only — no clinical staging in the export.</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Domain Detail Screen</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Full-card tap on Domains tab routes to DomainDetailView showing domain score history, metric breakdown, and explanation over time. Metric detail drill-through included.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Risk Horizon Screen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Makes the Ontology Engine visible as upstream pathway activation. Requires design sprint before build. Phase 2 later-stage item.</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Allostatic Portrait</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P2</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90-day cumulative load visualization showing direction of prevention over time. Requires design sprint. Phase 2 later-stage item.</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3.5  Gamification System</w:t>
      </w:r>
    </w:p>
    <w:p>
      <w:pPr>
        <w:spacing w:after="120"/>
      </w:pPr>
      <w:r>
        <w:rPr>
          <w:rFonts w:ascii="Arial" w:cs="Arial" w:eastAsia="Arial" w:hAnsi="Arial"/>
          <w:color w:val="0A0A0A"/>
          <w:sz w:val="22"/>
          <w:szCs w:val="22"/>
        </w:rPr>
        <w:t xml:space="preserve">Gamification in Chronos is constrained by the psychological safety non-negotiable. The system rewards consistency and self-awareness — not score maximization. High scores must not be the goal.</w:t>
      </w:r>
    </w:p>
    <w:p>
      <w:pPr>
        <w:spacing w:after="12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The gamification system rewards showing up, not performing. A user who opens the app during a Redline week and engages thoughtfully earns recognition. A user who chases a high score and over-trains earns a warning.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Engagement Streak</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Counts consecutive days the user opens the app and views their score. Not a score streak — an engagement streak. Shown as a flame/streak indicator on Today tab. Resets on miss. Shown without judgment on recovery after a gap.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Consistency Score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Rolling 30-day measure of how regularly the user has tracked. Not based on score quality — based on data completeness. Shown in the Profile / Account area, not on the daily dashboard.</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Milestone Markers</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System acknowledges meaningful thresholds: 7-day streak, 30-day streak, 90-day baseline completion, first Horizon page unlock, first full score week. Each milestone gets a one-time in-app acknowledgement card (not a notification by default).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Streak Milestone Notifications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Optional push notification on 7, 14, and 30-day engagement milestones. Opt-in within notification preferences. Copy is forward-looking: 'Two weeks of showing up. Your baseline is getting sharper.' Never fires during Redline or declining-score periods.</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Insight Unlocks</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P2</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Certain Horizon insights and explanations deepen with more data. The system surfaces 'This insight became available today' cards when a user reaches a threshold (e.g. 30 days of HRV data unlocks autonomic trend pattern). Frames data longevity as value, not gatekeeping.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Anti-Gamification Guard</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 constraint, not a feature. The system must never show leaderboards, comparative rankings, or score comparisons between users. The system must never reward or highlight high scores in isolation. Gamification elements must be reviewed against psychological safety before shipping.</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3.6  Profile &amp; Personalization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Biological Sex UI + Cycle Tracking</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Schema column biological_sex exists. UI collection in Profile tab + onboarding. Cycle tracking module (menstrual phase input, HRV correlation) gated behind biological_sex = female confirmation.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Display Mode Control</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P0</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Activates greyed Display Mode picker in Preferences tab. Full mode system as defined in Section 3.3.</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Response Tone / Explanation Depth</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Activates greyed tone and depth controls. Warm / Balanced / Direct for tone. Simple / Standard / Deep for depth. Both feed into Claude API system prompt construction.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Baseline Reset / Travel Mode / Illness Mode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Context inputs for atypical days. Travel Mode adjusts baseline window expectations. Illness Mode flags the day and suppresses Redline escalation. Baseline Reset manually triggers recalculation from current 7-day window.</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Manual Data Exclusion</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P2</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'Exclude today' toggle on Today tab. Flags the daily_inputs row as excluded. Scoring engine skips excluded days in baseline calculation.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Password Change / Delete Account</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Auth flows required for any external user distribution. Supabase auth integration. Delete account must purge all user data per privacy requirements.</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3.7  Behavioral &amp; Check-In Layer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Conversational Check-In Questions</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Lightweight daily prompts beyond the current felt right / felt off. 3-tap responses on mood, energy, stress. Stored as subjective data. Feeds D4 (Inferred Stress) domain. Not a survey — a 4-second interaction.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User-Logged Workouts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Manual workout entry for sessions not captured by Apple Watch. Type (strength, cardio, yoga, other) + duration. Feeds Active Minutes domain. Prevents scoring penalization for untracked effort.</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Behavioral Intervention Layer</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P2</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Structured behavior change system connecting Horizon Redirect cards to trackable actions. User can mark an intervention as 'doing this' and the system tracks follow-through. Phase 2 later-stage item requiring design sprint.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Morning / Evening Split Reports</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P2</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Two distinct daily narrative voices: morning brief (forward-looking, energizing) and evening check-in (reflective, recovery-framing). Tied to notification system and Display Mode.</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3.8  Terra Integration (See Session 4 for Full Review)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Priority</w:t>
            </w:r>
          </w:p>
        </w:tc>
        <w:tc>
          <w:tcPr>
            <w:tcW w:type="dxa" w:w="5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Terra API Integration</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Universal wearable data layer. Garmin, Oura, Whoop, Google Fit, Fitbit, Samsung Health — all via single API. Eliminates per-device SDK work. See Session 4 for architecture.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Smart Scale (VeSync) Integration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Weight, body fat %, BMI. Activates currently-greyed Coming Soon badge in onboarding. Feeds Metabolic domain. Via Terra if supported; direct SDK otherwise.</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Blood Pressure Cuff (iHealth) Integration</w:t>
            </w:r>
          </w:p>
        </w:tc>
        <w:tc>
          <w:tcPr>
            <w:tcW w:type="dxa" w:w="1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Systolic/diastolic BP, pulse. Activates currently-greyed Coming Soon badge. Feeds Autonomic and Metabolic domains. Via Terra if supported.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Connected Devices Screen</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Activates the currently display-only Connections tab. Users can add / remove / authorize devices. Shows data freshness per source.</w:t>
            </w:r>
          </w:p>
        </w:tc>
      </w:tr>
    </w:tbl>
    <w:p>
      <w:r>
        <w:br w:type="page"/>
      </w:r>
    </w:p>
    <w:p>
      <w:pPr>
        <w:spacing w:after="80" w:before="320"/>
      </w:pPr>
      <w:r>
        <w:rPr>
          <w:rFonts w:ascii="Arial" w:cs="Arial" w:eastAsia="Arial" w:hAnsi="Arial"/>
          <w:b/>
          <w:bCs/>
          <w:color w:val="B8946A"/>
          <w:sz w:val="16"/>
          <w:szCs w:val="16"/>
        </w:rPr>
        <w:t xml:space="preserve">SESSION 4</w:t>
      </w:r>
    </w:p>
    <w:p>
      <w:pPr>
        <w:pStyle w:val="Heading1"/>
        <w:spacing w:after="160" w:before="480"/>
      </w:pPr>
      <w:r>
        <w:rPr>
          <w:rFonts w:ascii="Arial" w:cs="Arial" w:eastAsia="Arial" w:hAnsi="Arial"/>
          <w:b/>
          <w:bCs/>
          <w:color w:val="0A0A0A"/>
          <w:sz w:val="44"/>
          <w:szCs w:val="44"/>
        </w:rPr>
        <w:t xml:space="preserve">Terra API Integration Review</w:t>
      </w:r>
    </w:p>
    <w:p>
      <w:pPr>
        <w:spacing w:after="120"/>
      </w:pPr>
      <w:r>
        <w:rPr>
          <w:rFonts w:ascii="Arial" w:cs="Arial" w:eastAsia="Arial" w:hAnsi="Arial"/>
          <w:color w:val="0A0A0A"/>
          <w:sz w:val="22"/>
          <w:szCs w:val="22"/>
        </w:rPr>
        <w:t xml:space="preserve">Terra (tryterra.co) is a universal health data aggregation API that connects to 40+ wearable devices and health platforms via a single integration point. This session evaluates Terra as the Phase 2 solution for multi-device data ingestion, replacing the per-device SDK approach that was the original Phase 3 plan.</w:t>
      </w:r>
    </w:p>
    <w:p>
      <w:pPr>
        <w:spacing w:after="16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The original PRD deferred Garmin, Oura, and Whoop to Phase 3 assuming per-device SDK work. Terra collapses that to a single integration. This is the architectural reason it is evaluated now — not Phase 3.</w:t>
      </w:r>
    </w:p>
    <w:p>
      <w:pPr>
        <w:spacing w:after="160"/>
      </w:pPr>
      <w:r>
        <w:t xml:space="preserve"/>
      </w:r>
    </w:p>
    <w:p>
      <w:pPr>
        <w:pStyle w:val="Heading2"/>
        <w:spacing w:after="120" w:before="360"/>
      </w:pPr>
      <w:r>
        <w:rPr>
          <w:rFonts w:ascii="Arial" w:cs="Arial" w:eastAsia="Arial" w:hAnsi="Arial"/>
          <w:b/>
          <w:bCs/>
          <w:color w:val="0A0A0A"/>
          <w:sz w:val="28"/>
          <w:szCs w:val="28"/>
        </w:rPr>
        <w:t xml:space="preserve">4.1  What Terra Does</w:t>
      </w:r>
    </w:p>
    <w:p>
      <w:pPr>
        <w:spacing w:after="120"/>
      </w:pPr>
      <w:r>
        <w:rPr>
          <w:rFonts w:ascii="Arial" w:cs="Arial" w:eastAsia="Arial" w:hAnsi="Arial"/>
          <w:color w:val="0A0A0A"/>
          <w:sz w:val="22"/>
          <w:szCs w:val="22"/>
        </w:rPr>
        <w:t xml:space="preserve">Terra provides a normalized data model across all connected devices. Rather than building individual SDK connections for each wearable manufacturer, a single Terra integration provides access to data from all supported providers in a consistent schema.</w:t>
      </w:r>
    </w:p>
    <w:p>
      <w:pPr>
        <w:spacing w:after="120"/>
      </w:pPr>
      <w:r>
        <w:t xml:space="preserve"/>
      </w:r>
    </w:p>
    <w:p>
      <w:pPr>
        <w:pStyle w:val="Heading3"/>
        <w:spacing w:after="80" w:before="280"/>
      </w:pPr>
      <w:r>
        <w:rPr>
          <w:rFonts w:ascii="Arial" w:cs="Arial" w:eastAsia="Arial" w:hAnsi="Arial"/>
          <w:b/>
          <w:bCs/>
          <w:color w:val="444444"/>
          <w:sz w:val="22"/>
          <w:szCs w:val="22"/>
        </w:rPr>
        <w:t xml:space="preserve">Key Supported Providers (Confirmed)</w:t>
      </w:r>
    </w:p>
    <w:p>
      <w:pPr>
        <w:pStyle w:val="ListParagraph"/>
        <w:numPr>
          <w:ilvl w:val="0"/>
          <w:numId w:val="2"/>
        </w:numPr>
        <w:spacing w:after="80"/>
      </w:pPr>
      <w:r>
        <w:rPr>
          <w:rFonts w:ascii="Arial" w:cs="Arial" w:eastAsia="Arial" w:hAnsi="Arial"/>
          <w:color w:val="0A0A0A"/>
          <w:sz w:val="21"/>
          <w:szCs w:val="21"/>
        </w:rPr>
        <w:t xml:space="preserve">Apple Health (HealthKit) — already our primary source</w:t>
      </w:r>
    </w:p>
    <w:p>
      <w:pPr>
        <w:pStyle w:val="ListParagraph"/>
        <w:numPr>
          <w:ilvl w:val="0"/>
          <w:numId w:val="2"/>
        </w:numPr>
        <w:spacing w:after="80"/>
      </w:pPr>
      <w:r>
        <w:rPr>
          <w:rFonts w:ascii="Arial" w:cs="Arial" w:eastAsia="Arial" w:hAnsi="Arial"/>
          <w:color w:val="0A0A0A"/>
          <w:sz w:val="21"/>
          <w:szCs w:val="21"/>
        </w:rPr>
        <w:t xml:space="preserve">Garmin (Connect)</w:t>
      </w:r>
    </w:p>
    <w:p>
      <w:pPr>
        <w:pStyle w:val="ListParagraph"/>
        <w:numPr>
          <w:ilvl w:val="0"/>
          <w:numId w:val="2"/>
        </w:numPr>
        <w:spacing w:after="80"/>
      </w:pPr>
      <w:r>
        <w:rPr>
          <w:rFonts w:ascii="Arial" w:cs="Arial" w:eastAsia="Arial" w:hAnsi="Arial"/>
          <w:color w:val="0A0A0A"/>
          <w:sz w:val="21"/>
          <w:szCs w:val="21"/>
        </w:rPr>
        <w:t xml:space="preserve">Oura Ring</w:t>
      </w:r>
    </w:p>
    <w:p>
      <w:pPr>
        <w:pStyle w:val="ListParagraph"/>
        <w:numPr>
          <w:ilvl w:val="0"/>
          <w:numId w:val="2"/>
        </w:numPr>
        <w:spacing w:after="80"/>
      </w:pPr>
      <w:r>
        <w:rPr>
          <w:rFonts w:ascii="Arial" w:cs="Arial" w:eastAsia="Arial" w:hAnsi="Arial"/>
          <w:color w:val="0A0A0A"/>
          <w:sz w:val="21"/>
          <w:szCs w:val="21"/>
        </w:rPr>
        <w:t xml:space="preserve">Whoop</w:t>
      </w:r>
    </w:p>
    <w:p>
      <w:pPr>
        <w:pStyle w:val="ListParagraph"/>
        <w:numPr>
          <w:ilvl w:val="0"/>
          <w:numId w:val="2"/>
        </w:numPr>
        <w:spacing w:after="80"/>
      </w:pPr>
      <w:r>
        <w:rPr>
          <w:rFonts w:ascii="Arial" w:cs="Arial" w:eastAsia="Arial" w:hAnsi="Arial"/>
          <w:color w:val="0A0A0A"/>
          <w:sz w:val="21"/>
          <w:szCs w:val="21"/>
        </w:rPr>
        <w:t xml:space="preserve">Google Fit / Fitbit</w:t>
      </w:r>
    </w:p>
    <w:p>
      <w:pPr>
        <w:pStyle w:val="ListParagraph"/>
        <w:numPr>
          <w:ilvl w:val="0"/>
          <w:numId w:val="2"/>
        </w:numPr>
        <w:spacing w:after="80"/>
      </w:pPr>
      <w:r>
        <w:rPr>
          <w:rFonts w:ascii="Arial" w:cs="Arial" w:eastAsia="Arial" w:hAnsi="Arial"/>
          <w:color w:val="0A0A0A"/>
          <w:sz w:val="21"/>
          <w:szCs w:val="21"/>
        </w:rPr>
        <w:t xml:space="preserve">Samsung Health</w:t>
      </w:r>
    </w:p>
    <w:p>
      <w:pPr>
        <w:pStyle w:val="ListParagraph"/>
        <w:numPr>
          <w:ilvl w:val="0"/>
          <w:numId w:val="2"/>
        </w:numPr>
        <w:spacing w:after="80"/>
      </w:pPr>
      <w:r>
        <w:rPr>
          <w:rFonts w:ascii="Arial" w:cs="Arial" w:eastAsia="Arial" w:hAnsi="Arial"/>
          <w:color w:val="0A0A0A"/>
          <w:sz w:val="21"/>
          <w:szCs w:val="21"/>
        </w:rPr>
        <w:t xml:space="preserve">Polar, Suunto, Withings, iHealth, many others</w:t>
      </w:r>
    </w:p>
    <w:p>
      <w:pPr>
        <w:spacing w:after="120"/>
      </w:pPr>
      <w:r>
        <w:t xml:space="preserve"/>
      </w:r>
    </w:p>
    <w:p>
      <w:pPr>
        <w:pStyle w:val="Heading3"/>
        <w:spacing w:after="80" w:before="280"/>
      </w:pPr>
      <w:r>
        <w:rPr>
          <w:rFonts w:ascii="Arial" w:cs="Arial" w:eastAsia="Arial" w:hAnsi="Arial"/>
          <w:b/>
          <w:bCs/>
          <w:color w:val="444444"/>
          <w:sz w:val="22"/>
          <w:szCs w:val="22"/>
        </w:rPr>
        <w:t xml:space="preserve">Key Data Types Available</w:t>
      </w:r>
    </w:p>
    <w:p>
      <w:pPr>
        <w:pStyle w:val="ListParagraph"/>
        <w:numPr>
          <w:ilvl w:val="0"/>
          <w:numId w:val="2"/>
        </w:numPr>
        <w:spacing w:after="80"/>
      </w:pPr>
      <w:r>
        <w:rPr>
          <w:rFonts w:ascii="Arial" w:cs="Arial" w:eastAsia="Arial" w:hAnsi="Arial"/>
          <w:color w:val="0A0A0A"/>
          <w:sz w:val="21"/>
          <w:szCs w:val="21"/>
        </w:rPr>
        <w:t xml:space="preserve">Sleep: duration, efficiency, stages (REM, deep, light), respiratory rate during sleep</w:t>
      </w:r>
    </w:p>
    <w:p>
      <w:pPr>
        <w:pStyle w:val="ListParagraph"/>
        <w:numPr>
          <w:ilvl w:val="0"/>
          <w:numId w:val="2"/>
        </w:numPr>
        <w:spacing w:after="80"/>
      </w:pPr>
      <w:r>
        <w:rPr>
          <w:rFonts w:ascii="Arial" w:cs="Arial" w:eastAsia="Arial" w:hAnsi="Arial"/>
          <w:color w:val="0A0A0A"/>
          <w:sz w:val="21"/>
          <w:szCs w:val="21"/>
        </w:rPr>
        <w:t xml:space="preserve">Activity: steps, active minutes, active energy, distance, workout sessions</w:t>
      </w:r>
    </w:p>
    <w:p>
      <w:pPr>
        <w:pStyle w:val="ListParagraph"/>
        <w:numPr>
          <w:ilvl w:val="0"/>
          <w:numId w:val="2"/>
        </w:numPr>
        <w:spacing w:after="80"/>
      </w:pPr>
      <w:r>
        <w:rPr>
          <w:rFonts w:ascii="Arial" w:cs="Arial" w:eastAsia="Arial" w:hAnsi="Arial"/>
          <w:color w:val="0A0A0A"/>
          <w:sz w:val="21"/>
          <w:szCs w:val="21"/>
        </w:rPr>
        <w:t xml:space="preserve">Body: weight, BMI, body fat percentage (from smart scales)</w:t>
      </w:r>
    </w:p>
    <w:p>
      <w:pPr>
        <w:pStyle w:val="ListParagraph"/>
        <w:numPr>
          <w:ilvl w:val="0"/>
          <w:numId w:val="2"/>
        </w:numPr>
        <w:spacing w:after="80"/>
      </w:pPr>
      <w:r>
        <w:rPr>
          <w:rFonts w:ascii="Arial" w:cs="Arial" w:eastAsia="Arial" w:hAnsi="Arial"/>
          <w:color w:val="0A0A0A"/>
          <w:sz w:val="21"/>
          <w:szCs w:val="21"/>
        </w:rPr>
        <w:t xml:space="preserve">Heart: HRV, resting heart rate, heart rate zones</w:t>
      </w:r>
    </w:p>
    <w:p>
      <w:pPr>
        <w:pStyle w:val="ListParagraph"/>
        <w:numPr>
          <w:ilvl w:val="0"/>
          <w:numId w:val="2"/>
        </w:numPr>
        <w:spacing w:after="80"/>
      </w:pPr>
      <w:r>
        <w:rPr>
          <w:rFonts w:ascii="Arial" w:cs="Arial" w:eastAsia="Arial" w:hAnsi="Arial"/>
          <w:color w:val="0A0A0A"/>
          <w:sz w:val="21"/>
          <w:szCs w:val="21"/>
        </w:rPr>
        <w:t xml:space="preserve">Vitals: blood pressure (device-dependent), blood oxygen, skin temperature</w:t>
      </w:r>
    </w:p>
    <w:p>
      <w:pPr>
        <w:spacing w:after="160"/>
      </w:pPr>
      <w:r>
        <w:t xml:space="preserve"/>
      </w:r>
    </w:p>
    <w:p>
      <w:pPr>
        <w:pStyle w:val="Heading2"/>
        <w:spacing w:after="120" w:before="360"/>
      </w:pPr>
      <w:r>
        <w:rPr>
          <w:rFonts w:ascii="Arial" w:cs="Arial" w:eastAsia="Arial" w:hAnsi="Arial"/>
          <w:b/>
          <w:bCs/>
          <w:color w:val="0A0A0A"/>
          <w:sz w:val="28"/>
          <w:szCs w:val="28"/>
        </w:rPr>
        <w:t xml:space="preserve">4.2  Architecture — How Terra Fits the MBI Stack</w:t>
      </w:r>
    </w:p>
    <w:p>
      <w:pPr>
        <w:spacing w:after="120"/>
      </w:pPr>
      <w:r>
        <w:rPr>
          <w:rFonts w:ascii="Arial" w:cs="Arial" w:eastAsia="Arial" w:hAnsi="Arial"/>
          <w:color w:val="0A0A0A"/>
          <w:sz w:val="22"/>
          <w:szCs w:val="22"/>
        </w:rPr>
        <w:t xml:space="preserve">Terra integrates at the ingestion layer — between the device and the Supabase scoring pipeline. The scoring engine, Ontology Engine, and Claude narrative layer are unchanged.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Change Required</w:t>
            </w:r>
          </w:p>
        </w:tc>
      </w:tr>
      <w:tr>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HealthKit (existing)</w:t>
            </w:r>
          </w:p>
        </w:tc>
        <w:tc>
          <w:tcPr>
            <w:tcW w:type="dxa" w:w="71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No change. Apple Health remains the primary iOS source. Terra supplements for non-Apple devices.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Terra Ingestion (new)</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Terra webhook receives data from connected devices. A new Edge Function normalizes Terra payload to MBI metric schema. Writes to daily_inputs alongside HealthKit data.</w:t>
            </w:r>
          </w:p>
        </w:tc>
      </w:tr>
      <w:tr>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Conflict Resolution (new)</w:t>
            </w:r>
          </w:p>
        </w:tc>
        <w:tc>
          <w:tcPr>
            <w:tcW w:type="dxa" w:w="71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When both Apple Health and a Terra device report the same metric (e.g. HRV from Apple Watch and Garmin), the system applies a source priority rule. Default: Apple Watch primary, Terra supplementary. User can override in Connections tab.</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Scoring Engine (unchanged)</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Reads from daily_inputs regardless of source. The metric_node_map table (Session 2) handles new metrics cleanly.</w:t>
            </w:r>
          </w:p>
        </w:tc>
      </w:tr>
      <w:tr>
        <w:tc>
          <w:tcPr>
            <w:tcW w:type="dxa" w:w="22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metric_node_map (minor update)</w:t>
            </w:r>
          </w:p>
        </w:tc>
        <w:tc>
          <w:tcPr>
            <w:tcW w:type="dxa" w:w="71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New Terra-sourced metrics (e.g. Oura sleep stages, Garmin HRV) require new rows in metric_node_map. No code change — data table update only.</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4.3  Integration Path — iOS</w:t>
      </w:r>
    </w:p>
    <w:p>
      <w:pPr>
        <w:spacing w:after="120"/>
      </w:pPr>
      <w:r>
        <w:rPr>
          <w:rFonts w:ascii="Arial" w:cs="Arial" w:eastAsia="Arial" w:hAnsi="Arial"/>
          <w:color w:val="0A0A0A"/>
          <w:sz w:val="22"/>
          <w:szCs w:val="22"/>
        </w:rPr>
        <w:t xml:space="preserve">Terra provides a native iOS SDK (TerraSwift) and a widget-based connection flow. The connection flow appears in the Connections tab of the Profile section.</w:t>
      </w:r>
    </w:p>
    <w:p>
      <w:pPr>
        <w:spacing w:after="120"/>
      </w:pPr>
      <w:r>
        <w:t xml:space="preserve"/>
      </w:r>
    </w:p>
    <w:p>
      <w:pPr>
        <w:pStyle w:val="ListParagraph"/>
        <w:numPr>
          <w:ilvl w:val="0"/>
          <w:numId w:val="3"/>
        </w:numPr>
        <w:spacing w:after="80"/>
      </w:pPr>
      <w:r>
        <w:rPr>
          <w:rFonts w:ascii="Arial" w:cs="Arial" w:eastAsia="Arial" w:hAnsi="Arial"/>
          <w:color w:val="0A0A0A"/>
          <w:sz w:val="21"/>
          <w:szCs w:val="21"/>
        </w:rPr>
        <w:t xml:space="preserve">Install TerraSwift SDK via Swift Package Manager.</w:t>
      </w:r>
    </w:p>
    <w:p>
      <w:pPr>
        <w:pStyle w:val="ListParagraph"/>
        <w:numPr>
          <w:ilvl w:val="0"/>
          <w:numId w:val="3"/>
        </w:numPr>
        <w:spacing w:after="80"/>
      </w:pPr>
      <w:r>
        <w:rPr>
          <w:rFonts w:ascii="Arial" w:cs="Arial" w:eastAsia="Arial" w:hAnsi="Arial"/>
          <w:color w:val="0A0A0A"/>
          <w:sz w:val="21"/>
          <w:szCs w:val="21"/>
        </w:rPr>
        <w:t xml:space="preserve">Terra connection UI: user selects their device in the Connections tab. Terra presents its own OAuth/authorization flow. Connection state stored in Supabase (users.terra_connection, users.terra_user_id).</w:t>
      </w:r>
    </w:p>
    <w:p>
      <w:pPr>
        <w:pStyle w:val="ListParagraph"/>
        <w:numPr>
          <w:ilvl w:val="0"/>
          <w:numId w:val="3"/>
        </w:numPr>
        <w:spacing w:after="80"/>
      </w:pPr>
      <w:r>
        <w:rPr>
          <w:rFonts w:ascii="Arial" w:cs="Arial" w:eastAsia="Arial" w:hAnsi="Arial"/>
          <w:color w:val="0A0A0A"/>
          <w:sz w:val="21"/>
          <w:szCs w:val="21"/>
        </w:rPr>
        <w:t xml:space="preserve">Terra webhook registered in Supabase Edge Function to receive real-time or daily data payloads from Terra.</w:t>
      </w:r>
    </w:p>
    <w:p>
      <w:pPr>
        <w:pStyle w:val="ListParagraph"/>
        <w:numPr>
          <w:ilvl w:val="0"/>
          <w:numId w:val="3"/>
        </w:numPr>
        <w:spacing w:after="80"/>
      </w:pPr>
      <w:r>
        <w:rPr>
          <w:rFonts w:ascii="Arial" w:cs="Arial" w:eastAsia="Arial" w:hAnsi="Arial"/>
          <w:color w:val="0A0A0A"/>
          <w:sz w:val="21"/>
          <w:szCs w:val="21"/>
        </w:rPr>
        <w:t xml:space="preserve">Normalization Edge Function maps Terra payload fields to MBI metric schema. Maps are defined per-provider in a terra_field_map configuration (Supabase table — not hardcoded).</w:t>
      </w:r>
    </w:p>
    <w:p>
      <w:pPr>
        <w:pStyle w:val="ListParagraph"/>
        <w:numPr>
          <w:ilvl w:val="0"/>
          <w:numId w:val="3"/>
        </w:numPr>
        <w:spacing w:after="80"/>
      </w:pPr>
      <w:r>
        <w:rPr>
          <w:rFonts w:ascii="Arial" w:cs="Arial" w:eastAsia="Arial" w:hAnsi="Arial"/>
          <w:color w:val="0A0A0A"/>
          <w:sz w:val="21"/>
          <w:szCs w:val="21"/>
        </w:rPr>
        <w:t xml:space="preserve">Merged daily_inputs row written with source_device field populated for audit trail.</w:t>
      </w:r>
    </w:p>
    <w:p>
      <w:pPr>
        <w:spacing w:after="160"/>
      </w:pPr>
      <w:r>
        <w:t xml:space="preserve"/>
      </w:r>
    </w:p>
    <w:p>
      <w:pPr>
        <w:pStyle w:val="Heading2"/>
        <w:spacing w:after="120" w:before="360"/>
      </w:pPr>
      <w:r>
        <w:rPr>
          <w:rFonts w:ascii="Arial" w:cs="Arial" w:eastAsia="Arial" w:hAnsi="Arial"/>
          <w:b/>
          <w:bCs/>
          <w:color w:val="0A0A0A"/>
          <w:sz w:val="28"/>
          <w:szCs w:val="28"/>
        </w:rPr>
        <w:t xml:space="preserve">4.4  Considerations and Decisions Required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Options / Recommendation</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Pricing tier</w:t>
            </w:r>
          </w:p>
        </w:tc>
        <w:tc>
          <w:tcPr>
            <w:tcW w:type="dxa" w:w="6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Terra is usage-based. Free tier for development. Paid tier activates above a threshold of active connections. Evaluate at Phase 2 launch when real user count is known. Budget line needed before Phase 3 scale.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Apple Health overlap</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Recommendation: Apple Health remains primary for all iOS users. Terra activates only when user explicitly connects a non-Apple device. This prevents duplicate data and preserves data quality.</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Privacy disclosure</w:t>
            </w:r>
          </w:p>
        </w:tc>
        <w:tc>
          <w:tcPr>
            <w:tcW w:type="dxa" w:w="6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Terra connection requires updated Privacy Policy language disclosing third-party health data routing. Legal review required before Terra is presented to external users. Flag for Phase 2 pre-launch review.</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Data freshness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Terra webhooks can be near-real-time or daily batch depending on provider. MBI scoring runs daily — daily batch is sufficient for Phase 2. Real-time adds complexity without scoring benefit at current cadence.</w:t>
            </w:r>
          </w:p>
        </w:tc>
      </w:tr>
      <w:tr>
        <w:tc>
          <w:tcPr>
            <w:tcW w:type="dxa" w:w="28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Smart scale via Terra</w:t>
            </w:r>
          </w:p>
        </w:tc>
        <w:tc>
          <w:tcPr>
            <w:tcW w:type="dxa" w:w="6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Withings and some VeSync models are supported by Terra. Verify VeSync specifically before activating the onboarding Coming Soon badge. If Terra supports it: activate via Terra integration. If not: direct SDK required separately.</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4.5  Decision — Phase 2 vs Phase 3</w:t>
      </w:r>
    </w:p>
    <w:p>
      <w:pPr>
        <w:spacing w:after="120"/>
      </w:pPr>
      <w:r>
        <w:rPr>
          <w:rFonts w:ascii="Arial" w:cs="Arial" w:eastAsia="Arial" w:hAnsi="Arial"/>
          <w:color w:val="0A0A0A"/>
          <w:sz w:val="22"/>
          <w:szCs w:val="22"/>
        </w:rPr>
        <w:t xml:space="preserve">Original plan deferred non-Apple wearables to Phase 3. Recommendation: move Terra integration to Phase 2 for the following reasons:</w:t>
      </w:r>
    </w:p>
    <w:p>
      <w:pPr>
        <w:pStyle w:val="ListParagraph"/>
        <w:numPr>
          <w:ilvl w:val="0"/>
          <w:numId w:val="2"/>
        </w:numPr>
        <w:spacing w:after="80"/>
      </w:pPr>
      <w:r>
        <w:rPr>
          <w:rFonts w:ascii="Arial" w:cs="Arial" w:eastAsia="Arial" w:hAnsi="Arial"/>
          <w:color w:val="0A0A0A"/>
          <w:sz w:val="21"/>
          <w:szCs w:val="21"/>
        </w:rPr>
        <w:t xml:space="preserve">Single integration vs. six — Terra eliminates per-device SDK work and compresses what was a Phase 3 multi-sprint effort to a single Phase 2 sprint.</w:t>
      </w:r>
    </w:p>
    <w:p>
      <w:pPr>
        <w:pStyle w:val="ListParagraph"/>
        <w:numPr>
          <w:ilvl w:val="0"/>
          <w:numId w:val="2"/>
        </w:numPr>
        <w:spacing w:after="80"/>
      </w:pPr>
      <w:r>
        <w:rPr>
          <w:rFonts w:ascii="Arial" w:cs="Arial" w:eastAsia="Arial" w:hAnsi="Arial"/>
          <w:color w:val="0A0A0A"/>
          <w:sz w:val="21"/>
          <w:szCs w:val="21"/>
        </w:rPr>
        <w:t xml:space="preserve">Ontology Engine alignment — the metric_node_map architecture (Session 2) was explicitly designed for dynamic metric expansion. Terra feeds it cleanly without any engine rebuild.</w:t>
      </w:r>
    </w:p>
    <w:p>
      <w:pPr>
        <w:pStyle w:val="ListParagraph"/>
        <w:numPr>
          <w:ilvl w:val="0"/>
          <w:numId w:val="2"/>
        </w:numPr>
        <w:spacing w:after="80"/>
      </w:pPr>
      <w:r>
        <w:rPr>
          <w:rFonts w:ascii="Arial" w:cs="Arial" w:eastAsia="Arial" w:hAnsi="Arial"/>
          <w:color w:val="0A0A0A"/>
          <w:sz w:val="21"/>
          <w:szCs w:val="21"/>
        </w:rPr>
        <w:t xml:space="preserve">User acquisition argument — Oura and Whoop users are exactly the health-engaged early adopter cohort Chronos is designed for. Blocking them on Apple Watch only is a significant acquisition constraint.</w:t>
      </w:r>
    </w:p>
    <w:p>
      <w:pPr>
        <w:pStyle w:val="ListParagraph"/>
        <w:numPr>
          <w:ilvl w:val="0"/>
          <w:numId w:val="2"/>
        </w:numPr>
        <w:spacing w:after="80"/>
      </w:pPr>
      <w:r>
        <w:rPr>
          <w:rFonts w:ascii="Arial" w:cs="Arial" w:eastAsia="Arial" w:hAnsi="Arial"/>
          <w:color w:val="0A0A0A"/>
          <w:sz w:val="21"/>
          <w:szCs w:val="21"/>
        </w:rPr>
        <w:t xml:space="preserve">Onboarding Coming Soon badges are already in place — activating them in Phase 2 delivers on a visible promise.</w:t>
      </w:r>
    </w:p>
    <w:p>
      <w:pPr>
        <w:pBdr>
          <w:left w:val="single" w:color="B8946A" w:sz="8" w:space="6"/>
        </w:pBdr>
        <w:spacing w:after="80" w:before="80"/>
        <w:ind w:left="720"/>
      </w:pPr>
      <w:r>
        <w:rPr>
          <w:rFonts w:ascii="Arial" w:cs="Arial" w:eastAsia="Arial" w:hAnsi="Arial"/>
          <w:i/>
          <w:iCs/>
          <w:color w:val="444444"/>
          <w:sz w:val="20"/>
          <w:szCs w:val="20"/>
        </w:rPr>
        <w:t xml:space="preserve">Recommendation: Terra integration is a Phase 2 Sprint 2 item (after Foundation Infrastructure Sprint 1). Oura and Garmin as primary targets for first activation.</w:t>
      </w:r>
    </w:p>
    <w:p>
      <w:pPr>
        <w:spacing w:after="160"/>
      </w:pPr>
      <w:r>
        <w:t xml:space="preserve"/>
      </w:r>
    </w:p>
    <w:p>
      <w:r>
        <w:br w:type="page"/>
      </w:r>
    </w:p>
    <w:p>
      <w:pPr>
        <w:spacing w:after="80" w:before="320"/>
      </w:pPr>
      <w:r>
        <w:rPr>
          <w:rFonts w:ascii="Arial" w:cs="Arial" w:eastAsia="Arial" w:hAnsi="Arial"/>
          <w:b/>
          <w:bCs/>
          <w:color w:val="B8946A"/>
          <w:sz w:val="16"/>
          <w:szCs w:val="16"/>
        </w:rPr>
        <w:t xml:space="preserve">SESSION 5</w:t>
      </w:r>
    </w:p>
    <w:p>
      <w:pPr>
        <w:pStyle w:val="Heading1"/>
        <w:spacing w:after="160" w:before="480"/>
      </w:pPr>
      <w:r>
        <w:rPr>
          <w:rFonts w:ascii="Arial" w:cs="Arial" w:eastAsia="Arial" w:hAnsi="Arial"/>
          <w:b/>
          <w:bCs/>
          <w:color w:val="0A0A0A"/>
          <w:sz w:val="44"/>
          <w:szCs w:val="44"/>
        </w:rPr>
        <w:t xml:space="preserve">Phase 3 DPC / Outside Application Escalation Gate</w:t>
      </w:r>
    </w:p>
    <w:p>
      <w:pPr>
        <w:spacing w:after="120"/>
      </w:pPr>
      <w:r>
        <w:rPr>
          <w:rFonts w:ascii="Arial" w:cs="Arial" w:eastAsia="Arial" w:hAnsi="Arial"/>
          <w:color w:val="0A0A0A"/>
          <w:sz w:val="22"/>
          <w:szCs w:val="22"/>
        </w:rPr>
        <w:t xml:space="preserve">The Horizon tab's Escalate page (Page 6 in the new page architecture) currently shows three deferred action buttons as 'Coming soon' stubs: Doctor Report Export, DPC Scheduling, and Horizon Assist. This session designs the Coming Soon gate architecture that governs these surfaces and all future DPC and clinical escalation features through Phase 2 and into Phase 3.</w:t>
      </w:r>
    </w:p>
    <w:p>
      <w:pPr>
        <w:spacing w:after="16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The gate is not a placeholder. It is a product surface. A user who reaches the Escalate page is experiencing a real pattern that warrants a physician conversation. How the system communicates 'this capability is coming' matters significantly.</w:t>
      </w:r>
    </w:p>
    <w:p>
      <w:pPr>
        <w:spacing w:after="160"/>
      </w:pPr>
      <w:r>
        <w:t xml:space="preserve"/>
      </w:r>
    </w:p>
    <w:p>
      <w:pPr>
        <w:pStyle w:val="Heading2"/>
        <w:spacing w:after="120" w:before="360"/>
      </w:pPr>
      <w:r>
        <w:rPr>
          <w:rFonts w:ascii="Arial" w:cs="Arial" w:eastAsia="Arial" w:hAnsi="Arial"/>
          <w:b/>
          <w:bCs/>
          <w:color w:val="0A0A0A"/>
          <w:sz w:val="28"/>
          <w:szCs w:val="28"/>
        </w:rPr>
        <w:t xml:space="preserve">5.1  What Belongs Behind the Phase 3 Gate</w:t>
      </w:r>
    </w:p>
    <w:p>
      <w:pPr>
        <w:spacing w:after="120"/>
      </w:pPr>
      <w:r>
        <w:rPr>
          <w:rFonts w:ascii="Arial" w:cs="Arial" w:eastAsia="Arial" w:hAnsi="Arial"/>
          <w:color w:val="0A0A0A"/>
          <w:sz w:val="22"/>
          <w:szCs w:val="22"/>
        </w:rPr>
        <w:t xml:space="preserve">All features that cross the boundary from wellness self-monitoring into clinical or provider-mediated care are Phase 3 gated. This is a regulatory and liability constraint, not just a roadmap choice.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Gate Type</w:t>
            </w:r>
          </w:p>
        </w:tc>
        <w:tc>
          <w:tcPr>
            <w:tcW w:type="dxa" w:w="43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DPC Scheduling (in-app)</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Phase 3</w:t>
            </w:r>
          </w:p>
        </w:tc>
        <w:tc>
          <w:tcPr>
            <w:tcW w:type="dxa" w:w="4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In-app scheduling with a Direct Primary Care provider. Requires provider-side infrastructure and credentialing.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Doctor Report Export (formatted)</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Phase 2 P1</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Wellness-framed PDF of Horizon signals. Phase 2 deliverable — data model is built. Not behind the Phase 3 gate. See feature list.</w:t>
            </w:r>
          </w:p>
        </w:tc>
      </w:tr>
      <w:tr>
        <w:tc>
          <w:tcPr>
            <w:tcW w:type="dxa" w:w="3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Provider Data Sharing</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Phase 3</w:t>
            </w:r>
          </w:p>
        </w:tc>
        <w:tc>
          <w:tcPr>
            <w:tcW w:type="dxa" w:w="4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Structured data feed to an authorized provider. Requires HIPAA compliance review and provider portal.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Lab Integration (Function Health / Everlywell)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Phase 3</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Biomarker data ingestion from external lab providers. Enables Ontology Engine v2 with lab-grade node activation.</w:t>
            </w:r>
          </w:p>
        </w:tc>
      </w:tr>
      <w:tr>
        <w:tc>
          <w:tcPr>
            <w:tcW w:type="dxa" w:w="3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Diagnostic Language in Outputs</w:t>
            </w:r>
          </w:p>
        </w:tc>
        <w:tc>
          <w:tcPr>
            <w:tcW w:type="dxa" w:w="20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Phase 3 Legal Gate</w:t>
            </w:r>
          </w:p>
        </w:tc>
        <w:tc>
          <w:tcPr>
            <w:tcW w:type="dxa" w:w="43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Any output using clinical staging, diagnostic criteria, or disease classification language. Requires SaMD regulatory review before shipping.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Insurance / Risk Tier Features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Phase 4+</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Dynamic insurance model, behavior-responsive premium adjustments. Requires Phase 4 licensing and regulatory clearance.</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5.2  Gate Design — Principles</w:t>
      </w:r>
    </w:p>
    <w:p>
      <w:pPr>
        <w:spacing w:after="120"/>
      </w:pPr>
      <w:r>
        <w:rPr>
          <w:rFonts w:ascii="Arial" w:cs="Arial" w:eastAsia="Arial" w:hAnsi="Arial"/>
          <w:color w:val="0A0A0A"/>
          <w:sz w:val="22"/>
          <w:szCs w:val="22"/>
        </w:rPr>
        <w:t xml:space="preserve">The Coming Soon gate on Phase 3 features must satisfy four principles simultaneously: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Principle</w:t>
            </w:r>
          </w:p>
        </w:tc>
        <w:tc>
          <w:tcPr>
            <w:tcW w:type="dxa" w:w="69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What It Means in Practice</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Value communication</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The user understands what the gated feature will do for them — not just that it is coming. 'Connect with a physician about what you have been tracking' is better than 'Provider scheduling coming soon.'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No false urgency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The gate must not create health anxiety. A user on the Escalate page is already in an elevated pattern state. The Coming Soon treatment must be calm and matter-of-fact — never alarming.</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Actionability</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Every gated feature must offer an alternative action the user can take now. DPC scheduling is gated — but the system can surface 'Find a physician who understands tracking data' as a present-tense actionable.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No dead ends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 gated feature must never leave the user with nothing to do. The Escalate page always has at least one live action available regardless of how many features are gated.</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5.3  Gate Component Design</w:t>
      </w:r>
    </w:p>
    <w:p>
      <w:pPr>
        <w:pStyle w:val="Heading3"/>
        <w:spacing w:after="80" w:before="280"/>
      </w:pPr>
      <w:r>
        <w:rPr>
          <w:rFonts w:ascii="Arial" w:cs="Arial" w:eastAsia="Arial" w:hAnsi="Arial"/>
          <w:b/>
          <w:bCs/>
          <w:color w:val="444444"/>
          <w:sz w:val="22"/>
          <w:szCs w:val="22"/>
        </w:rPr>
        <w:t xml:space="preserve">Coming Soon Card — Visual Spec</w:t>
      </w:r>
    </w:p>
    <w:p>
      <w:pPr>
        <w:spacing w:after="120"/>
      </w:pPr>
      <w:r>
        <w:rPr>
          <w:rFonts w:ascii="Arial" w:cs="Arial" w:eastAsia="Arial" w:hAnsi="Arial"/>
          <w:color w:val="0A0A0A"/>
          <w:sz w:val="22"/>
          <w:szCs w:val="22"/>
        </w:rPr>
        <w:t xml:space="preserve">Each gated feature on the Escalate page renders as a Coming Soon card with the following structure:</w:t>
      </w:r>
    </w:p>
    <w:p>
      <w:pPr>
        <w:pStyle w:val="ListParagraph"/>
        <w:numPr>
          <w:ilvl w:val="0"/>
          <w:numId w:val="2"/>
        </w:numPr>
        <w:spacing w:after="80"/>
      </w:pPr>
      <w:r>
        <w:rPr>
          <w:rFonts w:ascii="Arial" w:cs="Arial" w:eastAsia="Arial" w:hAnsi="Arial"/>
          <w:color w:val="0A0A0A"/>
          <w:sz w:val="21"/>
          <w:szCs w:val="21"/>
        </w:rPr>
        <w:t xml:space="preserve">Header: Feature name in bold. A COMING SOON badge — gold border, not grey. Gold communicates this is a deliberate roadmap item, not an abandoned feature.</w:t>
      </w:r>
    </w:p>
    <w:p>
      <w:pPr>
        <w:pStyle w:val="ListParagraph"/>
        <w:numPr>
          <w:ilvl w:val="0"/>
          <w:numId w:val="2"/>
        </w:numPr>
        <w:spacing w:after="80"/>
      </w:pPr>
      <w:r>
        <w:rPr>
          <w:rFonts w:ascii="Arial" w:cs="Arial" w:eastAsia="Arial" w:hAnsi="Arial"/>
          <w:color w:val="0A0A0A"/>
          <w:sz w:val="21"/>
          <w:szCs w:val="21"/>
        </w:rPr>
        <w:t xml:space="preserve">One-sentence value description: What this feature will do. Present-tense framing: 'Schedule a conversation with a physician about your tracking data directly from Chronos.'</w:t>
      </w:r>
    </w:p>
    <w:p>
      <w:pPr>
        <w:pStyle w:val="ListParagraph"/>
        <w:numPr>
          <w:ilvl w:val="0"/>
          <w:numId w:val="2"/>
        </w:numPr>
        <w:spacing w:after="80"/>
      </w:pPr>
      <w:r>
        <w:rPr>
          <w:rFonts w:ascii="Arial" w:cs="Arial" w:eastAsia="Arial" w:hAnsi="Arial"/>
          <w:color w:val="0A0A0A"/>
          <w:sz w:val="21"/>
          <w:szCs w:val="21"/>
        </w:rPr>
        <w:t xml:space="preserve">Alternative action line: A live CTA the user can act on now. 'For now: bring this pattern to your next physician appointment and show them your Horizon summary.'</w:t>
      </w:r>
    </w:p>
    <w:p>
      <w:pPr>
        <w:pStyle w:val="ListParagraph"/>
        <w:numPr>
          <w:ilvl w:val="0"/>
          <w:numId w:val="2"/>
        </w:numPr>
        <w:spacing w:after="80"/>
      </w:pPr>
      <w:r>
        <w:rPr>
          <w:rFonts w:ascii="Arial" w:cs="Arial" w:eastAsia="Arial" w:hAnsi="Arial"/>
          <w:color w:val="0A0A0A"/>
          <w:sz w:val="21"/>
          <w:szCs w:val="21"/>
        </w:rPr>
        <w:t xml:space="preserve">Notify me toggle: Optional opt-in to be notified when the feature launches. Stored in user_feature_waitlist table. This doubles as product validation data.</w:t>
      </w:r>
    </w:p>
    <w:p>
      <w:pPr>
        <w:spacing w:after="160"/>
      </w:pPr>
      <w:r>
        <w:t xml:space="preserve"/>
      </w:r>
    </w:p>
    <w:p>
      <w:pPr>
        <w:pStyle w:val="Heading3"/>
        <w:spacing w:after="80" w:before="280"/>
      </w:pPr>
      <w:r>
        <w:rPr>
          <w:rFonts w:ascii="Arial" w:cs="Arial" w:eastAsia="Arial" w:hAnsi="Arial"/>
          <w:b/>
          <w:bCs/>
          <w:color w:val="444444"/>
          <w:sz w:val="22"/>
          <w:szCs w:val="22"/>
        </w:rPr>
        <w:t xml:space="preserve">Phase 3 Gate Page — Escalate Layout</w:t>
      </w:r>
    </w:p>
    <w:p>
      <w:pPr>
        <w:spacing w:after="120"/>
      </w:pPr>
      <w:r>
        <w:rPr>
          <w:rFonts w:ascii="Arial" w:cs="Arial" w:eastAsia="Arial" w:hAnsi="Arial"/>
          <w:color w:val="0A0A0A"/>
          <w:sz w:val="22"/>
          <w:szCs w:val="22"/>
        </w:rPr>
        <w:t xml:space="preserve">The Escalate page layout with Phase 3 gates applied:</w:t>
      </w:r>
    </w:p>
    <w:p>
      <w:pPr>
        <w:pStyle w:val="ListParagraph"/>
        <w:numPr>
          <w:ilvl w:val="0"/>
          <w:numId w:val="3"/>
        </w:numPr>
        <w:spacing w:after="80"/>
      </w:pPr>
      <w:r>
        <w:rPr>
          <w:rFonts w:ascii="Arial" w:cs="Arial" w:eastAsia="Arial" w:hAnsi="Arial"/>
          <w:color w:val="0A0A0A"/>
          <w:sz w:val="21"/>
          <w:szCs w:val="21"/>
        </w:rPr>
        <w:t xml:space="preserve">Context card (live) — pathway trigger, duration, escalationLevel. Always active.</w:t>
      </w:r>
    </w:p>
    <w:p>
      <w:pPr>
        <w:pStyle w:val="ListParagraph"/>
        <w:numPr>
          <w:ilvl w:val="0"/>
          <w:numId w:val="3"/>
        </w:numPr>
        <w:spacing w:after="80"/>
      </w:pPr>
      <w:r>
        <w:rPr>
          <w:rFonts w:ascii="Arial" w:cs="Arial" w:eastAsia="Arial" w:hAnsi="Arial"/>
          <w:color w:val="0A0A0A"/>
          <w:sz w:val="21"/>
          <w:szCs w:val="21"/>
        </w:rPr>
        <w:t xml:space="preserve">Doctor prompt copy (live) — wellness-framed, 1–2 sentences. Always active.</w:t>
      </w:r>
    </w:p>
    <w:p>
      <w:pPr>
        <w:pStyle w:val="ListParagraph"/>
        <w:numPr>
          <w:ilvl w:val="0"/>
          <w:numId w:val="3"/>
        </w:numPr>
        <w:spacing w:after="80"/>
      </w:pPr>
      <w:r>
        <w:rPr>
          <w:rFonts w:ascii="Arial" w:cs="Arial" w:eastAsia="Arial" w:hAnsi="Arial"/>
          <w:color w:val="0A0A0A"/>
          <w:sz w:val="21"/>
          <w:szCs w:val="21"/>
        </w:rPr>
        <w:t xml:space="preserve">Doctor Report Export button (live in Phase 2) — PDF of Horizon signals. Active after Phase 2 Doctor Report sprint.</w:t>
      </w:r>
    </w:p>
    <w:p>
      <w:pPr>
        <w:pStyle w:val="ListParagraph"/>
        <w:numPr>
          <w:ilvl w:val="0"/>
          <w:numId w:val="3"/>
        </w:numPr>
        <w:spacing w:after="80"/>
      </w:pPr>
      <w:r>
        <w:rPr>
          <w:rFonts w:ascii="Arial" w:cs="Arial" w:eastAsia="Arial" w:hAnsi="Arial"/>
          <w:color w:val="0A0A0A"/>
          <w:sz w:val="21"/>
          <w:szCs w:val="21"/>
        </w:rPr>
        <w:t xml:space="preserve">DPC Scheduling card (Phase 3 gate) — Coming Soon treatment with alternative action line.</w:t>
      </w:r>
    </w:p>
    <w:p>
      <w:pPr>
        <w:pStyle w:val="ListParagraph"/>
        <w:numPr>
          <w:ilvl w:val="0"/>
          <w:numId w:val="3"/>
        </w:numPr>
        <w:spacing w:after="80"/>
      </w:pPr>
      <w:r>
        <w:rPr>
          <w:rFonts w:ascii="Arial" w:cs="Arial" w:eastAsia="Arial" w:hAnsi="Arial"/>
          <w:color w:val="0A0A0A"/>
          <w:sz w:val="21"/>
          <w:szCs w:val="21"/>
        </w:rPr>
        <w:t xml:space="preserve">Provider Data Sharing card (Phase 3 gate) — Coming Soon treatment.</w:t>
      </w:r>
    </w:p>
    <w:p>
      <w:pPr>
        <w:pStyle w:val="ListParagraph"/>
        <w:numPr>
          <w:ilvl w:val="0"/>
          <w:numId w:val="3"/>
        </w:numPr>
        <w:spacing w:after="80"/>
      </w:pPr>
      <w:r>
        <w:rPr>
          <w:rFonts w:ascii="Arial" w:cs="Arial" w:eastAsia="Arial" w:hAnsi="Arial"/>
          <w:color w:val="0A0A0A"/>
          <w:sz w:val="21"/>
          <w:szCs w:val="21"/>
        </w:rPr>
        <w:t xml:space="preserve">Horizon Assist button (Phase 2) — Active after Horizon Assist sprint.</w:t>
      </w:r>
    </w:p>
    <w:p>
      <w:pPr>
        <w:pStyle w:val="ListParagraph"/>
        <w:numPr>
          <w:ilvl w:val="0"/>
          <w:numId w:val="3"/>
        </w:numPr>
        <w:spacing w:after="80"/>
      </w:pPr>
      <w:r>
        <w:rPr>
          <w:rFonts w:ascii="Arial" w:cs="Arial" w:eastAsia="Arial" w:hAnsi="Arial"/>
          <w:color w:val="0A0A0A"/>
          <w:sz w:val="21"/>
          <w:szCs w:val="21"/>
        </w:rPr>
        <w:t xml:space="preserve">Green counterweight section (live) — Always shows any currently-calm pathways.</w:t>
      </w:r>
    </w:p>
    <w:p>
      <w:pPr>
        <w:pStyle w:val="ListParagraph"/>
        <w:numPr>
          <w:ilvl w:val="0"/>
          <w:numId w:val="3"/>
        </w:numPr>
        <w:spacing w:after="80"/>
      </w:pPr>
      <w:r>
        <w:rPr>
          <w:rFonts w:ascii="Arial" w:cs="Arial" w:eastAsia="Arial" w:hAnsi="Arial"/>
          <w:color w:val="0A0A0A"/>
          <w:sz w:val="21"/>
          <w:szCs w:val="21"/>
        </w:rPr>
        <w:t xml:space="preserve">Legal disclaimer (live) — Always present.</w:t>
      </w:r>
    </w:p>
    <w:p>
      <w:pPr>
        <w:spacing w:after="160"/>
      </w:pPr>
      <w:r>
        <w:t xml:space="preserve"/>
      </w:r>
    </w:p>
    <w:p>
      <w:pPr>
        <w:pStyle w:val="Heading2"/>
        <w:spacing w:after="120" w:before="360"/>
      </w:pPr>
      <w:r>
        <w:rPr>
          <w:rFonts w:ascii="Arial" w:cs="Arial" w:eastAsia="Arial" w:hAnsi="Arial"/>
          <w:b/>
          <w:bCs/>
          <w:color w:val="0A0A0A"/>
          <w:sz w:val="28"/>
          <w:szCs w:val="28"/>
        </w:rPr>
        <w:t xml:space="preserve">5.4  Feature Waitlist Architecture</w:t>
      </w:r>
    </w:p>
    <w:p>
      <w:pPr>
        <w:spacing w:after="120"/>
      </w:pPr>
      <w:r>
        <w:rPr>
          <w:rFonts w:ascii="Arial" w:cs="Arial" w:eastAsia="Arial" w:hAnsi="Arial"/>
          <w:color w:val="0A0A0A"/>
          <w:sz w:val="22"/>
          <w:szCs w:val="22"/>
        </w:rPr>
        <w:t xml:space="preserve">The 'Notify me' toggle on gated features writes to a user_feature_waitlist table. This serves two functions: user experience (they get notified at launch) and product validation (feature demand data before building).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0A0A0A" w:val="clear"/>
            <w:tcMar>
              <w:top w:type="dxa" w:w="100"/>
              <w:left w:type="dxa" w:w="140"/>
              <w:bottom w:type="dxa" w:w="100"/>
              <w:right w:type="dxa" w:w="140"/>
            </w:tcMar>
            <w:vAlign w:val="top"/>
          </w:tcPr>
          <w:p>
            <w:pPr>
              <w:spacing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user_id</w:t>
            </w:r>
          </w:p>
        </w:tc>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UUID</w:t>
            </w:r>
          </w:p>
        </w:tc>
        <w:tc>
          <w:tcPr>
            <w:tcW w:type="dxa" w:w="4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Foreign key to users table.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feature_slug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e.g. 'dpc_scheduling', 'provider_sharing', 'lab_integration'</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enrolled_at</w:t>
            </w:r>
          </w:p>
        </w:tc>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timestamptz</w:t>
            </w:r>
          </w:p>
        </w:tc>
        <w:tc>
          <w:tcPr>
            <w:tcW w:type="dxa" w:w="4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When the user opted in.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notified_at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timestamptz, nullable</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Populated when launch notification is sent. Null = not yet notified.</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source_page</w:t>
            </w:r>
          </w:p>
        </w:tc>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text</w:t>
            </w:r>
          </w:p>
        </w:tc>
        <w:tc>
          <w:tcPr>
            <w:tcW w:type="dxa" w:w="45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Which page triggered the opt-in (horizon_escalate, etc.). Product analytics.</w:t>
            </w:r>
          </w:p>
        </w:tc>
      </w:tr>
    </w:tbl>
    <w:p>
      <w:pPr>
        <w:spacing w:after="160"/>
      </w:pPr>
      <w:r>
        <w:t xml:space="preserve"/>
      </w:r>
    </w:p>
    <w:p>
      <w:pPr>
        <w:pStyle w:val="Heading2"/>
        <w:spacing w:after="120" w:before="360"/>
      </w:pPr>
      <w:r>
        <w:rPr>
          <w:rFonts w:ascii="Arial" w:cs="Arial" w:eastAsia="Arial" w:hAnsi="Arial"/>
          <w:b/>
          <w:bCs/>
          <w:color w:val="0A0A0A"/>
          <w:sz w:val="28"/>
          <w:szCs w:val="28"/>
        </w:rPr>
        <w:t xml:space="preserve">5.5  DPC Bridge — Phase 3 Vision</w:t>
      </w:r>
    </w:p>
    <w:p>
      <w:pPr>
        <w:spacing w:after="120"/>
      </w:pPr>
      <w:r>
        <w:rPr>
          <w:rFonts w:ascii="Arial" w:cs="Arial" w:eastAsia="Arial" w:hAnsi="Arial"/>
          <w:color w:val="0A0A0A"/>
          <w:sz w:val="22"/>
          <w:szCs w:val="22"/>
        </w:rPr>
        <w:t xml:space="preserve">The DPC (Direct Primary Care) bridge is the strategic Phase 3 integration that connects Chronos data to a provider relationship. The gate design in Phase 2 must not over-promise or under-frame this capability. The right framing at the Phase 2 gate level:</w:t>
      </w:r>
    </w:p>
    <w:p>
      <w:pPr>
        <w:spacing w:after="120"/>
      </w:pPr>
      <w:r>
        <w:t xml:space="preserve"/>
      </w:r>
    </w:p>
    <w:p>
      <w:pPr>
        <w:pBdr>
          <w:left w:val="single" w:color="B8946A" w:sz="8" w:space="6"/>
        </w:pBdr>
        <w:spacing w:after="80" w:before="80"/>
        <w:ind w:left="720"/>
      </w:pPr>
      <w:r>
        <w:rPr>
          <w:rFonts w:ascii="Arial" w:cs="Arial" w:eastAsia="Arial" w:hAnsi="Arial"/>
          <w:i/>
          <w:iCs/>
          <w:color w:val="444444"/>
          <w:sz w:val="20"/>
          <w:szCs w:val="20"/>
        </w:rPr>
        <w:t xml:space="preserve">'Chronos is building a way to connect your tracking data directly with a physician who practices preventative medicine. When it's ready, you'll be the first to know.' — Escalate page Coming Soon card copy direction.</w:t>
      </w:r>
    </w:p>
    <w:p>
      <w:pPr>
        <w:spacing w:after="120"/>
      </w:pPr>
      <w:r>
        <w:t xml:space="preserve"/>
      </w:r>
    </w:p>
    <w:p>
      <w:pPr>
        <w:spacing w:after="120"/>
      </w:pPr>
      <w:r>
        <w:rPr>
          <w:rFonts w:ascii="Arial" w:cs="Arial" w:eastAsia="Arial" w:hAnsi="Arial"/>
          <w:color w:val="0A0A0A"/>
          <w:sz w:val="22"/>
          <w:szCs w:val="22"/>
        </w:rPr>
        <w:t xml:space="preserve">What the Phase 3 DPC bridge will actually include (for internal roadmap alignment):</w:t>
      </w:r>
    </w:p>
    <w:p>
      <w:pPr>
        <w:pStyle w:val="ListParagraph"/>
        <w:numPr>
          <w:ilvl w:val="0"/>
          <w:numId w:val="2"/>
        </w:numPr>
        <w:spacing w:after="80"/>
      </w:pPr>
      <w:r>
        <w:rPr>
          <w:rFonts w:ascii="Arial" w:cs="Arial" w:eastAsia="Arial" w:hAnsi="Arial"/>
          <w:color w:val="0A0A0A"/>
          <w:sz w:val="21"/>
          <w:szCs w:val="21"/>
        </w:rPr>
        <w:t xml:space="preserve">Provider directory: curated list of DPC and functional medicine physicians who understand wearable data. Searchable by location.</w:t>
      </w:r>
    </w:p>
    <w:p>
      <w:pPr>
        <w:pStyle w:val="ListParagraph"/>
        <w:numPr>
          <w:ilvl w:val="0"/>
          <w:numId w:val="2"/>
        </w:numPr>
        <w:spacing w:after="80"/>
      </w:pPr>
      <w:r>
        <w:rPr>
          <w:rFonts w:ascii="Arial" w:cs="Arial" w:eastAsia="Arial" w:hAnsi="Arial"/>
          <w:color w:val="0A0A0A"/>
          <w:sz w:val="21"/>
          <w:szCs w:val="21"/>
        </w:rPr>
        <w:t xml:space="preserve">Appointment scheduling: in-app booking tied to provider calendar. Patient context packet (Horizon signals + Doctor Report) sent to provider before appointment.</w:t>
      </w:r>
    </w:p>
    <w:p>
      <w:pPr>
        <w:pStyle w:val="ListParagraph"/>
        <w:numPr>
          <w:ilvl w:val="0"/>
          <w:numId w:val="2"/>
        </w:numPr>
        <w:spacing w:after="80"/>
      </w:pPr>
      <w:r>
        <w:rPr>
          <w:rFonts w:ascii="Arial" w:cs="Arial" w:eastAsia="Arial" w:hAnsi="Arial"/>
          <w:color w:val="0A0A0A"/>
          <w:sz w:val="21"/>
          <w:szCs w:val="21"/>
        </w:rPr>
        <w:t xml:space="preserve">Provider portal (separate product): physician-facing dashboard to receive and review patient Chronos data. Phase 3 parallel build track.</w:t>
      </w:r>
    </w:p>
    <w:p>
      <w:pPr>
        <w:pStyle w:val="ListParagraph"/>
        <w:numPr>
          <w:ilvl w:val="0"/>
          <w:numId w:val="2"/>
        </w:numPr>
        <w:spacing w:after="80"/>
      </w:pPr>
      <w:r>
        <w:rPr>
          <w:rFonts w:ascii="Arial" w:cs="Arial" w:eastAsia="Arial" w:hAnsi="Arial"/>
          <w:color w:val="0A0A0A"/>
          <w:sz w:val="21"/>
          <w:szCs w:val="21"/>
        </w:rPr>
        <w:t xml:space="preserve">Data sharing consent architecture: explicit per-provider consent. User controls exactly what is shared. Revocable at any time.</w:t>
      </w:r>
    </w:p>
    <w:p>
      <w:pPr>
        <w:spacing w:after="160"/>
      </w:pPr>
      <w:r>
        <w:t xml:space="preserve"/>
      </w:r>
    </w:p>
    <w:p>
      <w:pPr>
        <w:pStyle w:val="Heading2"/>
        <w:spacing w:after="120" w:before="360"/>
      </w:pPr>
      <w:r>
        <w:rPr>
          <w:rFonts w:ascii="Arial" w:cs="Arial" w:eastAsia="Arial" w:hAnsi="Arial"/>
          <w:b/>
          <w:bCs/>
          <w:color w:val="0A0A0A"/>
          <w:sz w:val="28"/>
          <w:szCs w:val="28"/>
        </w:rPr>
        <w:t xml:space="preserve">5.6  Legal Review Scope — Phase 2 Requirements</w:t>
      </w:r>
    </w:p>
    <w:p>
      <w:pPr>
        <w:spacing w:after="120"/>
      </w:pPr>
      <w:r>
        <w:rPr>
          <w:rFonts w:ascii="Arial" w:cs="Arial" w:eastAsia="Arial" w:hAnsi="Arial"/>
          <w:color w:val="0A0A0A"/>
          <w:sz w:val="22"/>
          <w:szCs w:val="22"/>
        </w:rPr>
        <w:t xml:space="preserve">The following legal review items must be completed before Phase 2 Escalate page reaches external users:</w:t>
      </w:r>
    </w:p>
    <w:p>
      <w:pPr>
        <w:pStyle w:val="ListParagraph"/>
        <w:numPr>
          <w:ilvl w:val="0"/>
          <w:numId w:val="2"/>
        </w:numPr>
        <w:spacing w:after="80"/>
      </w:pPr>
      <w:r>
        <w:rPr>
          <w:rFonts w:ascii="Arial" w:cs="Arial" w:eastAsia="Arial" w:hAnsi="Arial"/>
          <w:color w:val="0A0A0A"/>
          <w:sz w:val="21"/>
          <w:szCs w:val="21"/>
        </w:rPr>
        <w:t xml:space="preserve">Page 3 (Redirect) — intervention card specificity review. Time-anchored action copy must be reviewed against wellness-only constraint. The footnote 'These actions target upstream signals, not symptoms' is doing significant legal work. Confirm it is sufficient or expand it.</w:t>
      </w:r>
    </w:p>
    <w:p>
      <w:pPr>
        <w:pStyle w:val="ListParagraph"/>
        <w:numPr>
          <w:ilvl w:val="0"/>
          <w:numId w:val="2"/>
        </w:numPr>
        <w:spacing w:after="80"/>
      </w:pPr>
      <w:r>
        <w:rPr>
          <w:rFonts w:ascii="Arial" w:cs="Arial" w:eastAsia="Arial" w:hAnsi="Arial"/>
          <w:color w:val="0A0A0A"/>
          <w:sz w:val="21"/>
          <w:szCs w:val="21"/>
        </w:rPr>
        <w:t xml:space="preserve">Page 4 (Trajectory) — conditionClass consumer label review. Confirm all six wellness-language labels (Section 2.3) do not constitute diagnostic framing under FDA SaMD guidelines.</w:t>
      </w:r>
    </w:p>
    <w:p>
      <w:pPr>
        <w:pStyle w:val="ListParagraph"/>
        <w:numPr>
          <w:ilvl w:val="0"/>
          <w:numId w:val="2"/>
        </w:numPr>
        <w:spacing w:after="80"/>
      </w:pPr>
      <w:r>
        <w:rPr>
          <w:rFonts w:ascii="Arial" w:cs="Arial" w:eastAsia="Arial" w:hAnsi="Arial"/>
          <w:color w:val="0A0A0A"/>
          <w:sz w:val="21"/>
          <w:szCs w:val="21"/>
        </w:rPr>
        <w:t xml:space="preserve">Page 6 (Escalate) — full legal review already in progress. Include physician referral copy in scope.</w:t>
      </w:r>
    </w:p>
    <w:p>
      <w:pPr>
        <w:pStyle w:val="ListParagraph"/>
        <w:numPr>
          <w:ilvl w:val="0"/>
          <w:numId w:val="2"/>
        </w:numPr>
        <w:spacing w:after="80"/>
      </w:pPr>
      <w:r>
        <w:rPr>
          <w:rFonts w:ascii="Arial" w:cs="Arial" w:eastAsia="Arial" w:hAnsi="Arial"/>
          <w:color w:val="0A0A0A"/>
          <w:sz w:val="21"/>
          <w:szCs w:val="21"/>
        </w:rPr>
        <w:t xml:space="preserve">Doctor Report PDF — legal review of wellness-framed export. Confirm disclaimer language is sufficient for user-initiated sharing with a physician.</w:t>
      </w:r>
    </w:p>
    <w:p>
      <w:pPr>
        <w:pStyle w:val="ListParagraph"/>
        <w:numPr>
          <w:ilvl w:val="0"/>
          <w:numId w:val="2"/>
        </w:numPr>
        <w:spacing w:after="80"/>
      </w:pPr>
      <w:r>
        <w:rPr>
          <w:rFonts w:ascii="Arial" w:cs="Arial" w:eastAsia="Arial" w:hAnsi="Arial"/>
          <w:color w:val="0A0A0A"/>
          <w:sz w:val="21"/>
          <w:szCs w:val="21"/>
        </w:rPr>
        <w:t xml:space="preserve">Terra integration — privacy policy update for third-party health data routing. Required before first external Terra-connected user.</w:t>
      </w:r>
    </w:p>
    <w:p>
      <w:pPr>
        <w:spacing w:after="160"/>
      </w:pPr>
      <w:r>
        <w:t xml:space="preserve"/>
      </w:r>
    </w:p>
    <w:p>
      <w:r>
        <w:br w:type="page"/>
      </w:r>
    </w:p>
    <w:p>
      <w:pPr>
        <w:spacing w:after="80" w:before="320"/>
      </w:pPr>
      <w:r>
        <w:rPr>
          <w:rFonts w:ascii="Arial" w:cs="Arial" w:eastAsia="Arial" w:hAnsi="Arial"/>
          <w:b/>
          <w:bCs/>
          <w:color w:val="B8946A"/>
          <w:sz w:val="16"/>
          <w:szCs w:val="16"/>
        </w:rPr>
        <w:t xml:space="preserve">DOCUMENT CONTROL</w:t>
      </w:r>
    </w:p>
    <w:p>
      <w:pPr>
        <w:pStyle w:val="Heading1"/>
        <w:spacing w:after="160" w:before="480"/>
      </w:pPr>
      <w:r>
        <w:rPr>
          <w:rFonts w:ascii="Arial" w:cs="Arial" w:eastAsia="Arial" w:hAnsi="Arial"/>
          <w:b/>
          <w:bCs/>
          <w:color w:val="0A0A0A"/>
          <w:sz w:val="44"/>
          <w:szCs w:val="44"/>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Document Owner</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Founder / Technical Co-Founder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1.0</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Type</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Design Session — Phase 2 Strategy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Active — Pending Founder Sign-Off</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Date</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May 2026</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Predecessor Docs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Epic 1 Sprint 4 AAR v1.0 · Epic 2 Sprint 1 AAR · Phase 1 PRD v1.0</w:t>
            </w:r>
          </w:p>
        </w:tc>
      </w:tr>
      <w:tr>
        <w:tc>
          <w:tcPr>
            <w:tcW w:type="dxa" w:w="240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b/>
                <w:bCs/>
                <w:color w:val="0A0A0A"/>
                <w:sz w:val="20"/>
                <w:szCs w:val="20"/>
              </w:rPr>
              <w:t xml:space="preserve">Next Step</w:t>
            </w:r>
          </w:p>
        </w:tc>
        <w:tc>
          <w:tcPr>
            <w:tcW w:type="dxa" w:w="6960"/>
            <w:tcBorders>
              <w:top w:val="single" w:color="CCCCCC" w:sz="1"/>
              <w:left w:val="single" w:color="CCCCCC" w:sz="1"/>
              <w:bottom w:val="single" w:color="CCCCCC" w:sz="1"/>
              <w:right w:val="single" w:color="CCCCCC" w:sz="1"/>
            </w:tcBorders>
            <w:shd w:fill="F6F3EE" w:val="clear"/>
            <w:tcMar>
              <w:top w:type="dxa" w:w="100"/>
              <w:left w:type="dxa" w:w="140"/>
              <w:bottom w:type="dxa" w:w="100"/>
              <w:right w:type="dxa" w:w="140"/>
            </w:tcMar>
            <w:vAlign w:val="top"/>
          </w:tcPr>
          <w:p>
            <w:pPr>
              <w:spacing w:after="0"/>
            </w:pPr>
            <w:r>
              <w:rPr>
                <w:rFonts w:ascii="Arial" w:cs="Arial" w:eastAsia="Arial" w:hAnsi="Arial"/>
                <w:color w:val="0A0A0A"/>
                <w:sz w:val="20"/>
                <w:szCs w:val="20"/>
              </w:rPr>
              <w:t xml:space="preserve">Founder reviews and approves all five sessions. Upon approval, Phase 2 Sprint 1 build handoff is generated from Session 3 (Phase 2 Feature List) using the Foundation Infrastructure group as Sprint 1 scope.</w:t>
            </w:r>
          </w:p>
        </w:tc>
      </w:tr>
    </w:tbl>
    <w:p>
      <w:pPr>
        <w:spacing w:after="240"/>
      </w:pPr>
      <w:r>
        <w:t xml:space="preserve"/>
      </w:r>
    </w:p>
    <w:p>
      <w:pPr>
        <w:spacing w:after="120"/>
      </w:pPr>
      <w:r>
        <w:rPr>
          <w:rFonts w:ascii="Arial" w:cs="Arial" w:eastAsia="Arial" w:hAnsi="Arial"/>
          <w:i/>
          <w:iCs/>
          <w:color w:val="888888"/>
          <w:sz w:val="22"/>
          <w:szCs w:val="22"/>
        </w:rPr>
        <w:t xml:space="preserve">Any proposed change to this document requires explicit discussion and a version increment before it takes effect. Phase 2 sprint handoffs are generated from this document — not drafted independently.</w:t>
      </w:r>
    </w:p>
    <w:p>
      <w:pPr>
        <w:spacing w:after="120"/>
      </w:pPr>
      <w:r>
        <w:t xml:space="preserve"/>
      </w:r>
    </w:p>
    <w:p>
      <w:pPr>
        <w:spacing w:after="120"/>
      </w:pPr>
      <w:r>
        <w:rPr>
          <w:rFonts w:ascii="Arial" w:cs="Arial" w:eastAsia="Arial" w:hAnsi="Arial"/>
          <w:i/>
          <w:iCs/>
          <w:color w:val="888888"/>
          <w:sz w:val="22"/>
          <w:szCs w:val="22"/>
        </w:rPr>
        <w:t xml:space="preserve">Confidential · Mynd &amp; Bodi Institute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spacing w:before="80"/>
    </w:pPr>
    <w:r>
      <w:rPr>
        <w:rFonts w:ascii="Arial" w:cs="Arial" w:eastAsia="Arial" w:hAnsi="Arial"/>
        <w:color w:val="888888"/>
        <w:sz w:val="16"/>
        <w:szCs w:val="16"/>
      </w:rPr>
      <w:t xml:space="preserve">Mynd &amp; Bodi Institute  ·  Internal Confidential  ·  May 2026</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6A" w:sz="4" w:space="4"/>
      </w:pBdr>
      <w:spacing w:after="0"/>
    </w:pPr>
    <w:r>
      <w:rPr>
        <w:rFonts w:ascii="Arial" w:cs="Arial" w:eastAsia="Arial" w:hAnsi="Arial"/>
        <w:color w:val="888888"/>
        <w:sz w:val="16"/>
        <w:szCs w:val="16"/>
      </w:rPr>
      <w:t xml:space="preserve">MBI · CHRONOS   |   </w:t>
    </w:r>
    <w:r>
      <w:rPr>
        <w:rFonts w:ascii="Arial" w:cs="Arial" w:eastAsia="Arial" w:hAnsi="Arial"/>
        <w:b/>
        <w:bCs/>
        <w:color w:val="B8946A"/>
        <w:sz w:val="16"/>
        <w:szCs w:val="16"/>
      </w:rPr>
      <w:t xml:space="preserve">Phase 2 Design Session</w:t>
    </w:r>
    <w:r>
      <w:rPr>
        <w:rFonts w:ascii="Arial" w:cs="Arial" w:eastAsia="Arial" w:hAnsi="Arial"/>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A0A0A"/>
      <w:sz w:val="44"/>
      <w:szCs w:val="44"/>
    </w:rPr>
  </w:style>
  <w:style w:type="paragraph" w:styleId="Heading2">
    <w:name w:val="Heading 2"/>
    <w:basedOn w:val="Normal"/>
    <w:next w:val="Normal"/>
    <w:qFormat/>
    <w:pPr>
      <w:spacing w:after="120" w:before="360"/>
      <w:outlineLvl w:val="1"/>
    </w:pPr>
    <w:rPr>
      <w:rFonts w:ascii="Arial" w:cs="Arial" w:eastAsia="Arial" w:hAnsi="Arial"/>
      <w:b/>
      <w:bCs/>
      <w:color w:val="0A0A0A"/>
      <w:sz w:val="28"/>
      <w:szCs w:val="28"/>
    </w:rPr>
  </w:style>
  <w:style w:type="paragraph" w:styleId="Heading3">
    <w:name w:val="Heading 3"/>
    <w:basedOn w:val="Normal"/>
    <w:next w:val="Normal"/>
    <w:qFormat/>
    <w:pPr>
      <w:spacing w:after="80" w:before="2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2026-05-05T13:31:05.415Z</dcterms:created>
  <dcterms:modified xsi:type="dcterms:W3CDTF">2026-05-05T13:31:05.431Z</dcterms:modified>
</cp:coreProperties>
</file>

<file path=docProps/custom.xml><?xml version="1.0" encoding="utf-8"?>
<Properties xmlns="http://schemas.openxmlformats.org/officeDocument/2006/custom-properties" xmlns:vt="http://schemas.openxmlformats.org/officeDocument/2006/docPropsVTypes"/>
</file>