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SimHei"/>
          <w:b w:val="0"/>
          <w:color w:val="000000"/>
          <w:sz w:val="40"/>
        </w:rPr>
        <w:t>文档分块策略对中文规章制度</w:t>
        <w:br/>
        <w:t>RAG 问答效果的影响研究</w:t>
      </w:r>
    </w:p>
    <w:p>
      <w:pPr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学号：2307054220　姓名：梁颢严</w:t>
      </w:r>
    </w:p>
    <w:p>
      <w:pPr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数据科学前沿课程报告 · B 类技术实践型</w:t>
      </w:r>
    </w:p>
    <w:p>
      <w:pPr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实验日期：2026 年 10 月 10—11 日　报告日期：2026 年 10 月 11 日</w:t>
      </w:r>
    </w:p>
    <w:p>
      <w:pPr>
        <w:pStyle w:val="Heading1"/>
      </w:pPr>
      <w:r>
        <w:t>摘要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面向中文高校规章制度问答，本文研究文档分块边界与块长对检索证据及回答质量的影响。实验下载四份中山大学公开制度，构建包含39 道官方问答原题的测试集，在隔离容器中比较固定长度、重叠窗口和条款分块，控制嵌入模型、生成提示词与检索方式。结果表明，在256 字符、返回三块的条件下，条款分块的完整证据命中率为69.2%，高于固定分块的53.8%；回答自动判定通过率仅多一题，差异区间包含零。统一正文预算后，条款分块仍表现出证据召回优势，但未形成可靠的回答质量优势。案例分析发现边界截断、相似条款干扰与自动评分偏差共同影响结论。研究说明，分块评估应同时控制信息预算、核验原文证据并报告不确定性。</w:t>
      </w:r>
    </w:p>
    <w:p>
      <w:pPr>
        <w:ind w:firstLine="0"/>
      </w:pPr>
      <w:r>
        <w:rPr>
          <w:rFonts w:ascii="Times New Roman" w:hAnsi="Times New Roman" w:eastAsia="SimSun"/>
          <w:b w:val="0"/>
          <w:color w:val="000000"/>
          <w:sz w:val="24"/>
        </w:rPr>
        <w:t>关键词：检索增强生成；文档分块；中文规章制度；证据召回；自动评测</w:t>
      </w:r>
    </w:p>
    <w:p>
      <w:pPr>
        <w:pStyle w:val="Heading1"/>
      </w:pPr>
      <w:r>
        <w:t>1 引言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高校规章制度问答具有明确的文本依据，也包含容易混淆的概念。例如，“保留入学资格”与“保留学籍”面向不同学生状态，“应当休学”与“可以申请休学”的条件也不相同。一个流畅却遗漏限制条件的答案，可能比直接拒答更具误导性。因此，这类任务不仅要求检索到主题相关文字，还要求保留适用对象、条件、例外和办理时限之间的关系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检索增强生成将外部资料引入语言模型，提供了更新知识与追溯出处的途径。Lewis 等提出将参数化生成模型与非参数检索记忆结合，形成可用于知识密集型任务的 RAG 方法。</w:t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[1]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本文采用当代工程中常见的“先检索、再提供上下文生成”流程，不训练原论文中的联合模型。在这一流程中，分块决定了检索的最小单位，也改变了每个向量所代表的语义范围。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固定长度、重叠窗口和条款分块各有直觉上的优势，但相同返回数量可能对应不同正文量。因此，需要同时控制块长和信息预算，才能判断改进来自边界还是更多输入。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本报告具体回答三个问题：在相同块长上限与检索数量下，三种策略的证据召回和回答质量有何差异；统一提供给生成模型的正文字符数后，排序是否变化；哪些失败来自分块与检索，哪些来自生成或评分。研究范围限定为四份历史版本制度及其对应问题，不将结果解释为当前政策咨询，也不追求覆盖全部 RAG 技术。下文依次梳理相关工作，说明实验设计，分析定量结果与案例，最后讨论适用边界。</w:t>
      </w:r>
    </w:p>
    <w:p>
      <w:pPr>
        <w:pStyle w:val="Heading1"/>
      </w:pPr>
      <w:r>
        <w:t>2 相关工作与技术脉络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中文向量表示方面，C-Pack 提供中文嵌入模型、训练资源与评测基准，说明检索表示本身需要在中文任务上验证。</w:t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[2]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本文使用 BGE-small-zh-v1.5 的量化 ONNX 版本，使嵌入计算能够在 CPU 上完成。模型在通用基准上的能力并不保证能区分制度中的近义术语，因此实验固定嵌入模型，仅分析其条件下的分块差异。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上下文增多也不必然提高生成质量。Liu 等在多文档问答和键值检索中观察到，相关信息的位置会影响长上下文模型的表现。</w:t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[3]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这提示评估应记录实际输入长度与证据组织方式。不过，本实验上下文较短，未单独改变证据位置，因而不能把结果直接归因于长上下文中的位置效应。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RAGAs 将检索增强生成的评估拆分为多个维度，强调不能只看最终回答的表面相似度。</w:t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[4]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本文借鉴这种分层思路，分别计算证据覆盖和回答评分，但没有运行 RAGAs 软件，也没有把自定义分数称为该框架的标准指标。评价定义及评估器可见的信息，需要与分数同时报告。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在分块研究中，Qu 等比较了语义分块与简单固定分块，发现额外计算未换来一致的收益。</w:t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[5]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HiChunk 则从证据密度与层次结构出发，提出评测基准、文档结构化方法和自动合并检索。</w:t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[6]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二者提示分块价值依赖任务、证据分布和检索协议。本文的条款规则既不是基于嵌入相似度的语义切分，也不是 HiChunk 的微调模型复现；其价值在于低成本、可检查，且能与简单基线形成清晰对照。表 1 总结了这些工作的作用及本文的取舍。</w:t>
      </w:r>
    </w:p>
    <w:p>
      <w:pPr>
        <w:keepNext/>
        <w:spacing w:before="6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表 1　代表性工作与实验取舍（自绘）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701"/>
        <w:gridCol w:w="2438"/>
        <w:gridCol w:w="2721"/>
      </w:tblGrid>
      <w:tr>
        <w:trPr>
          <w:tblHeader/>
          <w:cantSplit/>
        </w:trPr>
        <w:tc>
          <w:tcPr>
            <w:tcW w:type="dxa" w:w="215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工作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关注环节</w:t>
            </w:r>
          </w:p>
        </w:tc>
        <w:tc>
          <w:tcPr>
            <w:tcW w:type="dxa" w:w="243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主要启示</w:t>
            </w:r>
          </w:p>
        </w:tc>
        <w:tc>
          <w:tcPr>
            <w:tcW w:type="dxa" w:w="272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本实验范围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RAG（2020）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检索与生成结合</w:t>
            </w:r>
          </w:p>
        </w:tc>
        <w:tc>
          <w:tcPr>
            <w:tcW w:type="dxa" w:w="243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外部知识可追溯</w:t>
            </w:r>
          </w:p>
        </w:tc>
        <w:tc>
          <w:tcPr>
            <w:tcW w:type="dxa" w:w="272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固定模型的串联流程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C-Pack（2023）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中文嵌入表示</w:t>
            </w:r>
          </w:p>
        </w:tc>
        <w:tc>
          <w:tcPr>
            <w:tcW w:type="dxa" w:w="243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中文检索需专门验证</w:t>
            </w:r>
          </w:p>
        </w:tc>
        <w:tc>
          <w:tcPr>
            <w:tcW w:type="dxa" w:w="272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固定小型量化模型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Lost in the Middle（2024）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上下文利用</w:t>
            </w:r>
          </w:p>
        </w:tc>
        <w:tc>
          <w:tcPr>
            <w:tcW w:type="dxa" w:w="243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长度与位置影响使用</w:t>
            </w:r>
          </w:p>
        </w:tc>
        <w:tc>
          <w:tcPr>
            <w:tcW w:type="dxa" w:w="272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只控制长度，不复现位置实验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RAGAs（2024）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自动评测</w:t>
            </w:r>
          </w:p>
        </w:tc>
        <w:tc>
          <w:tcPr>
            <w:tcW w:type="dxa" w:w="243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检索与生成分开评估</w:t>
            </w:r>
          </w:p>
        </w:tc>
        <w:tc>
          <w:tcPr>
            <w:tcW w:type="dxa" w:w="272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自定义指标，非框架复现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Qu 等（2025）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语义分块比较</w:t>
            </w:r>
          </w:p>
        </w:tc>
        <w:tc>
          <w:tcPr>
            <w:tcW w:type="dxa" w:w="243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复杂策略未必稳定获益</w:t>
            </w:r>
          </w:p>
        </w:tc>
        <w:tc>
          <w:tcPr>
            <w:tcW w:type="dxa" w:w="272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保留简单固定基线</w:t>
            </w:r>
          </w:p>
        </w:tc>
      </w:tr>
      <w:tr>
        <w:trPr>
          <w:cantSplit/>
        </w:trPr>
        <w:tc>
          <w:tcPr>
            <w:tcW w:type="dxa" w:w="215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HiChunk（2025）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层次结构与评测</w:t>
            </w:r>
          </w:p>
        </w:tc>
        <w:tc>
          <w:tcPr>
            <w:tcW w:type="dxa" w:w="243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证据密度影响评测</w:t>
            </w:r>
          </w:p>
        </w:tc>
        <w:tc>
          <w:tcPr>
            <w:tcW w:type="dxa" w:w="272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规则条款，无微调与自动合并</w:t>
            </w:r>
          </w:p>
        </w:tc>
      </w:tr>
    </w:tbl>
    <w:p>
      <w:pPr>
        <w:spacing w:after="0" w:line="240" w:lineRule="auto"/>
        <w:ind w:firstLine="0"/>
      </w:pPr>
      <w:r>
        <w:rPr>
          <w:sz w:val="4"/>
        </w:rPr>
      </w:r>
    </w:p>
    <w:p>
      <w:pPr>
        <w:pStyle w:val="Heading1"/>
      </w:pPr>
      <w:r>
        <w:t>3 系统与实验方法</w:t>
      </w:r>
    </w:p>
    <w:p>
      <w:pPr>
        <w:pStyle w:val="Heading2"/>
      </w:pPr>
      <w:r>
        <w:t>3.1 数据来源及证据标注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知识库选用中山大学公开的本科生学籍管理规定、转专业实施办法、交流生学籍管理办法和毕业论文工作管理规定。</w:t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[7]</w:t>
      </w:r>
      <w:r>
        <w:rPr>
          <w:rFonts w:ascii="Times New Roman" w:hAnsi="Times New Roman" w:eastAsia="SimSun"/>
          <w:b w:val="0"/>
          <w:color w:val="000000"/>
          <w:sz w:val="24"/>
        </w:rPr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[8]</w:t>
      </w:r>
      <w:r>
        <w:rPr>
          <w:rFonts w:ascii="Times New Roman" w:hAnsi="Times New Roman" w:eastAsia="SimSun"/>
          <w:b w:val="0"/>
          <w:color w:val="000000"/>
          <w:sz w:val="24"/>
        </w:rPr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[9]</w:t>
      </w:r>
      <w:r>
        <w:rPr>
          <w:rFonts w:ascii="Times New Roman" w:hAnsi="Times New Roman" w:eastAsia="SimSun"/>
          <w:b w:val="0"/>
          <w:color w:val="000000"/>
          <w:sz w:val="24"/>
        </w:rPr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[10]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四份文件涉及学籍变动、学分转换及论文管理，既有单条事实，也有跨条款条件。表 2 给出归一化后的规模。版本年份依据文件正文，而非网页上传目录；例如交流生办法正文规定自 2015 年 8 月 1 日起施行，不能把附件上传年份当作制度年份。</w:t>
      </w:r>
    </w:p>
    <w:p>
      <w:pPr>
        <w:keepNext/>
        <w:spacing w:before="6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表 2　知识库规模（自绘）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041"/>
        <w:gridCol w:w="1871"/>
      </w:tblGrid>
      <w:tr>
        <w:trPr>
          <w:tblHeader/>
          <w:cantSplit/>
        </w:trPr>
        <w:tc>
          <w:tcPr>
            <w:tcW w:type="dxa" w:w="5102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制度简称及版本</w:t>
            </w:r>
          </w:p>
        </w:tc>
        <w:tc>
          <w:tcPr>
            <w:tcW w:type="dxa" w:w="204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正文字符数</w:t>
            </w:r>
          </w:p>
        </w:tc>
        <w:tc>
          <w:tcPr>
            <w:tcW w:type="dxa" w:w="187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条款数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学籍管理规定（2021）</w:t>
            </w:r>
          </w:p>
        </w:tc>
        <w:tc>
          <w:tcPr>
            <w:tcW w:type="dxa" w:w="204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13206</w:t>
            </w:r>
          </w:p>
        </w:tc>
        <w:tc>
          <w:tcPr>
            <w:tcW w:type="dxa" w:w="187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87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转专业实施办法（2019）</w:t>
            </w:r>
          </w:p>
        </w:tc>
        <w:tc>
          <w:tcPr>
            <w:tcW w:type="dxa" w:w="204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3396</w:t>
            </w:r>
          </w:p>
        </w:tc>
        <w:tc>
          <w:tcPr>
            <w:tcW w:type="dxa" w:w="187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23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交流生学籍办法（2015）</w:t>
            </w:r>
          </w:p>
        </w:tc>
        <w:tc>
          <w:tcPr>
            <w:tcW w:type="dxa" w:w="204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3662</w:t>
            </w:r>
          </w:p>
        </w:tc>
        <w:tc>
          <w:tcPr>
            <w:tcW w:type="dxa" w:w="187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18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毕业论文工作规定（2020）</w:t>
            </w:r>
          </w:p>
        </w:tc>
        <w:tc>
          <w:tcPr>
            <w:tcW w:type="dxa" w:w="204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4697</w:t>
            </w:r>
          </w:p>
        </w:tc>
        <w:tc>
          <w:tcPr>
            <w:tcW w:type="dxa" w:w="187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39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合计</w:t>
            </w:r>
          </w:p>
        </w:tc>
        <w:tc>
          <w:tcPr>
            <w:tcW w:type="dxa" w:w="204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24961</w:t>
            </w:r>
          </w:p>
        </w:tc>
        <w:tc>
          <w:tcPr>
            <w:tcW w:type="dxa" w:w="187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167</w:t>
            </w:r>
          </w:p>
        </w:tc>
      </w:tr>
    </w:tbl>
    <w:p>
      <w:pPr>
        <w:spacing w:after="0" w:line="240" w:lineRule="auto"/>
        <w:ind w:firstLine="0"/>
      </w:pPr>
      <w:r>
        <w:rPr>
          <w:sz w:val="4"/>
        </w:rPr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问题来自教务部公开问答 PDF。</w:t>
      </w:r>
      <w:r>
        <w:rPr>
          <w:rFonts w:ascii="Times New Roman" w:hAnsi="Times New Roman" w:eastAsia="SimSun"/>
          <w:b w:val="0"/>
          <w:color w:val="000000"/>
          <w:sz w:val="18"/>
          <w:vertAlign w:val="superscript"/>
        </w:rPr>
        <w:t>[11]</w:t>
      </w:r>
      <w:r>
        <w:rPr>
          <w:rFonts w:ascii="Times New Roman" w:hAnsi="Times New Roman" w:eastAsia="SimSun"/>
          <w:b w:val="0"/>
          <w:color w:val="000000"/>
          <w:sz w:val="24"/>
        </w:rPr>
        <w:t xml:space="preserve"> 先提取 241 条候选问答，再在查看系统结果之前选择能够与四份制度建立证据对应的 39 题。仅清理空白、页码和串入的章节标题，保留原问题措辞及原参考答案。测试集包含事实型 18 题、条件型 17 题和跨条款型 4 题，属于小规模便利样本，不是从全部教务需求中随机抽样。官方问答只提供问题与参考答案，不进入向量索引，避免直接检索到完整标准答案。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HTML、PDF 和 DOCX 分别经解析提取后去除导航、页码、章节标题和空白，保留正文、条款坐标及源文件哈希。实验未使用 OCR；交流文件表格被线性化，未验证表格布局理解能力。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每题关联一组或多组证据，每组记录文档、条款编号和正文字符区间；可替代的证据放在同组，必须联合使用的依据分成不同组。标注由 AI 辅助对齐，在生成结果出现前冻结，并用程序验证所有区间与原文完全一致。该检查能发现坐标错误，不能证明标注在业务意义上完备。部分官方参考答案比选定制度片段更详细，评分提示因此要求以证据为事实基准。没有独立教务专家完成复核，这构成评测限制。</w:t>
      </w:r>
    </w:p>
    <w:p>
      <w:pPr>
        <w:pStyle w:val="Heading2"/>
      </w:pPr>
      <w:r>
        <w:t>3.2 三种分块策略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固定分块按 Unicode 字符数顺序切分，每块最多 L 个字符，相邻块不重叠，文档尾部可短于上限。它具有实现简单、存储量可预期的优点，但可能把条款标题和条件列表分开。这里的字符不是模型 token：一个汉字、标点或拉丁字母均按一个字符计数。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重叠分块仍使用上限 L，步长设为 L 减去向下取整的 0.2L。例如 L＝256 时，重叠 51 字符，步长 205。重叠使靠近边界的句子有机会在另一块中完整出现，但不能保证相邻块都会被召回，也不能保证新增内容比重复内容更相关。实验不在检索后去重，以观察这一常见设置自身的收益和代价。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条款分块首先以“第某条”识别的正文区间作为基本单元。若条款超过上限，则尽量在句号、分号、问号或感叹号处分割；上限内没有这些标点时才硬切。随后顺序合并相邻单元，保持总长度不超过 L。该方法尽量维护条款完整性，但长条款仍可能被拆开，短条款也可能合并；它不保证每块恰好一条，更不保证跨章节零合并。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三种策略均以“文档标题＋正文”嵌入，不为条款策略额外添加章节信息。各测试 160、256、384 三个上限，共九套索引；生成主比较预先固定为 256，避免事后挑选参数。</w:t>
      </w:r>
    </w:p>
    <w:p>
      <w:pPr>
        <w:pStyle w:val="Heading2"/>
      </w:pPr>
      <w:r>
        <w:t>3.3 检索、生成与预算控制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如图 1，量化 BGE 采用 CLS 表示与 L2 归一化，NumPy 计算余弦相似度。所有配置使用相同中文查询指令、查询向量和稳定排序，不加入重排器或独立向量数据库。最大嵌入输入为 410 tokens，低于 512 上限，无静默截断。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24000" cy="257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57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图 1　实验流程与变量控制（自绘）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检索采用两种协议。第一种返回相似度最高的三块，记为 Top-3，贴近日常配置。第二种按相似度顺序取块，累计至严格 768 个正文字符，最后一块必要时截断，记为预算 768。这一协议允许不同数量的块进入上下文，但重叠部分照常占预算。两者用于区分“返回相同块数”和“提供相同正文量”，并不构成相同 token 或相同费用的控制；标题、引用编号及分词差异仍会改变实际输入 token 数。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生成请求统一使用 deepseek-chat 接口别名，实际返回的模型字段全部为 deepseek-flash，因此报告以返回记录为准，不推测其内部版本。温度为 0，最大输出 700 tokens，并发为 4。系统提示要求只依据历史版本资料作答，资料不足则说明无法确定，同时引用资料编号。模型输出及请求摘要逐条缓存，任务重启只跳过已有结果，避免重复调用掩盖失败。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生成包括八个检索配置和两个控制组：三种 256 配置分别采用两种协议，另加固定 160 与固定 384 的 Top-3；金标准证据组直接提供已标注依据，无资料组提供空上下文。每组 39 题，共 390 次。再按固定题目顺序间隔抽取 12 题，对三个主要 Top-3 配置各重复一次，共 36 次，最终得到 426 次生成。无资料组仍遵守“仅据资料回答”的提示，它检验拒答行为，不能用于证明模型本身没有相关知识。</w:t>
      </w:r>
    </w:p>
    <w:p>
      <w:pPr>
        <w:pStyle w:val="Heading2"/>
      </w:pPr>
      <w:r>
        <w:t>3.4 指标与统计分析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为避免分块数量改变传统相关块标签，检索指标直接基于源文字符区间。对每一证据组，计算被检索区间并集覆盖的比例；有替代证据时取最大比例。各组比例的均值为该题证据覆盖率。覆盖达到 90% 的证据组占比称为证据单元召回率；所有证据组均达到该阈值时，该题记为完整证据命中。三者再按题目平均，分别反映部分覆盖、关键依据召回和联合证据是否齐全。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90% 阈值是操作性约定，不意味着遗漏的 10% 不重要。若否定词或例外恰好落在遗漏部分，字符覆盖仍可能高估可回答性。因此同时保留连续覆盖率，并通过具体答案解释阈值附近的案例。重叠冗余率定义为一减去“检索区间去重后字符数／实际提供字符数”，用于衡量重复内容占用预算的程度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初版回答评分由同一接口完成，评估器看不到策略名称，但仅看到金标准短片段而非实际上下文，导致有原文依据的补充信息也可能被标为无依据。发现这一问题后，固定第二版协议：保持测试题、检索结果和全部回答不变，先仅根据问题与完整证据条款生成逐题评分要点，逐字校验引文；再向评分器同时提供冻结要点、完整条款和实际检索上下文。第二版不再提供官方参考答案，避免未被资料支持的细节进入标准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第二版对每个要点给出 0、0.5 或 1 分，由程序平均为完整度；核心结论正确但存在部分遗漏仍可通过，因此通过率不是严格全正确率。另记录实际上下文不支持的断言，但不以这一自动标签冒充人工核定的幻觉率。正文回答指标采用第二版，初版保留作敏感性对照。第二版仍使用同源模型，扩展证据与要点也可能引入新的评价偏差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对于主要策略差异，按题目配对进行 2000 次 bootstrap 重采样，固定随机种子，报告差值及 95% 百分位区间。这只是小样本下的探索性不确定性估计，没有校正多重比较，也未按共享条款聚类。重复实验同时记录文本变化和通过标签变化，用以说明温度为零仍不等于完全确定性。</w:t>
      </w:r>
    </w:p>
    <w:p>
      <w:pPr>
        <w:pStyle w:val="Heading1"/>
      </w:pPr>
      <w:r>
        <w:t>4 实验结果与案例分析</w:t>
      </w:r>
    </w:p>
    <w:p>
      <w:pPr>
        <w:pStyle w:val="Heading2"/>
      </w:pPr>
      <w:r>
        <w:t>4.1 环境与记录核验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实验在 Ubuntu 22.04、双核 CPU、约 1.8 GiB 内存服务器上运行，无 GPU。Docker 主容器限定一个 CPU、768 MiB 内存，以非 root 用户和只读根目录运行，不开放宿主机端口。内部网络仅通过独立中继调用模型 API，并非完全离线。公开资料会发送至模型服务；实验结束后，中继和临时密钥均已删除。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实验形成 702 条检索、426 条生成、两版各 426 条评分及 39 条评分要点记录，全部正常结束，无输出截断。离线校验通过源文件哈希、证据坐标、块长、完整覆盖及严格预算检查。记录内部一致不等于自动评价正确。</w:t>
      </w:r>
    </w:p>
    <w:p>
      <w:pPr>
        <w:pStyle w:val="Heading2"/>
      </w:pPr>
      <w:r>
        <w:t>4.2 主实验与等预算比较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表 3 给出 256 字符配置的主要结果。Top-3 下，固定、重叠与条款分块分别通过 29、27、30 题。条款策略的证据单元召回率为 73.1%，高于固定的 59.4%；完整证据命中率为 69.2%，高于固定的 53.8%。但要点完整度分别为 0.734 和 0.729，差距很小，不能把检索上的改进直接等同于答案质量全面提高。</w:t>
      </w:r>
    </w:p>
    <w:p>
      <w:pPr>
        <w:keepNext/>
        <w:spacing w:before="6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表 3　256 字符配置结果（自绘）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1361"/>
        <w:gridCol w:w="1361"/>
        <w:gridCol w:w="1361"/>
        <w:gridCol w:w="1361"/>
        <w:gridCol w:w="1361"/>
      </w:tblGrid>
      <w:tr>
        <w:trPr>
          <w:tblHeader/>
          <w:cantSplit/>
        </w:trPr>
        <w:tc>
          <w:tcPr>
            <w:tcW w:type="dxa" w:w="221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策略／协议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覆盖率</w:t>
              <w:br/>
              <w:t>%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单元召回</w:t>
              <w:br/>
              <w:t>%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完整命中</w:t>
              <w:br/>
              <w:t>%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自动通过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完整度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固定／Top-3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72.0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59.4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53.8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29/39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0.729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重叠／Top-3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69.0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63.2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59.0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27/39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0.689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条款／Top-3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74.6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73.1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69.2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30/39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0.734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固定／预算768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72.0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59.4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53.8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31/39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0.727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重叠／预算768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69.0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63.2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59.0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25/39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0.676</w:t>
            </w:r>
          </w:p>
        </w:tc>
      </w:tr>
      <w:tr>
        <w:trPr>
          <w:cantSplit/>
        </w:trPr>
        <w:tc>
          <w:tcPr>
            <w:tcW w:type="dxa" w:w="221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条款／预算768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77.2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75.6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71.8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30/39</w:t>
            </w:r>
          </w:p>
        </w:tc>
        <w:tc>
          <w:tcPr>
            <w:tcW w:type="dxa" w:w="136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0.750</w:t>
            </w:r>
          </w:p>
        </w:tc>
      </w:tr>
    </w:tbl>
    <w:p>
      <w:pPr>
        <w:spacing w:after="0" w:line="240" w:lineRule="auto"/>
        <w:ind w:firstLine="0"/>
      </w:pPr>
      <w:r>
        <w:rPr>
          <w:sz w:val="4"/>
        </w:rPr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固定与条款 Top-3 实际平均提供的正文分别为 765.3 和 583.3 字符。条款策略用了更少正文而取得更高完整证据命中率，说明完整边界可能提高证据利用效率。不过，这还混合了实际块长和向量表示变化。预算统一为 768 后，条款策略完整证据命中率达到 71.8%，固定仍为 53.8%；条款与固定的自动通过数分别为 30 和 31，排序发生反转，但也仅相差一题。图 2 将证据指标与生成指标并列，避免用单一分数概括效果。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24000" cy="2657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657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图 2　证据命中与回答评分的比较（自绘）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配对重采样中，条款相对固定的 Top-3 回答通过率差值为 2.6 个百分点，95% 区间为 -10.3 至 15.4 个百分点；预算相同时差值为 -2.6 个百分点，区间为 -15.4 至 7.7。两者均包含零，当前样本不足以确认回答质量优势。预算相同时，证据单元召回率差值为 16.2 个百分点，区间为 3.4 至 29.9；这提供了方向较明确的检索证据，但仍受样本选择与共享条款影响，应视为后续验证的线索。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重叠策略在 Top-3 下的平均重复比例为 5.6%，证据覆盖率为 69.0%，低于固定的 72.0%；证据单元召回率却略高。这表明重叠可能让部分题目跨过完整性阈值，同时损失其他题目的覆盖，效果不能用“保留上下文更多”一概而论。重复窗口只有被检索到并包含有效信息时才有帮助，冗余块也会竞争有限的检索位置。</w:t>
      </w:r>
    </w:p>
    <w:p>
      <w:pPr>
        <w:pStyle w:val="Heading2"/>
      </w:pPr>
      <w:r>
        <w:t>4.3 块长、成本与控制组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图 3 展示九种配置的完整证据命中率。固定 Top-3 从 160 增至 384 时，该指标由 56.4% 升至 64.1%，但对应回答通过率从 66.7% 降至 61.5%。更多正文与更高阈值命中没有带来更好的自动答案，可能涉及无关条件混入、生成取舍和评分偏差；本实验没有拆分这些因素，不能确定单一因果机制。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24000" cy="2575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e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57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6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图 3　块长与检索预算的交互影响（自绘）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条款 Top-3 在三个块长下的完整证据命中率依次为 56.4%、69.2%、79.5%，但平均正文也由 353.0 增至 895.5 字符。预算相同时对应值为 76.9%、71.8%、74.4%，不再随块长单调增长。因而不能仅根据 Top-3 曲线宣布 384 最优。小块在固定预算下能够检索更多位置，较大的末块则可能被截断；条款 160 的检索结果也未执行生成验证，不能把它追认为最佳端到端系统。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表 4 显示，256 重叠索引处理 31,030 字符，较原文多 24.3%；条款索引无重复，但短块使块数更多。嵌入耗时约 5.7 至 7.6 秒，仅适用于当前规模。条款 Top-3 输入 486.7 tokens，低于固定的 598.2；等预算时反而为 620.2，高于固定的 600.1，字符控制仍不能消除计费差异。</w:t>
      </w:r>
    </w:p>
    <w:p>
      <w:pPr>
        <w:keepNext/>
        <w:spacing w:before="6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表 4　256 字符配置的索引与生成成本（自绘）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134"/>
        <w:gridCol w:w="2268"/>
        <w:gridCol w:w="1701"/>
        <w:gridCol w:w="2494"/>
      </w:tblGrid>
      <w:tr>
        <w:trPr>
          <w:tblHeader/>
          <w:cantSplit/>
        </w:trPr>
        <w:tc>
          <w:tcPr>
            <w:tcW w:type="dxa" w:w="141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策略</w:t>
            </w:r>
          </w:p>
        </w:tc>
        <w:tc>
          <w:tcPr>
            <w:tcW w:type="dxa" w:w="113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块数</w:t>
            </w:r>
          </w:p>
        </w:tc>
        <w:tc>
          <w:tcPr>
            <w:tcW w:type="dxa" w:w="226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索引字符数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嵌入秒数</w:t>
            </w:r>
          </w:p>
        </w:tc>
        <w:tc>
          <w:tcPr>
            <w:tcW w:type="dxa" w:w="249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Top-3 输入tokens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固定</w:t>
            </w:r>
          </w:p>
        </w:tc>
        <w:tc>
          <w:tcPr>
            <w:tcW w:type="dxa" w:w="113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100</w:t>
            </w:r>
          </w:p>
        </w:tc>
        <w:tc>
          <w:tcPr>
            <w:tcW w:type="dxa" w:w="226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24961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5.72</w:t>
            </w:r>
          </w:p>
        </w:tc>
        <w:tc>
          <w:tcPr>
            <w:tcW w:type="dxa" w:w="249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598.2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重叠</w:t>
            </w:r>
          </w:p>
        </w:tc>
        <w:tc>
          <w:tcPr>
            <w:tcW w:type="dxa" w:w="113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123</w:t>
            </w:r>
          </w:p>
        </w:tc>
        <w:tc>
          <w:tcPr>
            <w:tcW w:type="dxa" w:w="226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31030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7.03</w:t>
            </w:r>
          </w:p>
        </w:tc>
        <w:tc>
          <w:tcPr>
            <w:tcW w:type="dxa" w:w="249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595.4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条款</w:t>
            </w:r>
          </w:p>
        </w:tc>
        <w:tc>
          <w:tcPr>
            <w:tcW w:type="dxa" w:w="113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132</w:t>
            </w:r>
          </w:p>
        </w:tc>
        <w:tc>
          <w:tcPr>
            <w:tcW w:type="dxa" w:w="2268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24961</w:t>
            </w:r>
          </w:p>
        </w:tc>
        <w:tc>
          <w:tcPr>
            <w:tcW w:type="dxa" w:w="1701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7.61</w:t>
            </w:r>
          </w:p>
        </w:tc>
        <w:tc>
          <w:tcPr>
            <w:tcW w:type="dxa" w:w="249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486.7</w:t>
            </w:r>
          </w:p>
        </w:tc>
      </w:tr>
    </w:tbl>
    <w:p>
      <w:pPr>
        <w:spacing w:after="0" w:line="240" w:lineRule="auto"/>
        <w:ind w:firstLine="0"/>
      </w:pPr>
      <w:r>
        <w:rPr>
          <w:sz w:val="4"/>
        </w:rPr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金标准短证据组第二版通过 33／39 题，高于主要检索组。但它仍只获得初版标注的短片段，而修订要点评价范围扩展至完整条款，因此既不是公平的全文金标准控制，也不是部署性能上界。无资料组全部拒答，其中 S072 被第二版判为通过，显示评分器对“资料不足”的宽容可能影响控制组；不能用该组证明 RAG 相对闭卷回答的普遍提升。重复的 36 次回答中，26 次文本变化，固定与重叠策略各一题的通过标签变化，单题收益因此尤其需要谨慎解释。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1,317 条正式调用合计消耗 1,043,773 个输入与 186,399 个输出 tokens，不含连通性预检，也未据此推算实际账单。原始响应和统计脚本随报告提供。</w:t>
      </w:r>
    </w:p>
    <w:p>
      <w:pPr>
        <w:pStyle w:val="Heading2"/>
      </w:pPr>
      <w:r>
        <w:t>4.4 典型案例与评估偏差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案例一是 S013“什么情况下应当休学”。固定 256 的最高相关片段从条款后部开始，仅覆盖金标准的 24.5%，回答把个人申请、参军和联合培养等不同状态混入“应当休学”。条款策略完整取回第五十五条，覆盖达到 100%，能够列出四类条件并区分自愿申请。这一对照支持“边界影响条件完整性”的解释，但不是所有问题都受益的证明。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案例二是 S003“未经请假或者请假未获批准，且逾期两周未报到，怎么办”。固定策略完整召回注册规定并作出对应回答；条款与重叠策略的金标准覆盖均为零，召回内容转向新生入学或旷课。条款分得完整，仍可能完整地找错依据。这说明结构保真与语义检索准确性是两项不同能力，单靠切分规则不能消除近义制度条款的竞争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案例三是 S028，询问“不属于转专业办法适用范围”是否代表“不能转专业”。固定策略覆盖 89.6%，恰好略低于预设阈值，且片段在第三种情形中断；条款策略覆盖全部证据，回答区分了程序适用范围与禁止条件。这里并不是超过 90% 就自然获得正确答案，而是被截断的具体内容与概念关系确实影响了回答。阈值指标需要这种原文级解释。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初版审计发现，S196 固定策略补充的校外导师与双导师制度在实际上下文中有依据，却被判为无依据；S149 的完整度扣分涉及短证据未提供的起始时间。修订后，S196 的补充内容不再被标为无依据，S154 对谨慎回答的判断也趋于一致。表 5 展示主要策略的两版评分；426 个通过标签中共有 61 个改变。回答本身没有变化，分数变化反映评价口径的影响，不能算系统效果提升。</w:t>
      </w:r>
    </w:p>
    <w:p>
      <w:pPr>
        <w:keepNext/>
        <w:spacing w:before="60" w:after="80"/>
        <w:ind w:firstLine="0"/>
        <w:jc w:val="center"/>
      </w:pPr>
      <w:r>
        <w:rPr>
          <w:rFonts w:ascii="Times New Roman" w:hAnsi="Times New Roman" w:eastAsia="SimSun"/>
          <w:b w:val="0"/>
          <w:color w:val="000000"/>
          <w:sz w:val="24"/>
        </w:rPr>
        <w:t>表 5　两版自动评分对照（自绘）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757"/>
        <w:gridCol w:w="1757"/>
        <w:gridCol w:w="1757"/>
        <w:gridCol w:w="1757"/>
      </w:tblGrid>
      <w:tr>
        <w:trPr>
          <w:tblHeader/>
          <w:cantSplit/>
        </w:trPr>
        <w:tc>
          <w:tcPr>
            <w:tcW w:type="dxa" w:w="198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Top-3策略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初版通过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修订通过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初版完整度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Hei"/>
                <w:b w:val="0"/>
                <w:color w:val="000000"/>
                <w:sz w:val="24"/>
              </w:rPr>
              <w:t>修订完整度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固定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25/39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29/39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0.690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0.729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重叠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25/39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27/39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0.673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keepNext/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0.689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条款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27/39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30/39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0.687</w:t>
            </w:r>
          </w:p>
        </w:tc>
        <w:tc>
          <w:tcPr>
            <w:tcW w:type="dxa" w:w="1757"/>
            <w:vAlign w:val="center"/>
            <w:tcBorders>
              <w:top w:val="single" w:sz="4" w:color="AAAAAA"/>
              <w:bottom w:val="single" w:sz="4" w:color="AAAAAA"/>
            </w:tcBorders>
          </w:tcPr>
          <w:p>
            <w:pPr>
              <w:spacing w:line="276" w:lineRule="auto" w:before="60" w:after="60"/>
              <w:ind w:firstLine="0"/>
            </w:pPr>
            <w:r>
              <w:rPr>
                <w:rFonts w:ascii="Times New Roman" w:hAnsi="Times New Roman" w:eastAsia="SimSun"/>
                <w:b w:val="0"/>
                <w:color w:val="000000"/>
                <w:sz w:val="24"/>
              </w:rPr>
              <w:t>0.734</w:t>
            </w:r>
          </w:p>
        </w:tc>
      </w:tr>
    </w:tbl>
    <w:p>
      <w:pPr>
        <w:spacing w:after="0" w:line="240" w:lineRule="auto"/>
        <w:ind w:firstLine="0"/>
      </w:pPr>
      <w:r>
        <w:rPr>
          <w:sz w:val="4"/>
        </w:rPr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修订仍未消除所有问题。S052 中，两个答案都倾向认为辅修专业不能延读，第二版对其中一个容许轻微过度推断，对另一个却判失败；某些逐题要点还扩展到问题未直接询问的程序细节。这些是 AI 辅助原文核对发现的疑点，并非专家最终裁决。报告保留全部原始评分，不事后挑题或手动调分来强化结论。两版共同支持的结论是：回答优势尚不可靠，客观证据指标更适合支撑当前阶段的比较。</w:t>
      </w:r>
    </w:p>
    <w:p>
      <w:pPr>
        <w:pStyle w:val="Heading1"/>
      </w:pPr>
      <w:r>
        <w:t>5 讨论与展望</w:t>
      </w:r>
    </w:p>
    <w:p>
      <w:pPr>
        <w:pStyle w:val="Heading2"/>
      </w:pPr>
      <w:r>
        <w:t>5.1 从实验得到的设计判断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后续可尝试先以短片段定位，再补齐所在条款及明确引用的关联条款，并去除重复区间。S013 提示补齐条件有价值，S003 提示首先必须检索到正确条款。验证时应分别控制扩展预算与排序，不能同时加入重排、查询改写和条款扩展后，把收益全部归于分块。</w:t>
      </w:r>
    </w:p>
    <w:p>
      <w:pPr>
        <w:pStyle w:val="Heading2"/>
      </w:pPr>
      <w:r>
        <w:t>5.2 有限证据与后续验证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数据仅来自同一高校四份历史文件，测试题还经过可对齐证据的筛选，可能偏向容易找到明确条款的问题。跨条款题只有四道，无法支持稳定的子类排名。多个问题共享来源条款，也可能让按题 bootstrap 低估不确定性。下一轮应增加不同学校与文档类型，并按条款或文档划分开发集和测试集，先在开发集选参数，再对固定测试集报告结果。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评估改进应优先于继续增加生成调用。需要由至少两名复核者独立标注核心要点、可接受替代表述和拒答边界，记录分歧及一致性；第二版虽已让自动评估看到完整依据与实际上下文，仍需要独立复核者区分“答案缺项”“超出标注但有原文依据”“真正缺乏依据”。对 S149 这类参考答案与片段不完全等价的问题，应进一步检查要点是否与问题直接相关，而非把整条制度全部当作必答内容。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模型方面，本文仅使用一种量化嵌入模型和一个生成接口，同源评分可能偏好自身表达方式。温度为零的文本变化与接口别名也限制了严格复现，保留原始响应比只保留汇总表更重要。未来可增加独立评分模型、人工盲评和不同嵌入模型，检查策略排序是否稳定；成本受限时应先扩大证据标注质量和困难问题覆盖，而不是盲目扩大 API 次数。</w:t>
      </w:r>
    </w:p>
    <w:p>
      <w:pPr>
        <w:pStyle w:val="Heading2"/>
      </w:pPr>
      <w:r>
        <w:t>5.3 结论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在本次轻量实验中，条款分块提高了主要配置的证据召回及完整证据命中，但回答自动通过率优势小、区间宽，且受到评分偏差影响。重叠窗口没有显示稳定收益，增加块长也没有产生单调的端到端改善。可靠的分块研究需要把边界、检索预算、生成行为和评价误差分开检查。本报告以可追溯的公开来源、真实调用记录和离线重算脚本提供了这一检查过程，结论限于当前数据与模型设置。</w:t>
      </w:r>
    </w:p>
    <w:p>
      <w:pPr>
        <w:pStyle w:val="Heading1"/>
        <w:pageBreakBefore/>
      </w:pPr>
      <w:r>
        <w:t>参考文献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[1] LEWIS P, PEREZ E, PIKTUS A, et al. Retrieval-augmented generation for knowledge-intensive NLP tasks[EB/OL]. (2020-05-22)[2026-10-11]. https://arxiv.org/abs/2005.11401. arXiv:2005.11401, 2020.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[2] XIAO S, LIU Z, ZHANG P, et al. C-Pack: packed resources for general Chinese embeddings[EB/OL]. (2023-09-14)[2026-10-11]. https://arxiv.org/abs/2309.07597. arXiv:2309.07597, 2023.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[3] LIU N F, LIN K, HEWITT J, et al. Lost in the middle: how language models use long contexts[J]. Transactions of the Association for Computational Linguistics, 2024, 12: 157-173. DOI:10.1162/tacl_a_00638.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[4] ES S, JAMES J, ESPINOSA ANKE L, et al. RAGAs: automated evaluation of retrieval augmented generation[C]//Proceedings of the 18th Conference of the European Chapter of the Association for Computational Linguistics: System Demonstrations. St. Julian's: Association for Computational Linguistics, 2024: 150-158. DOI:10.18653/v1/2024.eacl-demo.16.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[5] QU R, TU R, BAO F S. Is semantic chunking worth the computational cost?[C]//Findings of the Association for Computational Linguistics: NAACL 2025. Albuquerque: Association for Computational Linguistics, 2025: 2155-2177. DOI:10.18653/v1/2025.findings-naacl.114.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[6] LU W, CHEN K, QIAO R, et al. HiChunk: evaluating and enhancing retrieval-augmented generation with hierarchical chunking[EB/OL]. (2025-09-15)[2026-10-11]. https://arxiv.org/abs/2509.11552. arXiv:2509.11552, 2025.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[7] 中山大学. 中山大学本科生学籍管理规定[EB/OL]. (2021-05-06)[2026-10-10]. https://historyzh.sysu.edu.cn/node/1209.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[8] 中山大学. 中山大学全日制本科生转专业实施办法[EB/OL]. (2019-06-26)[2026-10-10]. https://jwb.sysu.edu.cn/sites/default/files/2021-09/中山大学全日制本科生转专业实施办法.pdf.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[9] 中山大学. 中山大学本科交流生学籍管理办法[EB/OL]. (2015-08-01)[2026-10-10]. https://phil-zh.sysu.edu.cn/zh-hans/article/204.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[10] 中山大学. 中山大学本科生毕业论文（设计）工作管理规定[EB/OL]. 2020[2026-10-10]. https://bus.sysu.edu.cn/article/7833.</w:t>
      </w:r>
    </w:p>
    <w:p>
      <w:pPr>
        <w:spacing w:after="120"/>
        <w:ind w:hanging="360" w:left="360"/>
      </w:pPr>
      <w:r>
        <w:rPr>
          <w:rFonts w:ascii="Times New Roman" w:hAnsi="Times New Roman" w:eastAsia="SimSun"/>
          <w:b w:val="0"/>
          <w:color w:val="000000"/>
          <w:sz w:val="24"/>
        </w:rPr>
        <w:t>[11] 中山大学教务部. 业务办理Q&amp;A[EB/OL]. [2026-10-10]. https://jwb.sysu.edu.cn/sites/default/files/2022-02/JWBQA.pdf.</w:t>
      </w:r>
    </w:p>
    <w:p>
      <w:pPr>
        <w:pStyle w:val="Heading1"/>
      </w:pPr>
      <w:r>
        <w:t>附录 A 可复现材料与运行说明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随附材料包包含四份原始制度、官方问答 PDF、来源及哈希清单、39 题证据集、嵌入模型、Dockerfile、实验代码和全部原始响应。README 说明离线复核及在线重跑步骤。项目代码与完整复现材料已公开，仓库地址：https://github.com/Travesseiro-OuO/chinese-regulations-rag-chunking。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生成及两版评分分别位于 results/generations、judgments、judgments_v2。src/analyze.py 重算初版，加 --v2 重算修订版；src/verify_offline.py 检查来源和分块。完整提示与参数保存在设计 JSON。重跑需要自己的 API 密钥，材料包不含密钥或 SSH 登录信息。应先使用随附数据快照，避免网站版本变化干扰复现。</w:t>
      </w:r>
    </w:p>
    <w:p>
      <w:pPr>
        <w:pStyle w:val="Heading1"/>
      </w:pPr>
      <w:r>
        <w:t>附录 B AI 使用声明</w:t>
      </w:r>
    </w:p>
    <w:p>
      <w:r>
        <w:rPr>
          <w:rFonts w:ascii="Times New Roman" w:hAnsi="Times New Roman" w:eastAsia="SimSun"/>
          <w:b w:val="0"/>
          <w:color w:val="000000"/>
          <w:sz w:val="24"/>
        </w:rPr>
        <w:t>本报告使用 AI 辅助检索文献、编写代码、筛选问答、对齐证据、核查结果及组织文字。实验来自服务器实际调用，统计从原始记录计算；修订评估未更换测试集或改写回答，没有用示例数据冒充实验结果。回答评分及案例核查均由 AI 辅助完成，未进行人工双人标注或教务专家审核。提交者应阅读原文、理解代码与局限，并对最终提交内容负责。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  <w:embedRegular r:id="rIdEmbedded2" w:fontKey="{9B6BC1DB-50AE-57DD-83BE-738E29A5A6A7}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SimSun">
    <w:embedRegular r:id="rIdEmbedded0" w:fontKey="{8CF206C8-9B2A-5888-BA63-7810F7056A2E}"/>
  </w:font>
  <w:font w:name="SimHei">
    <w:embedRegular r:id="rIdEmbedded1" w:fontKey="{7EC335D5-8801-58A2-9C0F-DE36714EEA2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SimSun"/>
        <w:b w:val="0"/>
        <w:color w:val="000000"/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480"/>
    </w:pPr>
    <w:rPr>
      <w:rFonts w:ascii="Times New Roman" w:hAnsi="Times New Roman" w:eastAsia="SimSu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360" w:lineRule="auto"/>
      <w:ind w:firstLine="0"/>
      <w:outlineLvl w:val="0"/>
    </w:pPr>
    <w:rPr>
      <w:rFonts w:ascii="Times New Roman" w:hAnsi="Times New Roman" w:eastAsia="SimHei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 w:line="360" w:lineRule="auto"/>
      <w:ind w:firstLine="0"/>
      <w:outlineLvl w:val="1"/>
    </w:pPr>
    <w:rPr>
      <w:rFonts w:ascii="Times New Roman" w:hAnsi="Times New Roman" w:eastAsia="SimHei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360" w:lineRule="auto" w:before="0"/>
      <w:ind w:firstLine="0"/>
      <w:contextualSpacing/>
    </w:pPr>
    <w:rPr>
      <w:rFonts w:ascii="Times New Roman" w:hAnsi="Times New Roman" w:eastAsia="SimHei"/>
      <w:b w:val="0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after="0" w:before="0"/>
    </w:pPr>
    <w:rPr>
      <w:rFonts w:ascii="Times New Roman" w:hAnsi="Times New Roman" w:eastAsia="SimSun"/>
      <w:b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Embedded0" Type="http://schemas.openxmlformats.org/officeDocument/2006/relationships/font" Target="fonts/font0.odttf"/><Relationship Id="rIdEmbedded1" Type="http://schemas.openxmlformats.org/officeDocument/2006/relationships/font" Target="fonts/font1.odttf"/><Relationship Id="rIdEmbedded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文档分块策略对中文规章制度 RAG 问答效果的影响研究</dc:title>
  <dc:subject>数据科学前沿课程 B 类技术实践报告</dc:subject>
  <dc:creator>梁颢严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