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mbria" w:cs="Cambria" w:eastAsia="Cambria" w:hAnsi="Cambria"/>
          <w:b/>
          <w:bCs/>
          <w:color w:val="1F4E79"/>
          <w:sz w:val="44"/>
          <w:szCs w:val="44"/>
        </w:rPr>
        <w:t xml:space="preserve">The Standard Model Degeneracy Index (SMDI)</w:t>
      </w:r>
    </w:p>
    <w:p>
      <w:pPr>
        <w:spacing w:after="0" w:before="120"/>
        <w:jc w:val="center"/>
      </w:pPr>
      <w:r>
        <w:rPr>
          <w:rFonts w:ascii="Cambria" w:cs="Cambria" w:eastAsia="Cambria" w:hAnsi="Cambria"/>
          <w:color w:val="2E74B5"/>
          <w:sz w:val="26"/>
          <w:szCs w:val="26"/>
        </w:rPr>
        <w:t xml:space="preserve">A Voxelwise Reliability Biomarker for Biophysical Diffusion MRI</w:t>
      </w:r>
    </w:p>
    <w:p>
      <w:pPr>
        <w:spacing w:after="0" w:before="60"/>
        <w:jc w:val="center"/>
      </w:pPr>
      <w:r>
        <w:rPr>
          <w:rFonts w:ascii="Calibri" w:cs="Calibri" w:eastAsia="Calibri" w:hAnsi="Calibri"/>
          <w:i/>
          <w:iCs/>
          <w:color w:val="595959"/>
          <w:sz w:val="22"/>
          <w:szCs w:val="22"/>
        </w:rPr>
        <w:t xml:space="preserve">Knowledge Base, Theoretical Framework, and Methods</w:t>
      </w:r>
    </w:p>
    <w:p>
      <w:pPr>
        <w:pBdr>
          <w:top w:val="single" w:color="1F4E79" w:sz="6" w:space="6"/>
          <w:bottom w:val="single" w:color="1F4E79" w:sz="6" w:space="6"/>
        </w:pBdr>
        <w:spacing w:after="0" w:before="600"/>
        <w:jc w:val="center"/>
      </w:pPr>
      <w:r>
        <w:rPr>
          <w:rFonts w:ascii="Calibri" w:cs="Calibri" w:eastAsia="Calibri" w:hAnsi="Calibri"/>
          <w:sz w:val="21"/>
          <w:szCs w:val="21"/>
        </w:rPr>
        <w:t xml:space="preserve">Target application: multi-shell diffusion MRI at 3 T (b = 1000/2000/3000 s/mm²)</w:t>
      </w:r>
    </w:p>
    <w:p>
      <w:pPr>
        <w:spacing w:after="0" w:before="40"/>
        <w:jc w:val="center"/>
      </w:pPr>
      <w:r>
        <w:rPr>
          <w:rFonts w:ascii="Calibri" w:cs="Calibri" w:eastAsia="Calibri" w:hAnsi="Calibri"/>
          <w:sz w:val="21"/>
          <w:szCs w:val="21"/>
        </w:rPr>
        <w:t xml:space="preserve">Validation cohort of reference: Adolescent Brain Cognitive Development (ABCD) Study</w:t>
      </w:r>
    </w:p>
    <w:p>
      <w:pPr>
        <w:spacing w:after="0" w:before="1600"/>
        <w:jc w:val="center"/>
      </w:pPr>
      <w:r>
        <w:rPr>
          <w:rFonts w:ascii="Calibri" w:cs="Calibri" w:eastAsia="Calibri" w:hAnsi="Calibri"/>
          <w:i/>
          <w:iCs/>
          <w:color w:val="595959"/>
          <w:sz w:val="20"/>
          <w:szCs w:val="20"/>
        </w:rPr>
        <w:t xml:space="preserve">Methods &amp; Theory Note — for integration into the dwiforge pipeline</w:t>
      </w:r>
    </w:p>
    <w:p>
      <w:r>
        <w:br w:type="page"/>
      </w:r>
    </w:p>
    <w:p>
      <w:pPr>
        <w:pStyle w:val="Heading1"/>
        <w:spacing w:after="140" w:before="320"/>
      </w:pPr>
      <w:r>
        <w:rPr>
          <w:rFonts w:ascii="Cambria" w:cs="Cambria" w:eastAsia="Cambria" w:hAnsi="Cambria"/>
          <w:b/>
          <w:bCs/>
          <w:color w:val="1F4E7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Cambria" w:cs="Cambria" w:eastAsia="Cambria" w:hAnsi="Cambria"/>
          <w:b/>
          <w:bCs/>
          <w:color w:val="1F4E79"/>
          <w:sz w:val="30"/>
          <w:szCs w:val="30"/>
        </w:rPr>
        <w:t xml:space="preserve">1. Purpose and Scope</w:t>
      </w:r>
    </w:p>
    <w:p>
      <w:pPr>
        <w:spacing w:after="120" w:line="276"/>
        <w:jc w:val="both"/>
      </w:pPr>
      <w:r>
        <w:rPr>
          <w:rFonts w:ascii="Calibri" w:cs="Calibri" w:eastAsia="Calibri" w:hAnsi="Calibri"/>
          <w:sz w:val="21"/>
          <w:szCs w:val="21"/>
        </w:rPr>
        <w:t xml:space="preserve">This document specifies the </w:t>
      </w:r>
      <w:r>
        <w:rPr>
          <w:rFonts w:ascii="Calibri" w:cs="Calibri" w:eastAsia="Calibri" w:hAnsi="Calibri"/>
          <w:b/>
          <w:bCs/>
          <w:sz w:val="21"/>
          <w:szCs w:val="21"/>
        </w:rPr>
        <w:t xml:space="preserve">Standard Model Degeneracy Index</w:t>
      </w:r>
      <w:r>
        <w:rPr>
          <w:rFonts w:ascii="Calibri" w:cs="Calibri" w:eastAsia="Calibri" w:hAnsi="Calibri"/>
          <w:sz w:val="21"/>
          <w:szCs w:val="21"/>
        </w:rPr>
        <w:t xml:space="preserve"> (SMDI), a proposed voxelwise scalar that quantifies how </w:t>
      </w:r>
      <w:r>
        <w:rPr>
          <w:rFonts w:ascii="Calibri" w:cs="Calibri" w:eastAsia="Calibri" w:hAnsi="Calibri"/>
          <w:i/>
          <w:iCs/>
          <w:sz w:val="21"/>
          <w:szCs w:val="21"/>
        </w:rPr>
        <w:t xml:space="preserve">ill-posed</w:t>
      </w:r>
      <w:r>
        <w:rPr>
          <w:rFonts w:ascii="Calibri" w:cs="Calibri" w:eastAsia="Calibri" w:hAnsi="Calibri"/>
          <w:sz w:val="21"/>
          <w:szCs w:val="21"/>
        </w:rPr>
        <w:t xml:space="preserve"> the estimation of white-matter microstructural parameters is in a given voxel, given the acquired data. SMDI is not another microstructural parameter; it is a </w:t>
      </w:r>
      <w:r>
        <w:rPr>
          <w:rFonts w:ascii="Calibri" w:cs="Calibri" w:eastAsia="Calibri" w:hAnsi="Calibri"/>
          <w:b/>
          <w:bCs/>
          <w:sz w:val="21"/>
          <w:szCs w:val="21"/>
        </w:rPr>
        <w:t xml:space="preserve">reliability map for the parameters you already compute</w:t>
      </w:r>
      <w:r>
        <w:rPr>
          <w:rFonts w:ascii="Calibri" w:cs="Calibri" w:eastAsia="Calibri" w:hAnsi="Calibri"/>
          <w:sz w:val="21"/>
          <w:szCs w:val="21"/>
        </w:rPr>
        <w:t xml:space="preserve">. Its intended role is to accompany NODDI, WMTI, and Standard-Model outputs so that downstream group analyses can weight, mask, or stratify voxels by how trustworthy their microstructural estimates actually are.</w:t>
      </w:r>
    </w:p>
    <w:p>
      <w:pPr>
        <w:spacing w:after="120" w:line="276"/>
        <w:jc w:val="both"/>
      </w:pPr>
      <w:r>
        <w:rPr>
          <w:rFonts w:ascii="Calibri" w:cs="Calibri" w:eastAsia="Calibri" w:hAnsi="Calibri"/>
          <w:sz w:val="21"/>
          <w:szCs w:val="21"/>
        </w:rPr>
        <w:t xml:space="preserve">The scientific premise is a result established over the past decade: fitting the biophysical “Standard Model” of diffusion in white matter to conventional single-diffusion-encoding (linear) multi-shell data is an </w:t>
      </w:r>
      <w:r>
        <w:rPr>
          <w:rFonts w:ascii="Calibri" w:cs="Calibri" w:eastAsia="Calibri" w:hAnsi="Calibri"/>
          <w:b/>
          <w:bCs/>
          <w:sz w:val="21"/>
          <w:szCs w:val="21"/>
        </w:rPr>
        <w:t xml:space="preserve">intrinsically degenerate inverse problem</w:t>
      </w:r>
      <w:r>
        <w:rPr>
          <w:rFonts w:ascii="Calibri" w:cs="Calibri" w:eastAsia="Calibri" w:hAnsi="Calibri"/>
          <w:sz w:val="21"/>
          <w:szCs w:val="21"/>
        </w:rPr>
        <w:t xml:space="preserve">. Multiple, well-separated parameter combinations explain the measured signal essentially equally well </w:t>
      </w:r>
      <w:r>
        <w:rPr>
          <w:rFonts w:ascii="Calibri" w:cs="Calibri" w:eastAsia="Calibri" w:hAnsi="Calibri"/>
          <w:color w:val="2E74B5"/>
          <w:sz w:val="21"/>
          <w:szCs w:val="21"/>
        </w:rPr>
        <w:t xml:space="preserve">[1]</w:t>
      </w:r>
      <w:r>
        <w:rPr>
          <w:rFonts w:ascii="Calibri" w:cs="Calibri" w:eastAsia="Calibri" w:hAnsi="Calibri"/>
          <w:sz w:val="21"/>
          <w:szCs w:val="21"/>
        </w:rPr>
        <w:t xml:space="preserve">, </w:t>
      </w:r>
      <w:r>
        <w:rPr>
          <w:rFonts w:ascii="Calibri" w:cs="Calibri" w:eastAsia="Calibri" w:hAnsi="Calibri"/>
          <w:color w:val="2E74B5"/>
          <w:sz w:val="21"/>
          <w:szCs w:val="21"/>
        </w:rPr>
        <w:t xml:space="preserve">[2]</w:t>
      </w:r>
      <w:r>
        <w:rPr>
          <w:rFonts w:ascii="Calibri" w:cs="Calibri" w:eastAsia="Calibri" w:hAnsi="Calibri"/>
          <w:sz w:val="21"/>
          <w:szCs w:val="21"/>
        </w:rPr>
        <w:t xml:space="preserve">, </w:t>
      </w:r>
      <w:r>
        <w:rPr>
          <w:rFonts w:ascii="Calibri" w:cs="Calibri" w:eastAsia="Calibri" w:hAnsi="Calibri"/>
          <w:color w:val="2E74B5"/>
          <w:sz w:val="21"/>
          <w:szCs w:val="21"/>
        </w:rPr>
        <w:t xml:space="preserve">[3]</w:t>
      </w:r>
      <w:r>
        <w:rPr>
          <w:rFonts w:ascii="Calibri" w:cs="Calibri" w:eastAsia="Calibri" w:hAnsi="Calibri"/>
          <w:sz w:val="21"/>
          <w:szCs w:val="21"/>
        </w:rPr>
        <w:t xml:space="preserve">. Widely used pipelines such as NODDI hide this degeneracy by </w:t>
      </w:r>
      <w:r>
        <w:rPr>
          <w:rFonts w:ascii="Calibri" w:cs="Calibri" w:eastAsia="Calibri" w:hAnsi="Calibri"/>
          <w:i/>
          <w:iCs/>
          <w:sz w:val="21"/>
          <w:szCs w:val="21"/>
        </w:rPr>
        <w:t xml:space="preserve">fixing</w:t>
      </w:r>
      <w:r>
        <w:rPr>
          <w:rFonts w:ascii="Calibri" w:cs="Calibri" w:eastAsia="Calibri" w:hAnsi="Calibri"/>
          <w:sz w:val="21"/>
          <w:szCs w:val="21"/>
        </w:rPr>
        <w:t xml:space="preserve"> parameters (e.g. the intra-neurite axial diffusivity) to literature constants, which yields a unique but potentially biased answer </w:t>
      </w:r>
      <w:r>
        <w:rPr>
          <w:rFonts w:ascii="Calibri" w:cs="Calibri" w:eastAsia="Calibri" w:hAnsi="Calibri"/>
          <w:color w:val="2E74B5"/>
          <w:sz w:val="21"/>
          <w:szCs w:val="21"/>
        </w:rPr>
        <w:t xml:space="preserve">[2]</w:t>
      </w:r>
      <w:r>
        <w:rPr>
          <w:rFonts w:ascii="Calibri" w:cs="Calibri" w:eastAsia="Calibri" w:hAnsi="Calibri"/>
          <w:sz w:val="21"/>
          <w:szCs w:val="21"/>
        </w:rPr>
        <w:t xml:space="preserve">, </w:t>
      </w:r>
      <w:r>
        <w:rPr>
          <w:rFonts w:ascii="Calibri" w:cs="Calibri" w:eastAsia="Calibri" w:hAnsi="Calibri"/>
          <w:color w:val="2E74B5"/>
          <w:sz w:val="21"/>
          <w:szCs w:val="21"/>
        </w:rPr>
        <w:t xml:space="preserve">[4]</w:t>
      </w:r>
      <w:r>
        <w:rPr>
          <w:rFonts w:ascii="Calibri" w:cs="Calibri" w:eastAsia="Calibri" w:hAnsi="Calibri"/>
          <w:sz w:val="21"/>
          <w:szCs w:val="21"/>
        </w:rPr>
        <w:t xml:space="preserve">. SMDI makes the degeneracy explicit and measurable, converting a known weakness of the field into a usable quality metric.</w:t>
      </w:r>
    </w:p>
    <w:tbl>
      <w:tblPr>
        <w:tblW w:type="pct" w:w="100%"/>
        <w:tblBorders>
          <w:top w:val="single" w:color="2E74B5" w:sz="2"/>
          <w:left w:val="single" w:color="2E74B5" w:sz="12"/>
          <w:bottom w:val="single" w:color="2E74B5" w:sz="2"/>
          <w:right w:val="single" w:color="2E74B5" w:sz="2"/>
          <w:insideH w:val="none"/>
          <w:insideV w:val="none"/>
        </w:tblBorders>
      </w:tblPr>
      <w:tblGrid>
        <w:gridCol w:w="9360"/>
      </w:tblGrid>
      <w:tr>
        <w:tc>
          <w:tcPr>
            <w:tcW w:type="dxa" w:w="9360"/>
            <w:shd w:fill="DEEAF1" w:color="auto" w:val="clear"/>
            <w:tcMar>
              <w:top w:type="dxa" w:w="120"/>
              <w:left w:type="dxa" w:w="160"/>
              <w:bottom w:type="dxa" w:w="120"/>
              <w:right w:type="dxa" w:w="160"/>
            </w:tcMar>
          </w:tcPr>
          <w:p>
            <w:pPr>
              <w:spacing w:after="60"/>
            </w:pPr>
            <w:r>
              <w:rPr>
                <w:rFonts w:ascii="Calibri" w:cs="Calibri" w:eastAsia="Calibri" w:hAnsi="Calibri"/>
                <w:b/>
                <w:bCs/>
                <w:color w:val="1F4E79"/>
                <w:sz w:val="21"/>
                <w:szCs w:val="21"/>
              </w:rPr>
              <w:t xml:space="preserve">What this document contains</w:t>
            </w:r>
          </w:p>
          <w:p>
            <w:pPr>
              <w:spacing w:after="40" w:line="276"/>
              <w:jc w:val="both"/>
            </w:pPr>
            <w:r>
              <w:rPr>
                <w:rFonts w:ascii="Calibri" w:cs="Calibri" w:eastAsia="Calibri" w:hAnsi="Calibri"/>
                <w:sz w:val="21"/>
                <w:szCs w:val="21"/>
              </w:rPr>
              <w:t xml:space="preserve">• A self-contained </w:t>
            </w:r>
            <w:r>
              <w:rPr>
                <w:rFonts w:ascii="Calibri" w:cs="Calibri" w:eastAsia="Calibri" w:hAnsi="Calibri"/>
                <w:b/>
                <w:bCs/>
                <w:sz w:val="21"/>
                <w:szCs w:val="21"/>
              </w:rPr>
              <w:t xml:space="preserve">knowledge base</w:t>
            </w:r>
            <w:r>
              <w:rPr>
                <w:rFonts w:ascii="Calibri" w:cs="Calibri" w:eastAsia="Calibri" w:hAnsi="Calibri"/>
                <w:sz w:val="21"/>
                <w:szCs w:val="21"/>
              </w:rPr>
              <w:t xml:space="preserve"> on the Standard Model and its degeneracy (Sections 2–3).</w:t>
            </w:r>
          </w:p>
          <w:p>
            <w:pPr>
              <w:spacing w:after="40" w:line="276"/>
              <w:jc w:val="both"/>
            </w:pPr>
            <w:r>
              <w:rPr>
                <w:rFonts w:ascii="Calibri" w:cs="Calibri" w:eastAsia="Calibri" w:hAnsi="Calibri"/>
                <w:sz w:val="21"/>
                <w:szCs w:val="21"/>
              </w:rPr>
              <w:t xml:space="preserve">• A formal </w:t>
            </w:r>
            <w:r>
              <w:rPr>
                <w:rFonts w:ascii="Calibri" w:cs="Calibri" w:eastAsia="Calibri" w:hAnsi="Calibri"/>
                <w:b/>
                <w:bCs/>
                <w:sz w:val="21"/>
                <w:szCs w:val="21"/>
              </w:rPr>
              <w:t xml:space="preserve">theoretical framework</w:t>
            </w:r>
            <w:r>
              <w:rPr>
                <w:rFonts w:ascii="Calibri" w:cs="Calibri" w:eastAsia="Calibri" w:hAnsi="Calibri"/>
                <w:sz w:val="21"/>
                <w:szCs w:val="21"/>
              </w:rPr>
              <w:t xml:space="preserve"> defining SMDI and its estimands (Section 4).</w:t>
            </w:r>
          </w:p>
          <w:p>
            <w:pPr>
              <w:spacing w:after="40" w:line="276"/>
              <w:jc w:val="both"/>
            </w:pPr>
            <w:r>
              <w:rPr>
                <w:rFonts w:ascii="Calibri" w:cs="Calibri" w:eastAsia="Calibri" w:hAnsi="Calibri"/>
                <w:sz w:val="21"/>
                <w:szCs w:val="21"/>
              </w:rPr>
              <w:t xml:space="preserve">• A rigorous </w:t>
            </w:r>
            <w:r>
              <w:rPr>
                <w:rFonts w:ascii="Calibri" w:cs="Calibri" w:eastAsia="Calibri" w:hAnsi="Calibri"/>
                <w:b/>
                <w:bCs/>
                <w:sz w:val="21"/>
                <w:szCs w:val="21"/>
              </w:rPr>
              <w:t xml:space="preserve">methods specification</w:t>
            </w:r>
            <w:r>
              <w:rPr>
                <w:rFonts w:ascii="Calibri" w:cs="Calibri" w:eastAsia="Calibri" w:hAnsi="Calibri"/>
                <w:sz w:val="21"/>
                <w:szCs w:val="21"/>
              </w:rPr>
              <w:t xml:space="preserve"> — estimation, implementation, validation, statistics (Sections 5–8).</w:t>
            </w:r>
          </w:p>
          <w:p>
            <w:pPr>
              <w:spacing w:after="0" w:line="276"/>
              <w:jc w:val="both"/>
            </w:pPr>
            <w:r>
              <w:rPr>
                <w:rFonts w:ascii="Calibri" w:cs="Calibri" w:eastAsia="Calibri" w:hAnsi="Calibri"/>
                <w:sz w:val="21"/>
                <w:szCs w:val="21"/>
              </w:rPr>
              <w:t xml:space="preserve">• Explicit </w:t>
            </w:r>
            <w:r>
              <w:rPr>
                <w:rFonts w:ascii="Calibri" w:cs="Calibri" w:eastAsia="Calibri" w:hAnsi="Calibri"/>
                <w:b/>
                <w:bCs/>
                <w:sz w:val="21"/>
                <w:szCs w:val="21"/>
              </w:rPr>
              <w:t xml:space="preserve">assumptions, limitations, and falsification tests</w:t>
            </w:r>
            <w:r>
              <w:rPr>
                <w:rFonts w:ascii="Calibri" w:cs="Calibri" w:eastAsia="Calibri" w:hAnsi="Calibri"/>
                <w:sz w:val="21"/>
                <w:szCs w:val="21"/>
              </w:rPr>
              <w:t xml:space="preserve"> (Section 9).</w:t>
            </w:r>
          </w:p>
        </w:tc>
      </w:tr>
    </w:tbl>
    <w:p>
      <w:pPr>
        <w:spacing w:after="120" w:line="276"/>
        <w:jc w:val="both"/>
      </w:pPr>
      <w:r>
        <w:rPr>
          <w:rFonts w:ascii="Calibri" w:cs="Calibri" w:eastAsia="Calibri" w:hAnsi="Calibri"/>
          <w:sz w:val="21"/>
          <w:szCs w:val="21"/>
        </w:rPr>
        <w:t xml:space="preserve">Every empirical claim about model structure, degeneracy, and reproducibility is referenced to the primary literature, and the reference list (Section 11) has been checked against journal metadata (DOIs, volumes, pages).</w:t>
      </w:r>
    </w:p>
    <w:p>
      <w:pPr>
        <w:pStyle w:val="Heading1"/>
        <w:spacing w:after="140" w:before="320"/>
      </w:pPr>
      <w:r>
        <w:rPr>
          <w:rFonts w:ascii="Cambria" w:cs="Cambria" w:eastAsia="Cambria" w:hAnsi="Cambria"/>
          <w:b/>
          <w:bCs/>
          <w:color w:val="1F4E79"/>
          <w:sz w:val="30"/>
          <w:szCs w:val="30"/>
        </w:rPr>
        <w:t xml:space="preserve">2. Knowledge Base: The Standard Model of White-Matter Diffusion</w:t>
      </w:r>
    </w:p>
    <w:p>
      <w:pPr>
        <w:pStyle w:val="Heading2"/>
        <w:spacing w:after="100" w:before="220"/>
      </w:pPr>
      <w:r>
        <w:rPr>
          <w:rFonts w:ascii="Cambria" w:cs="Cambria" w:eastAsia="Cambria" w:hAnsi="Cambria"/>
          <w:b/>
          <w:bCs/>
          <w:color w:val="2E74B5"/>
          <w:sz w:val="25"/>
          <w:szCs w:val="25"/>
        </w:rPr>
        <w:t xml:space="preserve">2.1 Why single metrics are ambiguous</w:t>
      </w:r>
    </w:p>
    <w:p>
      <w:pPr>
        <w:spacing w:after="120" w:line="276"/>
        <w:jc w:val="both"/>
      </w:pPr>
      <w:r>
        <w:rPr>
          <w:rFonts w:ascii="Calibri" w:cs="Calibri" w:eastAsia="Calibri" w:hAnsi="Calibri"/>
          <w:sz w:val="21"/>
          <w:szCs w:val="21"/>
        </w:rPr>
        <w:t xml:space="preserve">Diffusion tensor imaging (DTI) metrics — FA, MD, AD, RD — are descriptors of a single Gaussian diffusion ellipsoid. They are not tissue properties: the same FA value can arise from densely packed coherent axons, from partially demyelinated fibers, or from two crossing bundles. Because a single tensor cannot represent multiple fiber populations, DTI parameters are biophysically non-specific and, in the 60–90% of white-matter voxels containing crossing or fanning fibers, are dominated by geometry rather than by microstructure </w:t>
      </w:r>
      <w:r>
        <w:rPr>
          <w:rFonts w:ascii="Calibri" w:cs="Calibri" w:eastAsia="Calibri" w:hAnsi="Calibri"/>
          <w:color w:val="2E74B5"/>
          <w:sz w:val="21"/>
          <w:szCs w:val="21"/>
        </w:rPr>
        <w:t xml:space="preserve">[5]</w:t>
      </w:r>
      <w:r>
        <w:rPr>
          <w:rFonts w:ascii="Calibri" w:cs="Calibri" w:eastAsia="Calibri" w:hAnsi="Calibri"/>
          <w:sz w:val="21"/>
          <w:szCs w:val="21"/>
        </w:rPr>
        <w:t xml:space="preserve">. Diffusion kurtosis imaging (DKI) adds the leading non-Gaussian correction but remains a </w:t>
      </w:r>
      <w:r>
        <w:rPr>
          <w:rFonts w:ascii="Calibri" w:cs="Calibri" w:eastAsia="Calibri" w:hAnsi="Calibri"/>
          <w:i/>
          <w:iCs/>
          <w:sz w:val="21"/>
          <w:szCs w:val="21"/>
        </w:rPr>
        <w:t xml:space="preserve">signal representation</w:t>
      </w:r>
      <w:r>
        <w:rPr>
          <w:rFonts w:ascii="Calibri" w:cs="Calibri" w:eastAsia="Calibri" w:hAnsi="Calibri"/>
          <w:sz w:val="21"/>
          <w:szCs w:val="21"/>
        </w:rPr>
        <w:t xml:space="preserve"> (a Taylor expansion of the log-signal), not a tissue model — its parameters still mix several microstructural sources </w:t>
      </w:r>
      <w:r>
        <w:rPr>
          <w:rFonts w:ascii="Calibri" w:cs="Calibri" w:eastAsia="Calibri" w:hAnsi="Calibri"/>
          <w:color w:val="2E74B5"/>
          <w:sz w:val="21"/>
          <w:szCs w:val="21"/>
        </w:rPr>
        <w:t xml:space="preserve">[5]</w:t>
      </w:r>
      <w:r>
        <w:rPr>
          <w:rFonts w:ascii="Calibri" w:cs="Calibri" w:eastAsia="Calibri" w:hAnsi="Calibri"/>
          <w:sz w:val="21"/>
          <w:szCs w:val="21"/>
        </w:rPr>
        <w:t xml:space="preserve">.</w:t>
      </w:r>
    </w:p>
    <w:p>
      <w:pPr>
        <w:pStyle w:val="Heading2"/>
        <w:spacing w:after="100" w:before="220"/>
      </w:pPr>
      <w:r>
        <w:rPr>
          <w:rFonts w:ascii="Cambria" w:cs="Cambria" w:eastAsia="Cambria" w:hAnsi="Cambria"/>
          <w:b/>
          <w:bCs/>
          <w:color w:val="2E74B5"/>
          <w:sz w:val="25"/>
          <w:szCs w:val="25"/>
        </w:rPr>
        <w:t xml:space="preserve">2.2 The Standard Model: definition</w:t>
      </w:r>
    </w:p>
    <w:p>
      <w:pPr>
        <w:spacing w:after="120" w:line="276"/>
        <w:jc w:val="both"/>
      </w:pPr>
      <w:r>
        <w:rPr>
          <w:rFonts w:ascii="Calibri" w:cs="Calibri" w:eastAsia="Calibri" w:hAnsi="Calibri"/>
          <w:sz w:val="21"/>
          <w:szCs w:val="21"/>
        </w:rPr>
        <w:t xml:space="preserve">The </w:t>
      </w:r>
      <w:r>
        <w:rPr>
          <w:rFonts w:ascii="Calibri" w:cs="Calibri" w:eastAsia="Calibri" w:hAnsi="Calibri"/>
          <w:b/>
          <w:bCs/>
          <w:sz w:val="21"/>
          <w:szCs w:val="21"/>
        </w:rPr>
        <w:t xml:space="preserve">Standard Model</w:t>
      </w:r>
      <w:r>
        <w:rPr>
          <w:rFonts w:ascii="Calibri" w:cs="Calibri" w:eastAsia="Calibri" w:hAnsi="Calibri"/>
          <w:sz w:val="21"/>
          <w:szCs w:val="21"/>
        </w:rPr>
        <w:t xml:space="preserve"> (SM) is the unifying multi-compartment picture toward which most white-matter biophysical models converge </w:t>
      </w:r>
      <w:r>
        <w:rPr>
          <w:rFonts w:ascii="Calibri" w:cs="Calibri" w:eastAsia="Calibri" w:hAnsi="Calibri"/>
          <w:color w:val="2E74B5"/>
          <w:sz w:val="21"/>
          <w:szCs w:val="21"/>
        </w:rPr>
        <w:t xml:space="preserve">[5]</w:t>
      </w:r>
      <w:r>
        <w:rPr>
          <w:rFonts w:ascii="Calibri" w:cs="Calibri" w:eastAsia="Calibri" w:hAnsi="Calibri"/>
          <w:sz w:val="21"/>
          <w:szCs w:val="21"/>
        </w:rPr>
        <w:t xml:space="preserve">. It represents the direction-averaged, multi-shell diffusion signal as arising from an </w:t>
      </w:r>
      <w:r>
        <w:rPr>
          <w:rFonts w:ascii="Calibri" w:cs="Calibri" w:eastAsia="Calibri" w:hAnsi="Calibri"/>
          <w:i/>
          <w:iCs/>
          <w:sz w:val="21"/>
          <w:szCs w:val="21"/>
        </w:rPr>
        <w:t xml:space="preserve">orientation distribution</w:t>
      </w:r>
      <w:r>
        <w:rPr>
          <w:rFonts w:ascii="Calibri" w:cs="Calibri" w:eastAsia="Calibri" w:hAnsi="Calibri"/>
          <w:sz w:val="21"/>
          <w:szCs w:val="21"/>
        </w:rPr>
        <w:t xml:space="preserve"> of identical, locally anisotropic “fiber segments,” each comprising two non-exchanging compartments plus an optional isotropic pool:</w:t>
      </w:r>
    </w:p>
    <w:p>
      <w:pPr>
        <w:pStyle w:val="ListParagraph"/>
        <w:numPr>
          <w:ilvl w:val="0"/>
          <w:numId w:val="2"/>
        </w:numPr>
        <w:spacing w:after="70" w:line="268"/>
      </w:pPr>
      <w:r>
        <w:rPr>
          <w:rFonts w:ascii="Calibri" w:cs="Calibri" w:eastAsia="Calibri" w:hAnsi="Calibri"/>
          <w:b/>
          <w:bCs/>
          <w:sz w:val="21"/>
          <w:szCs w:val="21"/>
        </w:rPr>
        <w:t xml:space="preserve">Intra-neurite compartment</w:t>
      </w:r>
      <w:r>
        <w:rPr>
          <w:rFonts w:ascii="Calibri" w:cs="Calibri" w:eastAsia="Calibri" w:hAnsi="Calibri"/>
          <w:sz w:val="21"/>
          <w:szCs w:val="21"/>
        </w:rPr>
        <w:t xml:space="preserve"> — water inside axons/dendrites, modeled as diffusion in “sticks” (zero-radius cylinders) with axial diffusivity </w:t>
      </w:r>
      <w:r>
        <w:rPr>
          <w:rFonts w:ascii="Cambria" w:cs="Cambria" w:eastAsia="Cambria" w:hAnsi="Cambria"/>
          <w:i/>
          <w:iCs/>
          <w:sz w:val="21"/>
          <w:szCs w:val="21"/>
        </w:rPr>
        <w:t xml:space="preserve">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and negligible radial diffusivity.</w:t>
      </w:r>
    </w:p>
    <w:p>
      <w:pPr>
        <w:pStyle w:val="ListParagraph"/>
        <w:numPr>
          <w:ilvl w:val="0"/>
          <w:numId w:val="2"/>
        </w:numPr>
        <w:spacing w:after="70" w:line="268"/>
      </w:pPr>
      <w:r>
        <w:rPr>
          <w:rFonts w:ascii="Calibri" w:cs="Calibri" w:eastAsia="Calibri" w:hAnsi="Calibri"/>
          <w:b/>
          <w:bCs/>
          <w:sz w:val="21"/>
          <w:szCs w:val="21"/>
        </w:rPr>
        <w:t xml:space="preserve">Extra-neurite compartment</w:t>
      </w:r>
      <w:r>
        <w:rPr>
          <w:rFonts w:ascii="Calibri" w:cs="Calibri" w:eastAsia="Calibri" w:hAnsi="Calibri"/>
          <w:sz w:val="21"/>
          <w:szCs w:val="21"/>
        </w:rPr>
        <w:t xml:space="preserve"> — water outside neurites, modeled as an anisotropic Gaussian tensor with axial and radial diffusivities </w:t>
      </w:r>
      <w:r>
        <w:rPr>
          <w:rFonts w:ascii="Cambria" w:cs="Cambria" w:eastAsia="Cambria" w:hAnsi="Cambria"/>
          <w:i/>
          <w:iCs/>
          <w:sz w:val="21"/>
          <w:szCs w:val="21"/>
        </w:rPr>
        <w:t xml:space="preserve">D</w:t>
      </w:r>
      <w:r>
        <w:rPr>
          <w:rFonts w:ascii="Cambria" w:cs="Cambria" w:eastAsia="Cambria" w:hAnsi="Cambria"/>
          <w:i/>
          <w:iCs/>
          <w:sz w:val="21"/>
          <w:szCs w:val="21"/>
          <w:vertAlign w:val="subscript"/>
        </w:rPr>
        <w:t xml:space="preserve">e∥</w:t>
      </w:r>
      <w:r>
        <w:rPr>
          <w:rFonts w:ascii="Calibri" w:cs="Calibri" w:eastAsia="Calibri" w:hAnsi="Calibri"/>
          <w:sz w:val="21"/>
          <w:szCs w:val="21"/>
        </w:rPr>
        <w:t xml:space="preserve"> and </w:t>
      </w:r>
      <w:r>
        <w:rPr>
          <w:rFonts w:ascii="Cambria" w:cs="Cambria" w:eastAsia="Cambria" w:hAnsi="Cambria"/>
          <w:i/>
          <w:iCs/>
          <w:sz w:val="21"/>
          <w:szCs w:val="21"/>
        </w:rPr>
        <w:t xml:space="preserve">D</w:t>
      </w:r>
      <w:r>
        <w:rPr>
          <w:rFonts w:ascii="Cambria" w:cs="Cambria" w:eastAsia="Cambria" w:hAnsi="Cambria"/>
          <w:i/>
          <w:iCs/>
          <w:sz w:val="21"/>
          <w:szCs w:val="21"/>
          <w:vertAlign w:val="subscript"/>
        </w:rPr>
        <w:t xml:space="preserve">e⊥</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Isotropic (free-water/CSF) compartment</w:t>
      </w:r>
      <w:r>
        <w:rPr>
          <w:rFonts w:ascii="Calibri" w:cs="Calibri" w:eastAsia="Calibri" w:hAnsi="Calibri"/>
          <w:sz w:val="21"/>
          <w:szCs w:val="21"/>
        </w:rPr>
        <w:t xml:space="preserve"> — optional, fraction </w:t>
      </w:r>
      <w:r>
        <w:rPr>
          <w:rFonts w:ascii="Cambria" w:cs="Cambria" w:eastAsia="Cambria" w:hAnsi="Cambria"/>
          <w:i/>
          <w:iCs/>
          <w:sz w:val="21"/>
          <w:szCs w:val="21"/>
        </w:rPr>
        <w:t xml:space="preserve">f</w:t>
      </w:r>
      <w:r>
        <w:rPr>
          <w:rFonts w:ascii="Cambria" w:cs="Cambria" w:eastAsia="Cambria" w:hAnsi="Cambria"/>
          <w:i/>
          <w:iCs/>
          <w:sz w:val="21"/>
          <w:szCs w:val="21"/>
          <w:vertAlign w:val="subscript"/>
        </w:rPr>
        <w:t xml:space="preserve">w</w:t>
      </w:r>
      <w:r>
        <w:rPr>
          <w:rFonts w:ascii="Calibri" w:cs="Calibri" w:eastAsia="Calibri" w:hAnsi="Calibri"/>
          <w:sz w:val="21"/>
          <w:szCs w:val="21"/>
        </w:rPr>
        <w:t xml:space="preserve">, fixed diffusivity ≈ 3 µm²/ms.</w:t>
      </w:r>
    </w:p>
    <w:p>
      <w:pPr>
        <w:spacing w:after="120" w:line="276"/>
        <w:jc w:val="both"/>
      </w:pPr>
      <w:r>
        <w:rPr>
          <w:rFonts w:ascii="Calibri" w:cs="Calibri" w:eastAsia="Calibri" w:hAnsi="Calibri"/>
          <w:sz w:val="21"/>
          <w:szCs w:val="21"/>
        </w:rPr>
        <w:t xml:space="preserve">The per-voxel signal is the convolution of a </w:t>
      </w:r>
      <w:r>
        <w:rPr>
          <w:rFonts w:ascii="Calibri" w:cs="Calibri" w:eastAsia="Calibri" w:hAnsi="Calibri"/>
          <w:i/>
          <w:iCs/>
          <w:sz w:val="21"/>
          <w:szCs w:val="21"/>
        </w:rPr>
        <w:t xml:space="preserve">fiber orientation distribution function</w:t>
      </w:r>
      <w:r>
        <w:rPr>
          <w:rFonts w:ascii="Calibri" w:cs="Calibri" w:eastAsia="Calibri" w:hAnsi="Calibri"/>
          <w:sz w:val="21"/>
          <w:szCs w:val="21"/>
        </w:rPr>
        <w:t xml:space="preserve"> (ODF, </w:t>
      </w:r>
      <w:r>
        <w:rPr>
          <w:rFonts w:ascii="Cambria" w:cs="Cambria" w:eastAsia="Cambria" w:hAnsi="Cambria"/>
          <w:i/>
          <w:iCs/>
          <w:sz w:val="21"/>
          <w:szCs w:val="21"/>
        </w:rPr>
        <w:t xml:space="preserve">ℙ(n̂)</w:t>
      </w:r>
      <w:r>
        <w:rPr>
          <w:rFonts w:ascii="Calibri" w:cs="Calibri" w:eastAsia="Calibri" w:hAnsi="Calibri"/>
          <w:sz w:val="21"/>
          <w:szCs w:val="21"/>
        </w:rPr>
        <w:t xml:space="preserve">) with a single-fiber “kernel” </w:t>
      </w:r>
      <w:r>
        <w:rPr>
          <w:rFonts w:ascii="Cambria" w:cs="Cambria" w:eastAsia="Cambria" w:hAnsi="Cambria"/>
          <w:i/>
          <w:iCs/>
          <w:sz w:val="21"/>
          <w:szCs w:val="21"/>
        </w:rPr>
        <w:t xml:space="preserve">K</w:t>
      </w:r>
      <w:r>
        <w:rPr>
          <w:rFonts w:ascii="Calibri" w:cs="Calibri" w:eastAsia="Calibri" w:hAnsi="Calibri"/>
          <w:sz w:val="21"/>
          <w:szCs w:val="21"/>
        </w:rPr>
        <w:t xml:space="preserve">. Writing </w:t>
      </w:r>
      <w:r>
        <w:rPr>
          <w:rFonts w:ascii="Cambria" w:cs="Cambria" w:eastAsia="Cambria" w:hAnsi="Cambria"/>
          <w:i/>
          <w:iCs/>
          <w:sz w:val="21"/>
          <w:szCs w:val="21"/>
        </w:rPr>
        <w:t xml:space="preserve">f</w:t>
      </w:r>
      <w:r>
        <w:rPr>
          <w:rFonts w:ascii="Calibri" w:cs="Calibri" w:eastAsia="Calibri" w:hAnsi="Calibri"/>
          <w:sz w:val="21"/>
          <w:szCs w:val="21"/>
        </w:rPr>
        <w:t xml:space="preserve"> for the intra-neurite signal fraction:</w:t>
      </w:r>
    </w:p>
    <w:p>
      <w:pPr>
        <w:spacing w:after="100" w:before="100"/>
        <w:jc w:val="center"/>
      </w:pPr>
      <w:r>
        <w:rPr>
          <w:rFonts w:ascii="Cambria" w:cs="Cambria" w:eastAsia="Cambria" w:hAnsi="Cambria"/>
          <w:sz w:val="22"/>
          <w:szCs w:val="22"/>
        </w:rPr>
        <w:t xml:space="preserve">S(b, ĝ) = </w:t>
      </w:r>
      <w:r>
        <w:rPr>
          <w:rFonts w:ascii="Cambria" w:cs="Cambria" w:eastAsia="Cambria" w:hAnsi="Cambria"/>
          <w:sz w:val="26"/>
          <w:szCs w:val="26"/>
        </w:rPr>
        <w:t xml:space="preserve">∫</w:t>
      </w:r>
      <w:r>
        <w:rPr>
          <w:rFonts w:ascii="Cambria" w:cs="Cambria" w:eastAsia="Cambria" w:hAnsi="Cambria"/>
          <w:i/>
          <w:iCs/>
          <w:sz w:val="22"/>
          <w:szCs w:val="22"/>
        </w:rPr>
        <w:t xml:space="preserve">ℙ(n̂) · K(b, ĝ·n̂; f, D</w:t>
      </w:r>
      <w:r>
        <w:rPr>
          <w:rFonts w:ascii="Cambria" w:cs="Cambria" w:eastAsia="Cambria" w:hAnsi="Cambria"/>
          <w:i/>
          <w:iCs/>
          <w:sz w:val="16"/>
          <w:szCs w:val="16"/>
          <w:vertAlign w:val="subscript"/>
        </w:rPr>
        <w:t xml:space="preserve">a</w:t>
      </w:r>
      <w:r>
        <w:rPr>
          <w:rFonts w:ascii="Cambria" w:cs="Cambria" w:eastAsia="Cambria" w:hAnsi="Cambria"/>
          <w:i/>
          <w:iCs/>
          <w:sz w:val="22"/>
          <w:szCs w:val="22"/>
        </w:rPr>
        <w:t xml:space="preserve">, D</w:t>
      </w:r>
      <w:r>
        <w:rPr>
          <w:rFonts w:ascii="Cambria" w:cs="Cambria" w:eastAsia="Cambria" w:hAnsi="Cambria"/>
          <w:i/>
          <w:iCs/>
          <w:sz w:val="16"/>
          <w:szCs w:val="16"/>
          <w:vertAlign w:val="subscript"/>
        </w:rPr>
        <w:t xml:space="preserve">e∥</w:t>
      </w:r>
      <w:r>
        <w:rPr>
          <w:rFonts w:ascii="Cambria" w:cs="Cambria" w:eastAsia="Cambria" w:hAnsi="Cambria"/>
          <w:i/>
          <w:iCs/>
          <w:sz w:val="22"/>
          <w:szCs w:val="22"/>
        </w:rPr>
        <w:t xml:space="preserve">, D</w:t>
      </w:r>
      <w:r>
        <w:rPr>
          <w:rFonts w:ascii="Cambria" w:cs="Cambria" w:eastAsia="Cambria" w:hAnsi="Cambria"/>
          <w:i/>
          <w:iCs/>
          <w:sz w:val="16"/>
          <w:szCs w:val="16"/>
          <w:vertAlign w:val="subscript"/>
        </w:rPr>
        <w:t xml:space="preserve">e⊥</w:t>
      </w:r>
      <w:r>
        <w:rPr>
          <w:rFonts w:ascii="Cambria" w:cs="Cambria" w:eastAsia="Cambria" w:hAnsi="Cambria"/>
          <w:i/>
          <w:iCs/>
          <w:sz w:val="22"/>
          <w:szCs w:val="22"/>
        </w:rPr>
        <w:t xml:space="preserve">) dn̂</w:t>
      </w:r>
      <w:r>
        <w:rPr>
          <w:rFonts w:ascii="Calibri" w:cs="Calibri" w:eastAsia="Calibri" w:hAnsi="Calibri"/>
          <w:sz w:val="20"/>
          <w:szCs w:val="20"/>
        </w:rPr>
        <w:t xml:space="preserve">          (1)</w:t>
      </w:r>
    </w:p>
    <w:p>
      <w:pPr>
        <w:spacing w:after="120" w:line="276"/>
        <w:jc w:val="both"/>
      </w:pPr>
      <w:r>
        <w:rPr>
          <w:rFonts w:ascii="Calibri" w:cs="Calibri" w:eastAsia="Calibri" w:hAnsi="Calibri"/>
          <w:sz w:val="21"/>
          <w:szCs w:val="21"/>
        </w:rPr>
        <w:t xml:space="preserve">The scalar kernel parameters </w:t>
      </w:r>
      <w:r>
        <w:rPr>
          <w:rFonts w:ascii="Cambria" w:cs="Cambria" w:eastAsia="Cambria" w:hAnsi="Cambria"/>
          <w:i/>
          <w:iCs/>
          <w:sz w:val="21"/>
          <w:szCs w:val="21"/>
        </w:rPr>
        <w:t xml:space="preserve">{ f, D</w:t>
      </w:r>
      <w:r>
        <w:rPr>
          <w:rFonts w:ascii="Cambria" w:cs="Cambria" w:eastAsia="Cambria" w:hAnsi="Cambria"/>
          <w:i/>
          <w:iCs/>
          <w:sz w:val="21"/>
          <w:szCs w:val="21"/>
          <w:vertAlign w:val="subscript"/>
        </w:rPr>
        <w:t xml:space="preserve">a</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w:t>
      </w:r>
      <w:r>
        <w:rPr>
          <w:rFonts w:ascii="Calibri" w:cs="Calibri" w:eastAsia="Calibri" w:hAnsi="Calibri"/>
          <w:sz w:val="21"/>
          <w:szCs w:val="21"/>
        </w:rPr>
        <w:t xml:space="preserve"> are the biophysical quantities of interest; the ODF carries the orientational (“mesoscopic”) information. Crucially, NODDI, WMTI, SMT, Ball-and-Racket, and NODDIDA are all </w:t>
      </w:r>
      <w:r>
        <w:rPr>
          <w:rFonts w:ascii="Calibri" w:cs="Calibri" w:eastAsia="Calibri" w:hAnsi="Calibri"/>
          <w:b/>
          <w:bCs/>
          <w:sz w:val="21"/>
          <w:szCs w:val="21"/>
        </w:rPr>
        <w:t xml:space="preserve">special cases or constrained fits</w:t>
      </w:r>
      <w:r>
        <w:rPr>
          <w:rFonts w:ascii="Calibri" w:cs="Calibri" w:eastAsia="Calibri" w:hAnsi="Calibri"/>
          <w:sz w:val="21"/>
          <w:szCs w:val="21"/>
        </w:rPr>
        <w:t xml:space="preserve"> of this same kernel </w:t>
      </w:r>
      <w:r>
        <w:rPr>
          <w:rFonts w:ascii="Calibri" w:cs="Calibri" w:eastAsia="Calibri" w:hAnsi="Calibri"/>
          <w:color w:val="2E74B5"/>
          <w:sz w:val="21"/>
          <w:szCs w:val="21"/>
        </w:rPr>
        <w:t xml:space="preserve">[5]</w:t>
      </w:r>
      <w:r>
        <w:rPr>
          <w:rFonts w:ascii="Calibri" w:cs="Calibri" w:eastAsia="Calibri" w:hAnsi="Calibri"/>
          <w:sz w:val="21"/>
          <w:szCs w:val="21"/>
        </w:rPr>
        <w:t xml:space="preserve">, </w:t>
      </w:r>
      <w:r>
        <w:rPr>
          <w:rFonts w:ascii="Calibri" w:cs="Calibri" w:eastAsia="Calibri" w:hAnsi="Calibri"/>
          <w:color w:val="2E74B5"/>
          <w:sz w:val="21"/>
          <w:szCs w:val="21"/>
        </w:rPr>
        <w:t xml:space="preserve">[6]</w:t>
      </w:r>
      <w:r>
        <w:rPr>
          <w:rFonts w:ascii="Calibri" w:cs="Calibri" w:eastAsia="Calibri" w:hAnsi="Calibri"/>
          <w:sz w:val="21"/>
          <w:szCs w:val="21"/>
        </w:rPr>
        <w:t xml:space="preserve">. They differ only in which parameters they fix and which ODF family they assume.</w:t>
      </w:r>
    </w:p>
    <w:p>
      <w:pPr>
        <w:pStyle w:val="Heading2"/>
        <w:spacing w:after="100" w:before="220"/>
      </w:pPr>
      <w:r>
        <w:rPr>
          <w:rFonts w:ascii="Cambria" w:cs="Cambria" w:eastAsia="Cambria" w:hAnsi="Cambria"/>
          <w:b/>
          <w:bCs/>
          <w:color w:val="2E74B5"/>
          <w:sz w:val="25"/>
          <w:szCs w:val="25"/>
        </w:rPr>
        <w:t xml:space="preserve">2.3 Rotational invariants: separating microstructure from orientation</w:t>
      </w:r>
    </w:p>
    <w:p>
      <w:pPr>
        <w:spacing w:after="120" w:line="276"/>
        <w:jc w:val="both"/>
      </w:pPr>
      <w:r>
        <w:rPr>
          <w:rFonts w:ascii="Calibri" w:cs="Calibri" w:eastAsia="Calibri" w:hAnsi="Calibri"/>
          <w:sz w:val="21"/>
          <w:szCs w:val="21"/>
        </w:rPr>
        <w:t xml:space="preserve">Because the ODF and the kernel enter Eq. (1) as a convolution, they can be separated on the sphere. Expanding both signal and ODF in spherical harmonics of even degree </w:t>
      </w:r>
      <w:r>
        <w:rPr>
          <w:rFonts w:ascii="Cambria" w:cs="Cambria" w:eastAsia="Cambria" w:hAnsi="Cambria"/>
          <w:i/>
          <w:iCs/>
          <w:sz w:val="21"/>
          <w:szCs w:val="21"/>
        </w:rPr>
        <w:t xml:space="preserve">ℓ = 0, 2, 4, …</w:t>
      </w:r>
      <w:r>
        <w:rPr>
          <w:rFonts w:ascii="Calibri" w:cs="Calibri" w:eastAsia="Calibri" w:hAnsi="Calibri"/>
          <w:sz w:val="21"/>
          <w:szCs w:val="21"/>
        </w:rPr>
        <w:t xml:space="preserve">, the convolution becomes a product per degree. Taking the </w:t>
      </w:r>
      <w:r>
        <w:rPr>
          <w:rFonts w:ascii="Calibri" w:cs="Calibri" w:eastAsia="Calibri" w:hAnsi="Calibri"/>
          <w:b/>
          <w:bCs/>
          <w:sz w:val="21"/>
          <w:szCs w:val="21"/>
        </w:rPr>
        <w:t xml:space="preserve">rotational invariants</w:t>
      </w:r>
      <w:r>
        <w:rPr>
          <w:rFonts w:ascii="Calibri" w:cs="Calibri" w:eastAsia="Calibri" w:hAnsi="Calibri"/>
          <w:sz w:val="21"/>
          <w:szCs w:val="21"/>
        </w:rPr>
        <w:t xml:space="preserve"> of each degree (the harmonic “power” </w:t>
      </w:r>
      <w:r>
        <w:rPr>
          <w:rFonts w:ascii="Cambria" w:cs="Cambria" w:eastAsia="Cambria" w:hAnsi="Cambria"/>
          <w:i/>
          <w:iCs/>
          <w:sz w:val="21"/>
          <w:szCs w:val="21"/>
        </w:rPr>
        <w:t xml:space="preserve">S</w:t>
      </w:r>
      <w:r>
        <w:rPr>
          <w:rFonts w:ascii="Cambria" w:cs="Cambria" w:eastAsia="Cambria" w:hAnsi="Cambria"/>
          <w:i/>
          <w:iCs/>
          <w:sz w:val="21"/>
          <w:szCs w:val="21"/>
          <w:vertAlign w:val="subscript"/>
        </w:rPr>
        <w:t xml:space="preserve">ℓ</w:t>
      </w:r>
      <w:r>
        <w:rPr>
          <w:rFonts w:ascii="Calibri" w:cs="Calibri" w:eastAsia="Calibri" w:hAnsi="Calibri"/>
          <w:sz w:val="21"/>
          <w:szCs w:val="21"/>
        </w:rPr>
        <w:t xml:space="preserve">) removes the orientation dependence while retaining all microstructural information </w:t>
      </w:r>
      <w:r>
        <w:rPr>
          <w:rFonts w:ascii="Calibri" w:cs="Calibri" w:eastAsia="Calibri" w:hAnsi="Calibri"/>
          <w:color w:val="2E74B5"/>
          <w:sz w:val="21"/>
          <w:szCs w:val="21"/>
        </w:rPr>
        <w:t xml:space="preserve">[6]</w:t>
      </w:r>
      <w:r>
        <w:rPr>
          <w:rFonts w:ascii="Calibri" w:cs="Calibri" w:eastAsia="Calibri" w:hAnsi="Calibri"/>
          <w:sz w:val="21"/>
          <w:szCs w:val="21"/>
        </w:rPr>
        <w:t xml:space="preserve">, </w:t>
      </w:r>
      <w:r>
        <w:rPr>
          <w:rFonts w:ascii="Calibri" w:cs="Calibri" w:eastAsia="Calibri" w:hAnsi="Calibri"/>
          <w:color w:val="2E74B5"/>
          <w:sz w:val="21"/>
          <w:szCs w:val="21"/>
        </w:rPr>
        <w:t xml:space="preserve">[7]</w:t>
      </w:r>
      <w:r>
        <w:rPr>
          <w:rFonts w:ascii="Calibri" w:cs="Calibri" w:eastAsia="Calibri" w:hAnsi="Calibri"/>
          <w:sz w:val="21"/>
          <w:szCs w:val="21"/>
        </w:rPr>
        <w:t xml:space="preserve">. This reduces the estimation of </w:t>
      </w:r>
      <w:r>
        <w:rPr>
          <w:rFonts w:ascii="Cambria" w:cs="Cambria" w:eastAsia="Cambria" w:hAnsi="Cambria"/>
          <w:i/>
          <w:iCs/>
          <w:sz w:val="21"/>
          <w:szCs w:val="21"/>
        </w:rPr>
        <w:t xml:space="preserve">{ f, D</w:t>
      </w:r>
      <w:r>
        <w:rPr>
          <w:rFonts w:ascii="Cambria" w:cs="Cambria" w:eastAsia="Cambria" w:hAnsi="Cambria"/>
          <w:i/>
          <w:iCs/>
          <w:sz w:val="21"/>
          <w:szCs w:val="21"/>
          <w:vertAlign w:val="subscript"/>
        </w:rPr>
        <w:t xml:space="preserve">a</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p</w:t>
      </w:r>
      <w:r>
        <w:rPr>
          <w:rFonts w:ascii="Cambria" w:cs="Cambria" w:eastAsia="Cambria" w:hAnsi="Cambria"/>
          <w:i/>
          <w:iCs/>
          <w:sz w:val="21"/>
          <w:szCs w:val="21"/>
          <w:vertAlign w:val="subscript"/>
        </w:rPr>
        <w:t xml:space="preserve">2</w:t>
      </w:r>
      <w:r>
        <w:rPr>
          <w:rFonts w:ascii="Cambria" w:cs="Cambria" w:eastAsia="Cambria" w:hAnsi="Cambria"/>
          <w:i/>
          <w:iCs/>
          <w:sz w:val="21"/>
          <w:szCs w:val="21"/>
        </w:rPr>
        <w:t xml:space="preserve"> }</w:t>
      </w:r>
      <w:r>
        <w:rPr>
          <w:rFonts w:ascii="Calibri" w:cs="Calibri" w:eastAsia="Calibri" w:hAnsi="Calibri"/>
          <w:sz w:val="21"/>
          <w:szCs w:val="21"/>
        </w:rPr>
        <w:t xml:space="preserve"> (kernel parameters plus ODF anisotropy </w:t>
      </w:r>
      <w:r>
        <w:rPr>
          <w:rFonts w:ascii="Cambria" w:cs="Cambria" w:eastAsia="Cambria" w:hAnsi="Cambria"/>
          <w:i/>
          <w:iCs/>
          <w:sz w:val="21"/>
          <w:szCs w:val="21"/>
        </w:rPr>
        <w:t xml:space="preserve">p</w:t>
      </w:r>
      <w:r>
        <w:rPr>
          <w:rFonts w:ascii="Cambria" w:cs="Cambria" w:eastAsia="Cambria" w:hAnsi="Cambria"/>
          <w:i/>
          <w:iCs/>
          <w:sz w:val="21"/>
          <w:szCs w:val="21"/>
          <w:vertAlign w:val="subscript"/>
        </w:rPr>
        <w:t xml:space="preserve">2</w:t>
      </w:r>
      <w:r>
        <w:rPr>
          <w:rFonts w:ascii="Calibri" w:cs="Calibri" w:eastAsia="Calibri" w:hAnsi="Calibri"/>
          <w:sz w:val="21"/>
          <w:szCs w:val="21"/>
        </w:rPr>
        <w:t xml:space="preserve">) to a low-dimensional problem in the invariants </w:t>
      </w:r>
      <w:r>
        <w:rPr>
          <w:rFonts w:ascii="Cambria" w:cs="Cambria" w:eastAsia="Cambria" w:hAnsi="Cambria"/>
          <w:i/>
          <w:iCs/>
          <w:sz w:val="21"/>
          <w:szCs w:val="21"/>
        </w:rPr>
        <w:t xml:space="preserve">S</w:t>
      </w:r>
      <w:r>
        <w:rPr>
          <w:rFonts w:ascii="Cambria" w:cs="Cambria" w:eastAsia="Cambria" w:hAnsi="Cambria"/>
          <w:i/>
          <w:iCs/>
          <w:sz w:val="21"/>
          <w:szCs w:val="21"/>
          <w:vertAlign w:val="subscript"/>
        </w:rPr>
        <w:t xml:space="preserve">0</w:t>
      </w:r>
      <w:r>
        <w:rPr>
          <w:rFonts w:ascii="Cambria" w:cs="Cambria" w:eastAsia="Cambria" w:hAnsi="Cambria"/>
          <w:i/>
          <w:iCs/>
          <w:sz w:val="21"/>
          <w:szCs w:val="21"/>
        </w:rPr>
        <w:t xml:space="preserve">, S</w:t>
      </w:r>
      <w:r>
        <w:rPr>
          <w:rFonts w:ascii="Cambria" w:cs="Cambria" w:eastAsia="Cambria" w:hAnsi="Cambria"/>
          <w:i/>
          <w:iCs/>
          <w:sz w:val="21"/>
          <w:szCs w:val="21"/>
          <w:vertAlign w:val="subscript"/>
        </w:rPr>
        <w:t xml:space="preserve">2</w:t>
      </w:r>
      <w:r>
        <w:rPr>
          <w:rFonts w:ascii="Cambria" w:cs="Cambria" w:eastAsia="Cambria" w:hAnsi="Cambria"/>
          <w:i/>
          <w:iCs/>
          <w:sz w:val="21"/>
          <w:szCs w:val="21"/>
        </w:rPr>
        <w:t xml:space="preserve">, S</w:t>
      </w:r>
      <w:r>
        <w:rPr>
          <w:rFonts w:ascii="Cambria" w:cs="Cambria" w:eastAsia="Cambria" w:hAnsi="Cambria"/>
          <w:i/>
          <w:iCs/>
          <w:sz w:val="21"/>
          <w:szCs w:val="21"/>
          <w:vertAlign w:val="subscript"/>
        </w:rPr>
        <w:t xml:space="preserve">4</w:t>
      </w:r>
      <w:r>
        <w:rPr>
          <w:rFonts w:ascii="Calibri" w:cs="Calibri" w:eastAsia="Calibri" w:hAnsi="Calibri"/>
          <w:sz w:val="21"/>
          <w:szCs w:val="21"/>
        </w:rPr>
        <w:t xml:space="preserve"> … </w:t>
      </w:r>
      <w:r>
        <w:rPr>
          <w:rFonts w:ascii="Calibri" w:cs="Calibri" w:eastAsia="Calibri" w:hAnsi="Calibri"/>
          <w:color w:val="2E74B5"/>
          <w:sz w:val="21"/>
          <w:szCs w:val="21"/>
        </w:rPr>
        <w:t xml:space="preserve">[6]</w:t>
      </w:r>
      <w:r>
        <w:rPr>
          <w:rFonts w:ascii="Calibri" w:cs="Calibri" w:eastAsia="Calibri" w:hAnsi="Calibri"/>
          <w:sz w:val="21"/>
          <w:szCs w:val="21"/>
        </w:rPr>
        <w:t xml:space="preserve">. The SMDI framework is built in this rotational-invariant space, because it is here that the degeneracy has been characterized analytically.</w:t>
      </w:r>
    </w:p>
    <w:p>
      <w:r>
        <w:br w:type="page"/>
      </w:r>
    </w:p>
    <w:p>
      <w:pPr>
        <w:pStyle w:val="Heading1"/>
        <w:spacing w:after="140" w:before="320"/>
      </w:pPr>
      <w:r>
        <w:rPr>
          <w:rFonts w:ascii="Cambria" w:cs="Cambria" w:eastAsia="Cambria" w:hAnsi="Cambria"/>
          <w:b/>
          <w:bCs/>
          <w:color w:val="1F4E79"/>
          <w:sz w:val="30"/>
          <w:szCs w:val="30"/>
        </w:rPr>
        <w:t xml:space="preserve">3. Knowledge Base: The Degeneracy Problem</w:t>
      </w:r>
    </w:p>
    <w:p>
      <w:pPr>
        <w:pStyle w:val="Heading2"/>
        <w:spacing w:after="100" w:before="220"/>
      </w:pPr>
      <w:r>
        <w:rPr>
          <w:rFonts w:ascii="Cambria" w:cs="Cambria" w:eastAsia="Cambria" w:hAnsi="Cambria"/>
          <w:b/>
          <w:bCs/>
          <w:color w:val="2E74B5"/>
          <w:sz w:val="25"/>
          <w:szCs w:val="25"/>
        </w:rPr>
        <w:t xml:space="preserve">3.1 The two-branch (bimodal) degeneracy</w:t>
      </w:r>
    </w:p>
    <w:p>
      <w:pPr>
        <w:spacing w:after="120" w:line="276"/>
        <w:jc w:val="both"/>
      </w:pPr>
      <w:r>
        <w:rPr>
          <w:rFonts w:ascii="Calibri" w:cs="Calibri" w:eastAsia="Calibri" w:hAnsi="Calibri"/>
          <w:sz w:val="21"/>
          <w:szCs w:val="21"/>
        </w:rPr>
        <w:t xml:space="preserve">Jelescu et al. (2016) first showed, for the NODDIDA model (the SM with a Watson ODF and no fixed parameters), that fitting to realistic multi-shell single-encoding data does not yield a unique solution: the likelihood landscape has </w:t>
      </w:r>
      <w:r>
        <w:rPr>
          <w:rFonts w:ascii="Calibri" w:cs="Calibri" w:eastAsia="Calibri" w:hAnsi="Calibri"/>
          <w:b/>
          <w:bCs/>
          <w:sz w:val="21"/>
          <w:szCs w:val="21"/>
        </w:rPr>
        <w:t xml:space="preserve">two distinct minima</w:t>
      </w:r>
      <w:r>
        <w:rPr>
          <w:rFonts w:ascii="Calibri" w:cs="Calibri" w:eastAsia="Calibri" w:hAnsi="Calibri"/>
          <w:sz w:val="21"/>
          <w:szCs w:val="21"/>
        </w:rPr>
        <w:t xml:space="preserve"> of nearly equal quality </w:t>
      </w:r>
      <w:r>
        <w:rPr>
          <w:rFonts w:ascii="Calibri" w:cs="Calibri" w:eastAsia="Calibri" w:hAnsi="Calibri"/>
          <w:color w:val="2E74B5"/>
          <w:sz w:val="21"/>
          <w:szCs w:val="21"/>
        </w:rPr>
        <w:t xml:space="preserve">[1]</w:t>
      </w:r>
      <w:r>
        <w:rPr>
          <w:rFonts w:ascii="Calibri" w:cs="Calibri" w:eastAsia="Calibri" w:hAnsi="Calibri"/>
          <w:sz w:val="21"/>
          <w:szCs w:val="21"/>
        </w:rPr>
        <w:t xml:space="preserve">. These correspond to two qualitatively different biophysical interpretations of the same voxel — broadly, a “D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&gt; D</w:t>
      </w:r>
      <w:r>
        <w:rPr>
          <w:rFonts w:ascii="Cambria" w:cs="Cambria" w:eastAsia="Cambria" w:hAnsi="Cambria"/>
          <w:i/>
          <w:iCs/>
          <w:sz w:val="21"/>
          <w:szCs w:val="21"/>
          <w:vertAlign w:val="subscript"/>
        </w:rPr>
        <w:t xml:space="preserve">e∥</w:t>
      </w:r>
      <w:r>
        <w:rPr>
          <w:rFonts w:ascii="Calibri" w:cs="Calibri" w:eastAsia="Calibri" w:hAnsi="Calibri"/>
          <w:sz w:val="21"/>
          <w:szCs w:val="21"/>
        </w:rPr>
        <w:t xml:space="preserve">” branch and a “D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&lt; D</w:t>
      </w:r>
      <w:r>
        <w:rPr>
          <w:rFonts w:ascii="Cambria" w:cs="Cambria" w:eastAsia="Cambria" w:hAnsi="Cambria"/>
          <w:i/>
          <w:iCs/>
          <w:sz w:val="21"/>
          <w:szCs w:val="21"/>
          <w:vertAlign w:val="subscript"/>
        </w:rPr>
        <w:t xml:space="preserve">e∥</w:t>
      </w:r>
      <w:r>
        <w:rPr>
          <w:rFonts w:ascii="Calibri" w:cs="Calibri" w:eastAsia="Calibri" w:hAnsi="Calibri"/>
          <w:sz w:val="21"/>
          <w:szCs w:val="21"/>
        </w:rPr>
        <w:t xml:space="preserve">” branch. The choice between them cannot be made from the data alone.</w:t>
      </w:r>
    </w:p>
    <w:p>
      <w:pPr>
        <w:spacing w:after="120" w:line="276"/>
        <w:jc w:val="both"/>
      </w:pPr>
      <w:r>
        <w:rPr>
          <w:rFonts w:ascii="Calibri" w:cs="Calibri" w:eastAsia="Calibri" w:hAnsi="Calibri"/>
          <w:sz w:val="21"/>
          <w:szCs w:val="21"/>
        </w:rPr>
        <w:t xml:space="preserve">Novikov et al. (2018) generalized this result analytically. Working in the rotational-invariant representation and expanding in powers of </w:t>
      </w:r>
      <w:r>
        <w:rPr>
          <w:rFonts w:ascii="Cambria" w:cs="Cambria" w:eastAsia="Cambria" w:hAnsi="Cambria"/>
          <w:i/>
          <w:iCs/>
          <w:sz w:val="21"/>
          <w:szCs w:val="21"/>
        </w:rPr>
        <w:t xml:space="preserve">b</w:t>
      </w:r>
      <w:r>
        <w:rPr>
          <w:rFonts w:ascii="Calibri" w:cs="Calibri" w:eastAsia="Calibri" w:hAnsi="Calibri"/>
          <w:sz w:val="21"/>
          <w:szCs w:val="21"/>
        </w:rPr>
        <w:t xml:space="preserve">, they proved that for an arbitrary ODF the single-encoding measurement up to the practically accessible order in </w:t>
      </w:r>
      <w:r>
        <w:rPr>
          <w:rFonts w:ascii="Cambria" w:cs="Cambria" w:eastAsia="Cambria" w:hAnsi="Cambria"/>
          <w:i/>
          <w:iCs/>
          <w:sz w:val="21"/>
          <w:szCs w:val="21"/>
        </w:rPr>
        <w:t xml:space="preserve">b</w:t>
      </w:r>
      <w:r>
        <w:rPr>
          <w:rFonts w:ascii="Calibri" w:cs="Calibri" w:eastAsia="Calibri" w:hAnsi="Calibri"/>
          <w:sz w:val="21"/>
          <w:szCs w:val="21"/>
        </w:rPr>
        <w:t xml:space="preserve"> leaves the kernel parameters on a </w:t>
      </w:r>
      <w:r>
        <w:rPr>
          <w:rFonts w:ascii="Calibri" w:cs="Calibri" w:eastAsia="Calibri" w:hAnsi="Calibri"/>
          <w:b/>
          <w:bCs/>
          <w:sz w:val="21"/>
          <w:szCs w:val="21"/>
        </w:rPr>
        <w:t xml:space="preserve">low-dimensional degenerate manifold</w:t>
      </w:r>
      <w:r>
        <w:rPr>
          <w:rFonts w:ascii="Calibri" w:cs="Calibri" w:eastAsia="Calibri" w:hAnsi="Calibri"/>
          <w:sz w:val="21"/>
          <w:szCs w:val="21"/>
        </w:rPr>
        <w:t xml:space="preserve"> — the discrete two-branch case is its most familiar manifestation </w:t>
      </w:r>
      <w:r>
        <w:rPr>
          <w:rFonts w:ascii="Calibri" w:cs="Calibri" w:eastAsia="Calibri" w:hAnsi="Calibri"/>
          <w:color w:val="2E74B5"/>
          <w:sz w:val="21"/>
          <w:szCs w:val="21"/>
        </w:rPr>
        <w:t xml:space="preserve">[6]</w:t>
      </w:r>
      <w:r>
        <w:rPr>
          <w:rFonts w:ascii="Calibri" w:cs="Calibri" w:eastAsia="Calibri" w:hAnsi="Calibri"/>
          <w:sz w:val="21"/>
          <w:szCs w:val="21"/>
        </w:rPr>
        <w:t xml:space="preserve">. The degeneracy is therefore not a numerical artifact of a particular optimizer or a noise accident; it is a structural property of the forward model at clinically achievable diffusion weightings.</w:t>
      </w:r>
    </w:p>
    <w:tbl>
      <w:tblPr>
        <w:tblW w:type="pct" w:w="100%"/>
        <w:tblBorders>
          <w:top w:val="single" w:color="2E74B5" w:sz="2"/>
          <w:left w:val="single" w:color="2E74B5" w:sz="12"/>
          <w:bottom w:val="single" w:color="2E74B5" w:sz="2"/>
          <w:right w:val="single" w:color="2E74B5" w:sz="2"/>
          <w:insideH w:val="none"/>
          <w:insideV w:val="none"/>
        </w:tblBorders>
      </w:tblPr>
      <w:tblGrid>
        <w:gridCol w:w="9360"/>
      </w:tblGrid>
      <w:tr>
        <w:tc>
          <w:tcPr>
            <w:tcW w:type="dxa" w:w="9360"/>
            <w:shd w:fill="DEEAF1" w:color="auto" w:val="clear"/>
            <w:tcMar>
              <w:top w:type="dxa" w:w="120"/>
              <w:left w:type="dxa" w:w="160"/>
              <w:bottom w:type="dxa" w:w="120"/>
              <w:right w:type="dxa" w:w="160"/>
            </w:tcMar>
          </w:tcPr>
          <w:p>
            <w:pPr>
              <w:spacing w:after="60"/>
            </w:pPr>
            <w:r>
              <w:rPr>
                <w:rFonts w:ascii="Calibri" w:cs="Calibri" w:eastAsia="Calibri" w:hAnsi="Calibri"/>
                <w:b/>
                <w:bCs/>
                <w:color w:val="1F4E79"/>
                <w:sz w:val="21"/>
                <w:szCs w:val="21"/>
              </w:rPr>
              <w:t xml:space="preserve">The core insight for SMDI</w:t>
            </w:r>
          </w:p>
          <w:p>
            <w:pPr>
              <w:spacing w:after="0" w:line="276"/>
              <w:jc w:val="both"/>
            </w:pPr>
            <w:r>
              <w:rPr>
                <w:rFonts w:ascii="Calibri" w:cs="Calibri" w:eastAsia="Calibri" w:hAnsi="Calibri"/>
                <w:sz w:val="21"/>
                <w:szCs w:val="21"/>
              </w:rPr>
              <w:t xml:space="preserve">The bifurcation is a property of </w:t>
            </w:r>
            <w:r>
              <w:rPr>
                <w:rFonts w:ascii="Calibri" w:cs="Calibri" w:eastAsia="Calibri" w:hAnsi="Calibri"/>
                <w:i/>
                <w:iCs/>
                <w:sz w:val="21"/>
                <w:szCs w:val="21"/>
              </w:rPr>
              <w:t xml:space="preserve">the measurement</w:t>
            </w:r>
            <w:r>
              <w:rPr>
                <w:rFonts w:ascii="Calibri" w:cs="Calibri" w:eastAsia="Calibri" w:hAnsi="Calibri"/>
                <w:sz w:val="21"/>
                <w:szCs w:val="21"/>
              </w:rPr>
              <w:t xml:space="preserve">, not of the tissue. Where the two branches are far apart, any single reported value of NDI / 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 f is an arbitrary choice between two equally-supported answers. Where the branches coalesce, the estimate is genuinely constrained by the data. </w:t>
            </w:r>
            <w:r>
              <w:rPr>
                <w:rFonts w:ascii="Calibri" w:cs="Calibri" w:eastAsia="Calibri" w:hAnsi="Calibri"/>
                <w:b/>
                <w:bCs/>
                <w:sz w:val="21"/>
                <w:szCs w:val="21"/>
              </w:rPr>
              <w:t xml:space="preserve">SMDI measures the distance between the branches.</w:t>
            </w:r>
          </w:p>
        </w:tc>
      </w:tr>
    </w:tbl>
    <w:p>
      <w:pPr>
        <w:pStyle w:val="Heading2"/>
        <w:spacing w:after="100" w:before="220"/>
      </w:pPr>
      <w:r>
        <w:rPr>
          <w:rFonts w:ascii="Cambria" w:cs="Cambria" w:eastAsia="Cambria" w:hAnsi="Cambria"/>
          <w:b/>
          <w:bCs/>
          <w:color w:val="2E74B5"/>
          <w:sz w:val="25"/>
          <w:szCs w:val="25"/>
        </w:rPr>
        <w:t xml:space="preserve">3.2 How current pipelines conceal it</w:t>
      </w:r>
    </w:p>
    <w:p>
      <w:pPr>
        <w:spacing w:after="120" w:line="276"/>
        <w:jc w:val="both"/>
      </w:pPr>
      <w:r>
        <w:rPr>
          <w:rFonts w:ascii="Calibri" w:cs="Calibri" w:eastAsia="Calibri" w:hAnsi="Calibri"/>
          <w:sz w:val="21"/>
          <w:szCs w:val="21"/>
        </w:rPr>
        <w:t xml:space="preserve">NODDI resolves the degeneracy by </w:t>
      </w:r>
      <w:r>
        <w:rPr>
          <w:rFonts w:ascii="Calibri" w:cs="Calibri" w:eastAsia="Calibri" w:hAnsi="Calibri"/>
          <w:i/>
          <w:iCs/>
          <w:sz w:val="21"/>
          <w:szCs w:val="21"/>
        </w:rPr>
        <w:t xml:space="preserve">fixing</w:t>
      </w:r>
      <w:r>
        <w:rPr>
          <w:rFonts w:ascii="Calibri" w:cs="Calibri" w:eastAsia="Calibri" w:hAnsi="Calibri"/>
          <w:sz w:val="21"/>
          <w:szCs w:val="21"/>
        </w:rPr>
        <w:t xml:space="preserve"> the intra-neurite axial diffusivity to 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 1.7 µm²/ms and tying the extra-neurite tortuosity to the neurite fraction </w:t>
      </w:r>
      <w:r>
        <w:rPr>
          <w:rFonts w:ascii="Calibri" w:cs="Calibri" w:eastAsia="Calibri" w:hAnsi="Calibri"/>
          <w:color w:val="2E74B5"/>
          <w:sz w:val="21"/>
          <w:szCs w:val="21"/>
        </w:rPr>
        <w:t xml:space="preserve">[4]</w:t>
      </w:r>
      <w:r>
        <w:rPr>
          <w:rFonts w:ascii="Calibri" w:cs="Calibri" w:eastAsia="Calibri" w:hAnsi="Calibri"/>
          <w:sz w:val="21"/>
          <w:szCs w:val="21"/>
        </w:rPr>
        <w:t xml:space="preserve">. This guarantees a unique solution but imposes assumptions that are known to be violated in development, aging, edema, and disease, biasing NDI and ODI in ways that vary spatially and with pathology </w:t>
      </w:r>
      <w:r>
        <w:rPr>
          <w:rFonts w:ascii="Calibri" w:cs="Calibri" w:eastAsia="Calibri" w:hAnsi="Calibri"/>
          <w:color w:val="2E74B5"/>
          <w:sz w:val="21"/>
          <w:szCs w:val="21"/>
        </w:rPr>
        <w:t xml:space="preserve">[2]</w:t>
      </w:r>
      <w:r>
        <w:rPr>
          <w:rFonts w:ascii="Calibri" w:cs="Calibri" w:eastAsia="Calibri" w:hAnsi="Calibri"/>
          <w:sz w:val="21"/>
          <w:szCs w:val="21"/>
        </w:rPr>
        <w:t xml:space="preserve">. SMT and WMTI make different fixed-parameter or high-order assumptions and therefore land on different points of the degenerate manifold. The practical consequence is that “neurite density” from two pipelines can disagree substantially in exactly the voxels where the degeneracy is strong — and nothing in the standard outputs flags where those voxels are.</w:t>
      </w:r>
    </w:p>
    <w:p>
      <w:pPr>
        <w:pStyle w:val="Heading2"/>
        <w:spacing w:after="100" w:before="220"/>
      </w:pPr>
      <w:r>
        <w:rPr>
          <w:rFonts w:ascii="Cambria" w:cs="Cambria" w:eastAsia="Cambria" w:hAnsi="Cambria"/>
          <w:b/>
          <w:bCs/>
          <w:color w:val="2E74B5"/>
          <w:sz w:val="25"/>
          <w:szCs w:val="25"/>
        </w:rPr>
        <w:t xml:space="preserve">3.3 How the degeneracy can be resolved (and why that matters here)</w:t>
      </w:r>
    </w:p>
    <w:p>
      <w:pPr>
        <w:spacing w:after="120" w:line="276"/>
        <w:jc w:val="both"/>
      </w:pPr>
      <w:r>
        <w:rPr>
          <w:rFonts w:ascii="Calibri" w:cs="Calibri" w:eastAsia="Calibri" w:hAnsi="Calibri"/>
          <w:sz w:val="21"/>
          <w:szCs w:val="21"/>
        </w:rPr>
        <w:t xml:space="preserve">Two lines of work show that the degeneracy is liftable with additional information, which is precisely what makes it </w:t>
      </w:r>
      <w:r>
        <w:rPr>
          <w:rFonts w:ascii="Calibri" w:cs="Calibri" w:eastAsia="Calibri" w:hAnsi="Calibri"/>
          <w:i/>
          <w:iCs/>
          <w:sz w:val="21"/>
          <w:szCs w:val="21"/>
        </w:rPr>
        <w:t xml:space="preserve">quantifiable</w:t>
      </w:r>
      <w:r>
        <w:rPr>
          <w:rFonts w:ascii="Calibri" w:cs="Calibri" w:eastAsia="Calibri" w:hAnsi="Calibri"/>
          <w:sz w:val="21"/>
          <w:szCs w:val="21"/>
        </w:rPr>
        <w:t xml:space="preserve"> as a reliability signal:</w:t>
      </w:r>
    </w:p>
    <w:p>
      <w:pPr>
        <w:pStyle w:val="ListParagraph"/>
        <w:numPr>
          <w:ilvl w:val="0"/>
          <w:numId w:val="2"/>
        </w:numPr>
        <w:spacing w:after="70" w:line="268"/>
      </w:pPr>
      <w:r>
        <w:rPr>
          <w:rFonts w:ascii="Calibri" w:cs="Calibri" w:eastAsia="Calibri" w:hAnsi="Calibri"/>
          <w:b/>
          <w:bCs/>
          <w:sz w:val="21"/>
          <w:szCs w:val="21"/>
        </w:rPr>
        <w:t xml:space="preserve">Double diffusion encoding (DDE).</w:t>
      </w:r>
      <w:r>
        <w:rPr>
          <w:rFonts w:ascii="Calibri" w:cs="Calibri" w:eastAsia="Calibri" w:hAnsi="Calibri"/>
          <w:sz w:val="21"/>
          <w:szCs w:val="21"/>
        </w:rPr>
        <w:t xml:space="preserve"> Coelho et al. (2019) proved that adding DDE measurements resolves the two-branch degeneracy for a Watson ODF and, later, for arbitrary ODFs </w:t>
      </w:r>
      <w:r>
        <w:rPr>
          <w:rFonts w:ascii="Calibri" w:cs="Calibri" w:eastAsia="Calibri" w:hAnsi="Calibri"/>
          <w:color w:val="2E74B5"/>
          <w:sz w:val="21"/>
          <w:szCs w:val="21"/>
        </w:rPr>
        <w:t xml:space="preserve">[3]</w:t>
      </w:r>
      <w:r>
        <w:rPr>
          <w:rFonts w:ascii="Calibri" w:cs="Calibri" w:eastAsia="Calibri" w:hAnsi="Calibri"/>
          <w:sz w:val="21"/>
          <w:szCs w:val="21"/>
        </w:rPr>
        <w:t xml:space="preserve">. Independently, Reisert et al. (2019) derived a unique analytical solution of the SM using combined linear and planar tensor encoding </w:t>
      </w:r>
      <w:r>
        <w:rPr>
          <w:rFonts w:ascii="Calibri" w:cs="Calibri" w:eastAsia="Calibri" w:hAnsi="Calibri"/>
          <w:color w:val="2E74B5"/>
          <w:sz w:val="21"/>
          <w:szCs w:val="21"/>
        </w:rPr>
        <w:t xml:space="preserve">[8]</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b-tensor / multidimensional encoding.</w:t>
      </w:r>
      <w:r>
        <w:rPr>
          <w:rFonts w:ascii="Calibri" w:cs="Calibri" w:eastAsia="Calibri" w:hAnsi="Calibri"/>
          <w:sz w:val="21"/>
          <w:szCs w:val="21"/>
        </w:rPr>
        <w:t xml:space="preserve"> Varying the shape of the b-tensor (linear, planar, spherical) breaks the symmetry that produces the branches, at the cost of non-standard acquisition </w:t>
      </w:r>
      <w:r>
        <w:rPr>
          <w:rFonts w:ascii="Calibri" w:cs="Calibri" w:eastAsia="Calibri" w:hAnsi="Calibri"/>
          <w:color w:val="2E74B5"/>
          <w:sz w:val="21"/>
          <w:szCs w:val="21"/>
        </w:rPr>
        <w:t xml:space="preserve">[8]</w:t>
      </w:r>
      <w:r>
        <w:rPr>
          <w:rFonts w:ascii="Calibri" w:cs="Calibri" w:eastAsia="Calibri" w:hAnsi="Calibri"/>
          <w:sz w:val="21"/>
          <w:szCs w:val="21"/>
        </w:rPr>
        <w:t xml:space="preserve">.</w:t>
      </w:r>
    </w:p>
    <w:p>
      <w:pPr>
        <w:spacing w:after="120" w:line="276"/>
        <w:jc w:val="both"/>
      </w:pPr>
      <w:r>
        <w:rPr>
          <w:rFonts w:ascii="Calibri" w:cs="Calibri" w:eastAsia="Calibri" w:hAnsi="Calibri"/>
          <w:sz w:val="21"/>
          <w:szCs w:val="21"/>
        </w:rPr>
        <w:t xml:space="preserve">ABCD and most large 3 T repositories use </w:t>
      </w:r>
      <w:r>
        <w:rPr>
          <w:rFonts w:ascii="Calibri" w:cs="Calibri" w:eastAsia="Calibri" w:hAnsi="Calibri"/>
          <w:b/>
          <w:bCs/>
          <w:sz w:val="21"/>
          <w:szCs w:val="21"/>
        </w:rPr>
        <w:t xml:space="preserve">only linear encoding</w:t>
      </w:r>
      <w:r>
        <w:rPr>
          <w:rFonts w:ascii="Calibri" w:cs="Calibri" w:eastAsia="Calibri" w:hAnsi="Calibri"/>
          <w:sz w:val="21"/>
          <w:szCs w:val="21"/>
        </w:rPr>
        <w:t xml:space="preserve">, so the degeneracy cannot be resolved retrospectively in those data. This is the central design constraint of the present work: because the data cannot break the degeneracy, the responsible course is to </w:t>
      </w:r>
      <w:r>
        <w:rPr>
          <w:rFonts w:ascii="Calibri" w:cs="Calibri" w:eastAsia="Calibri" w:hAnsi="Calibri"/>
          <w:b/>
          <w:bCs/>
          <w:sz w:val="21"/>
          <w:szCs w:val="21"/>
        </w:rPr>
        <w:t xml:space="preserve">measure and report it</w:t>
      </w:r>
      <w:r>
        <w:rPr>
          <w:rFonts w:ascii="Calibri" w:cs="Calibri" w:eastAsia="Calibri" w:hAnsi="Calibri"/>
          <w:sz w:val="21"/>
          <w:szCs w:val="21"/>
        </w:rPr>
        <w:t xml:space="preserve"> rather than to hide it behind a fixed-parameter fit. SMDI is that measurement.</w:t>
      </w:r>
    </w:p>
    <w:p>
      <w:r>
        <w:br w:type="page"/>
      </w:r>
    </w:p>
    <w:p>
      <w:pPr>
        <w:pStyle w:val="Heading1"/>
        <w:spacing w:after="140" w:before="320"/>
      </w:pPr>
      <w:r>
        <w:rPr>
          <w:rFonts w:ascii="Cambria" w:cs="Cambria" w:eastAsia="Cambria" w:hAnsi="Cambria"/>
          <w:b/>
          <w:bCs/>
          <w:color w:val="1F4E79"/>
          <w:sz w:val="30"/>
          <w:szCs w:val="30"/>
        </w:rPr>
        <w:t xml:space="preserve">4. Theoretical Framework for SMDI</w:t>
      </w:r>
    </w:p>
    <w:p>
      <w:pPr>
        <w:pStyle w:val="Heading2"/>
        <w:spacing w:after="100" w:before="220"/>
      </w:pPr>
      <w:r>
        <w:rPr>
          <w:rFonts w:ascii="Cambria" w:cs="Cambria" w:eastAsia="Cambria" w:hAnsi="Cambria"/>
          <w:b/>
          <w:bCs/>
          <w:color w:val="2E74B5"/>
          <w:sz w:val="25"/>
          <w:szCs w:val="25"/>
        </w:rPr>
        <w:t xml:space="preserve">4.1 Estimand: what SMDI is meant to measure</w:t>
      </w:r>
    </w:p>
    <w:p>
      <w:pPr>
        <w:spacing w:after="120" w:line="276"/>
        <w:jc w:val="both"/>
      </w:pPr>
      <w:r>
        <w:rPr>
          <w:rFonts w:ascii="Calibri" w:cs="Calibri" w:eastAsia="Calibri" w:hAnsi="Calibri"/>
          <w:sz w:val="21"/>
          <w:szCs w:val="21"/>
        </w:rPr>
        <w:t xml:space="preserve">Let </w:t>
      </w:r>
      <w:r>
        <w:rPr>
          <w:rFonts w:ascii="Cambria" w:cs="Cambria" w:eastAsia="Cambria" w:hAnsi="Cambria"/>
          <w:i/>
          <w:iCs/>
          <w:sz w:val="21"/>
          <w:szCs w:val="21"/>
        </w:rPr>
        <w:t xml:space="preserve">θ = (f, D</w:t>
      </w:r>
      <w:r>
        <w:rPr>
          <w:rFonts w:ascii="Cambria" w:cs="Cambria" w:eastAsia="Cambria" w:hAnsi="Cambria"/>
          <w:i/>
          <w:iCs/>
          <w:sz w:val="21"/>
          <w:szCs w:val="21"/>
          <w:vertAlign w:val="subscript"/>
        </w:rPr>
        <w:t xml:space="preserve">a</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D</w:t>
      </w:r>
      <w:r>
        <w:rPr>
          <w:rFonts w:ascii="Cambria" w:cs="Cambria" w:eastAsia="Cambria" w:hAnsi="Cambria"/>
          <w:i/>
          <w:iCs/>
          <w:sz w:val="21"/>
          <w:szCs w:val="21"/>
          <w:vertAlign w:val="subscript"/>
        </w:rPr>
        <w:t xml:space="preserve">e⊥</w:t>
      </w:r>
      <w:r>
        <w:rPr>
          <w:rFonts w:ascii="Cambria" w:cs="Cambria" w:eastAsia="Cambria" w:hAnsi="Cambria"/>
          <w:i/>
          <w:iCs/>
          <w:sz w:val="21"/>
          <w:szCs w:val="21"/>
        </w:rPr>
        <w:t xml:space="preserve">, p</w:t>
      </w:r>
      <w:r>
        <w:rPr>
          <w:rFonts w:ascii="Cambria" w:cs="Cambria" w:eastAsia="Cambria" w:hAnsi="Cambria"/>
          <w:i/>
          <w:iCs/>
          <w:sz w:val="21"/>
          <w:szCs w:val="21"/>
          <w:vertAlign w:val="subscript"/>
        </w:rPr>
        <w:t xml:space="preserve">2</w:t>
      </w:r>
      <w:r>
        <w:rPr>
          <w:rFonts w:ascii="Cambria" w:cs="Cambria" w:eastAsia="Cambria" w:hAnsi="Cambria"/>
          <w:i/>
          <w:iCs/>
          <w:sz w:val="21"/>
          <w:szCs w:val="21"/>
        </w:rPr>
        <w:t xml:space="preserve">)</w:t>
      </w:r>
      <w:r>
        <w:rPr>
          <w:rFonts w:ascii="Calibri" w:cs="Calibri" w:eastAsia="Calibri" w:hAnsi="Calibri"/>
          <w:sz w:val="21"/>
          <w:szCs w:val="21"/>
        </w:rPr>
        <w:t xml:space="preserve"> denote the Standard-Model parameter vector in a voxel, and let </w:t>
      </w:r>
      <w:r>
        <w:rPr>
          <w:rFonts w:ascii="Cambria" w:cs="Cambria" w:eastAsia="Cambria" w:hAnsi="Cambria"/>
          <w:i/>
          <w:iCs/>
          <w:sz w:val="21"/>
          <w:szCs w:val="21"/>
        </w:rPr>
        <w:t xml:space="preserve">R = (S</w:t>
      </w:r>
      <w:r>
        <w:rPr>
          <w:rFonts w:ascii="Cambria" w:cs="Cambria" w:eastAsia="Cambria" w:hAnsi="Cambria"/>
          <w:i/>
          <w:iCs/>
          <w:sz w:val="21"/>
          <w:szCs w:val="21"/>
          <w:vertAlign w:val="subscript"/>
        </w:rPr>
        <w:t xml:space="preserve">0</w:t>
      </w:r>
      <w:r>
        <w:rPr>
          <w:rFonts w:ascii="Cambria" w:cs="Cambria" w:eastAsia="Cambria" w:hAnsi="Cambria"/>
          <w:i/>
          <w:iCs/>
          <w:sz w:val="21"/>
          <w:szCs w:val="21"/>
        </w:rPr>
        <w:t xml:space="preserve">, S</w:t>
      </w:r>
      <w:r>
        <w:rPr>
          <w:rFonts w:ascii="Cambria" w:cs="Cambria" w:eastAsia="Cambria" w:hAnsi="Cambria"/>
          <w:i/>
          <w:iCs/>
          <w:sz w:val="21"/>
          <w:szCs w:val="21"/>
          <w:vertAlign w:val="subscript"/>
        </w:rPr>
        <w:t xml:space="preserve">2</w:t>
      </w:r>
      <w:r>
        <w:rPr>
          <w:rFonts w:ascii="Cambria" w:cs="Cambria" w:eastAsia="Cambria" w:hAnsi="Cambria"/>
          <w:i/>
          <w:iCs/>
          <w:sz w:val="21"/>
          <w:szCs w:val="21"/>
        </w:rPr>
        <w:t xml:space="preserve">, S</w:t>
      </w:r>
      <w:r>
        <w:rPr>
          <w:rFonts w:ascii="Cambria" w:cs="Cambria" w:eastAsia="Cambria" w:hAnsi="Cambria"/>
          <w:i/>
          <w:iCs/>
          <w:sz w:val="21"/>
          <w:szCs w:val="21"/>
          <w:vertAlign w:val="subscript"/>
        </w:rPr>
        <w:t xml:space="preserve">4</w:t>
      </w:r>
      <w:r>
        <w:rPr>
          <w:rFonts w:ascii="Cambria" w:cs="Cambria" w:eastAsia="Cambria" w:hAnsi="Cambria"/>
          <w:i/>
          <w:iCs/>
          <w:sz w:val="21"/>
          <w:szCs w:val="21"/>
        </w:rPr>
        <w:t xml:space="preserve">, …)</w:t>
      </w:r>
      <w:r>
        <w:rPr>
          <w:rFonts w:ascii="Calibri" w:cs="Calibri" w:eastAsia="Calibri" w:hAnsi="Calibri"/>
          <w:sz w:val="21"/>
          <w:szCs w:val="21"/>
        </w:rPr>
        <w:t xml:space="preserve"> be the vector of measured rotational invariants with noise covariance </w:t>
      </w:r>
      <w:r>
        <w:rPr>
          <w:rFonts w:ascii="Cambria" w:cs="Cambria" w:eastAsia="Cambria" w:hAnsi="Cambria"/>
          <w:i/>
          <w:iCs/>
          <w:sz w:val="21"/>
          <w:szCs w:val="21"/>
        </w:rPr>
        <w:t xml:space="preserve">Σ</w:t>
      </w:r>
      <w:r>
        <w:rPr>
          <w:rFonts w:ascii="Calibri" w:cs="Calibri" w:eastAsia="Calibri" w:hAnsi="Calibri"/>
          <w:sz w:val="21"/>
          <w:szCs w:val="21"/>
        </w:rPr>
        <w:t xml:space="preserve">. The forward model </w:t>
      </w:r>
      <w:r>
        <w:rPr>
          <w:rFonts w:ascii="Cambria" w:cs="Cambria" w:eastAsia="Cambria" w:hAnsi="Cambria"/>
          <w:i/>
          <w:iCs/>
          <w:sz w:val="21"/>
          <w:szCs w:val="21"/>
        </w:rPr>
        <w:t xml:space="preserve">R = M(θ)</w:t>
      </w:r>
      <w:r>
        <w:rPr>
          <w:rFonts w:ascii="Calibri" w:cs="Calibri" w:eastAsia="Calibri" w:hAnsi="Calibri"/>
          <w:sz w:val="21"/>
          <w:szCs w:val="21"/>
        </w:rPr>
        <w:t xml:space="preserve"> is the SM map into invariant space. The degeneracy is the statement that the pre-image </w:t>
      </w:r>
      <w:r>
        <w:rPr>
          <w:rFonts w:ascii="Cambria" w:cs="Cambria" w:eastAsia="Cambria" w:hAnsi="Cambria"/>
          <w:i/>
          <w:iCs/>
          <w:sz w:val="21"/>
          <w:szCs w:val="21"/>
        </w:rPr>
        <w:t xml:space="preserve">M</w:t>
      </w:r>
      <w:r>
        <w:rPr>
          <w:rFonts w:ascii="Cambria" w:cs="Cambria" w:eastAsia="Cambria" w:hAnsi="Cambria"/>
          <w:i/>
          <w:iCs/>
          <w:sz w:val="21"/>
          <w:szCs w:val="21"/>
        </w:rPr>
        <w:t xml:space="preserve">⁻¹(R)</w:t>
      </w:r>
      <w:r>
        <w:rPr>
          <w:rFonts w:ascii="Calibri" w:cs="Calibri" w:eastAsia="Calibri" w:hAnsi="Calibri"/>
          <w:sz w:val="21"/>
          <w:szCs w:val="21"/>
        </w:rPr>
        <w:t xml:space="preserve"> is effectively multivalued: there exist distinct </w:t>
      </w:r>
      <w:r>
        <w:rPr>
          <w:rFonts w:ascii="Cambria" w:cs="Cambria" w:eastAsia="Cambria" w:hAnsi="Cambria"/>
          <w:i/>
          <w:iCs/>
          <w:sz w:val="21"/>
          <w:szCs w:val="21"/>
        </w:rPr>
        <w:t xml:space="preserve">θ</w:t>
      </w:r>
      <w:r>
        <w:rPr>
          <w:rFonts w:ascii="Cambria" w:cs="Cambria" w:eastAsia="Cambria" w:hAnsi="Cambria"/>
          <w:sz w:val="21"/>
          <w:szCs w:val="21"/>
        </w:rPr>
        <w:t xml:space="preserve">⁽¹⁾</w:t>
      </w:r>
      <w:r>
        <w:rPr>
          <w:rFonts w:ascii="Calibri" w:cs="Calibri" w:eastAsia="Calibri" w:hAnsi="Calibri"/>
          <w:sz w:val="21"/>
          <w:szCs w:val="21"/>
        </w:rPr>
        <w:t xml:space="preserve"> and </w:t>
      </w:r>
      <w:r>
        <w:rPr>
          <w:rFonts w:ascii="Cambria" w:cs="Cambria" w:eastAsia="Cambria" w:hAnsi="Cambria"/>
          <w:i/>
          <w:iCs/>
          <w:sz w:val="21"/>
          <w:szCs w:val="21"/>
        </w:rPr>
        <w:t xml:space="preserve">θ</w:t>
      </w:r>
      <w:r>
        <w:rPr>
          <w:rFonts w:ascii="Cambria" w:cs="Cambria" w:eastAsia="Cambria" w:hAnsi="Cambria"/>
          <w:sz w:val="21"/>
          <w:szCs w:val="21"/>
        </w:rPr>
        <w:t xml:space="preserve">⁽²⁾</w:t>
      </w:r>
      <w:r>
        <w:rPr>
          <w:rFonts w:ascii="Calibri" w:cs="Calibri" w:eastAsia="Calibri" w:hAnsi="Calibri"/>
          <w:sz w:val="21"/>
          <w:szCs w:val="21"/>
        </w:rPr>
        <w:t xml:space="preserve"> (the two branches) with </w:t>
      </w:r>
      <w:r>
        <w:rPr>
          <w:rFonts w:ascii="Cambria" w:cs="Cambria" w:eastAsia="Cambria" w:hAnsi="Cambria"/>
          <w:i/>
          <w:iCs/>
          <w:sz w:val="21"/>
          <w:szCs w:val="21"/>
        </w:rPr>
        <w:t xml:space="preserve">M(θ</w:t>
      </w:r>
      <w:r>
        <w:rPr>
          <w:rFonts w:ascii="Cambria" w:cs="Cambria" w:eastAsia="Cambria" w:hAnsi="Cambria"/>
          <w:sz w:val="21"/>
          <w:szCs w:val="21"/>
        </w:rPr>
        <w:t xml:space="preserve">⁽¹⁾</w:t>
      </w:r>
      <w:r>
        <w:rPr>
          <w:rFonts w:ascii="Cambria" w:cs="Cambria" w:eastAsia="Cambria" w:hAnsi="Cambria"/>
          <w:i/>
          <w:iCs/>
          <w:sz w:val="21"/>
          <w:szCs w:val="21"/>
        </w:rPr>
        <w:t xml:space="preserve">) ≈ M(θ</w:t>
      </w:r>
      <w:r>
        <w:rPr>
          <w:rFonts w:ascii="Cambria" w:cs="Cambria" w:eastAsia="Cambria" w:hAnsi="Cambria"/>
          <w:sz w:val="21"/>
          <w:szCs w:val="21"/>
        </w:rPr>
        <w:t xml:space="preserve">⁽²⁾</w:t>
      </w:r>
      <w:r>
        <w:rPr>
          <w:rFonts w:ascii="Cambria" w:cs="Cambria" w:eastAsia="Cambria" w:hAnsi="Cambria"/>
          <w:i/>
          <w:iCs/>
          <w:sz w:val="21"/>
          <w:szCs w:val="21"/>
        </w:rPr>
        <w:t xml:space="preserve">) ≈ R</w:t>
      </w:r>
      <w:r>
        <w:rPr>
          <w:rFonts w:ascii="Calibri" w:cs="Calibri" w:eastAsia="Calibri" w:hAnsi="Calibri"/>
          <w:sz w:val="21"/>
          <w:szCs w:val="21"/>
        </w:rPr>
        <w:t xml:space="preserve">.</w:t>
      </w:r>
    </w:p>
    <w:p>
      <w:pPr>
        <w:spacing w:after="120" w:line="276"/>
        <w:jc w:val="both"/>
      </w:pPr>
      <w:r>
        <w:rPr>
          <w:rFonts w:ascii="Calibri" w:cs="Calibri" w:eastAsia="Calibri" w:hAnsi="Calibri"/>
          <w:sz w:val="21"/>
          <w:szCs w:val="21"/>
        </w:rPr>
        <w:t xml:space="preserve">SMDI is defined as the </w:t>
      </w:r>
      <w:r>
        <w:rPr>
          <w:rFonts w:ascii="Calibri" w:cs="Calibri" w:eastAsia="Calibri" w:hAnsi="Calibri"/>
          <w:b/>
          <w:bCs/>
          <w:sz w:val="21"/>
          <w:szCs w:val="21"/>
        </w:rPr>
        <w:t xml:space="preserve">data-normalized separation between the branches</w:t>
      </w:r>
      <w:r>
        <w:rPr>
          <w:rFonts w:ascii="Calibri" w:cs="Calibri" w:eastAsia="Calibri" w:hAnsi="Calibri"/>
          <w:sz w:val="21"/>
          <w:szCs w:val="21"/>
        </w:rPr>
        <w:t xml:space="preserve"> — i.e. how distinguishable the competing solutions are relative to measurement noise. Intuitively, if the two branches predict signals that differ by less than the noise, they are indistinguishable and the voxel is degenerate; if their predicted signals differ by many noise standard deviations, the data can in principle select between them.</w:t>
      </w:r>
    </w:p>
    <w:p>
      <w:pPr>
        <w:pStyle w:val="Heading2"/>
        <w:spacing w:after="100" w:before="220"/>
      </w:pPr>
      <w:r>
        <w:rPr>
          <w:rFonts w:ascii="Cambria" w:cs="Cambria" w:eastAsia="Cambria" w:hAnsi="Cambria"/>
          <w:b/>
          <w:bCs/>
          <w:color w:val="2E74B5"/>
          <w:sz w:val="25"/>
          <w:szCs w:val="25"/>
        </w:rPr>
        <w:t xml:space="preserve">4.2 Definition 1 — branch-separation SMDI (primary)</w:t>
      </w:r>
    </w:p>
    <w:p>
      <w:pPr>
        <w:spacing w:after="120" w:line="276"/>
        <w:jc w:val="both"/>
      </w:pPr>
      <w:r>
        <w:rPr>
          <w:rFonts w:ascii="Calibri" w:cs="Calibri" w:eastAsia="Calibri" w:hAnsi="Calibri"/>
          <w:sz w:val="21"/>
          <w:szCs w:val="21"/>
        </w:rPr>
        <w:t xml:space="preserve">Recover both branches </w:t>
      </w:r>
      <w:r>
        <w:rPr>
          <w:rFonts w:ascii="Cambria" w:cs="Cambria" w:eastAsia="Cambria" w:hAnsi="Cambria"/>
          <w:i/>
          <w:iCs/>
          <w:sz w:val="21"/>
          <w:szCs w:val="21"/>
        </w:rPr>
        <w:t xml:space="preserve">θ</w:t>
      </w:r>
      <w:r>
        <w:rPr>
          <w:rFonts w:ascii="Cambria" w:cs="Cambria" w:eastAsia="Cambria" w:hAnsi="Cambria"/>
          <w:sz w:val="21"/>
          <w:szCs w:val="21"/>
        </w:rPr>
        <w:t xml:space="preserve">⁽¹⁾</w:t>
      </w:r>
      <w:r>
        <w:rPr>
          <w:rFonts w:ascii="Cambria" w:cs="Cambria" w:eastAsia="Cambria" w:hAnsi="Cambria"/>
          <w:i/>
          <w:iCs/>
          <w:sz w:val="21"/>
          <w:szCs w:val="21"/>
        </w:rPr>
        <w:t xml:space="preserve">, θ</w:t>
      </w:r>
      <w:r>
        <w:rPr>
          <w:rFonts w:ascii="Cambria" w:cs="Cambria" w:eastAsia="Cambria" w:hAnsi="Cambria"/>
          <w:sz w:val="21"/>
          <w:szCs w:val="21"/>
        </w:rPr>
        <w:t xml:space="preserve">⁽²⁾</w:t>
      </w:r>
      <w:r>
        <w:rPr>
          <w:rFonts w:ascii="Calibri" w:cs="Calibri" w:eastAsia="Calibri" w:hAnsi="Calibri"/>
          <w:sz w:val="21"/>
          <w:szCs w:val="21"/>
        </w:rPr>
        <w:t xml:space="preserve"> (Section 5). Define the Mahalanobis separation of their predicted invariants:</w:t>
      </w:r>
    </w:p>
    <w:p>
      <w:pPr>
        <w:spacing w:after="100" w:before="100"/>
        <w:jc w:val="center"/>
      </w:pPr>
      <w:r>
        <w:rPr>
          <w:rFonts w:ascii="Cambria" w:cs="Cambria" w:eastAsia="Cambria" w:hAnsi="Cambria"/>
          <w:i/>
          <w:iCs/>
          <w:sz w:val="22"/>
          <w:szCs w:val="22"/>
        </w:rPr>
        <w:t xml:space="preserve">Δ</w:t>
      </w:r>
      <w:r>
        <w:rPr>
          <w:rFonts w:ascii="Cambria" w:cs="Cambria" w:eastAsia="Cambria" w:hAnsi="Cambria"/>
          <w:i/>
          <w:iCs/>
          <w:sz w:val="16"/>
          <w:szCs w:val="16"/>
          <w:vertAlign w:val="subscript"/>
        </w:rPr>
        <w:t xml:space="preserve">R</w:t>
      </w:r>
      <w:r>
        <w:rPr>
          <w:rFonts w:ascii="Cambria" w:cs="Cambria" w:eastAsia="Cambria" w:hAnsi="Cambria"/>
          <w:i/>
          <w:iCs/>
          <w:sz w:val="22"/>
          <w:szCs w:val="22"/>
        </w:rPr>
        <w:t xml:space="preserve"> = [ (M(θ</w:t>
      </w:r>
      <w:r>
        <w:rPr>
          <w:rFonts w:ascii="Cambria" w:cs="Cambria" w:eastAsia="Cambria" w:hAnsi="Cambria"/>
          <w:sz w:val="16"/>
          <w:szCs w:val="16"/>
        </w:rPr>
        <w:t xml:space="preserve">⁽¹⁾</w:t>
      </w:r>
      <w:r>
        <w:rPr>
          <w:rFonts w:ascii="Cambria" w:cs="Cambria" w:eastAsia="Cambria" w:hAnsi="Cambria"/>
          <w:i/>
          <w:iCs/>
          <w:sz w:val="22"/>
          <w:szCs w:val="22"/>
        </w:rPr>
        <w:t xml:space="preserve">) − M(θ</w:t>
      </w:r>
      <w:r>
        <w:rPr>
          <w:rFonts w:ascii="Cambria" w:cs="Cambria" w:eastAsia="Cambria" w:hAnsi="Cambria"/>
          <w:sz w:val="16"/>
          <w:szCs w:val="16"/>
        </w:rPr>
        <w:t xml:space="preserve">⁽²⁾</w:t>
      </w:r>
      <w:r>
        <w:rPr>
          <w:rFonts w:ascii="Cambria" w:cs="Cambria" w:eastAsia="Cambria" w:hAnsi="Cambria"/>
          <w:i/>
          <w:iCs/>
          <w:sz w:val="22"/>
          <w:szCs w:val="22"/>
        </w:rPr>
        <w:t xml:space="preserve">))ᵀ Σ⁻¹ (M(θ</w:t>
      </w:r>
      <w:r>
        <w:rPr>
          <w:rFonts w:ascii="Cambria" w:cs="Cambria" w:eastAsia="Cambria" w:hAnsi="Cambria"/>
          <w:sz w:val="16"/>
          <w:szCs w:val="16"/>
        </w:rPr>
        <w:t xml:space="preserve">⁽¹⁾</w:t>
      </w:r>
      <w:r>
        <w:rPr>
          <w:rFonts w:ascii="Cambria" w:cs="Cambria" w:eastAsia="Cambria" w:hAnsi="Cambria"/>
          <w:i/>
          <w:iCs/>
          <w:sz w:val="22"/>
          <w:szCs w:val="22"/>
        </w:rPr>
        <w:t xml:space="preserve">) − M(θ</w:t>
      </w:r>
      <w:r>
        <w:rPr>
          <w:rFonts w:ascii="Cambria" w:cs="Cambria" w:eastAsia="Cambria" w:hAnsi="Cambria"/>
          <w:sz w:val="16"/>
          <w:szCs w:val="16"/>
        </w:rPr>
        <w:t xml:space="preserve">⁽²⁾</w:t>
      </w:r>
      <w:r>
        <w:rPr>
          <w:rFonts w:ascii="Cambria" w:cs="Cambria" w:eastAsia="Cambria" w:hAnsi="Cambria"/>
          <w:i/>
          <w:iCs/>
          <w:sz w:val="22"/>
          <w:szCs w:val="22"/>
        </w:rPr>
        <w:t xml:space="preserve">)) ]</w:t>
      </w:r>
      <w:r>
        <w:rPr>
          <w:rFonts w:ascii="Cambria" w:cs="Cambria" w:eastAsia="Cambria" w:hAnsi="Cambria"/>
          <w:sz w:val="16"/>
          <w:szCs w:val="16"/>
          <w:vertAlign w:val="superscript"/>
        </w:rPr>
        <w:t xml:space="preserve">½</w:t>
      </w:r>
      <w:r>
        <w:rPr>
          <w:rFonts w:ascii="Calibri" w:cs="Calibri" w:eastAsia="Calibri" w:hAnsi="Calibri"/>
          <w:sz w:val="20"/>
          <w:szCs w:val="20"/>
        </w:rPr>
        <w:t xml:space="preserve">          (2)</w:t>
      </w:r>
    </w:p>
    <w:p>
      <w:pPr>
        <w:spacing w:after="120" w:line="276"/>
        <w:jc w:val="both"/>
      </w:pPr>
      <w:r>
        <w:rPr>
          <w:rFonts w:ascii="Calibri" w:cs="Calibri" w:eastAsia="Calibri" w:hAnsi="Calibri"/>
          <w:sz w:val="21"/>
          <w:szCs w:val="21"/>
        </w:rPr>
        <w:t xml:space="preserve">Then define the primary SMDI as a bounded, interpretable transform of the </w:t>
      </w:r>
      <w:r>
        <w:rPr>
          <w:rFonts w:ascii="Calibri" w:cs="Calibri" w:eastAsia="Calibri" w:hAnsi="Calibri"/>
          <w:i/>
          <w:iCs/>
          <w:sz w:val="21"/>
          <w:szCs w:val="21"/>
        </w:rPr>
        <w:t xml:space="preserve">inverse</w:t>
      </w:r>
      <w:r>
        <w:rPr>
          <w:rFonts w:ascii="Calibri" w:cs="Calibri" w:eastAsia="Calibri" w:hAnsi="Calibri"/>
          <w:sz w:val="21"/>
          <w:szCs w:val="21"/>
        </w:rPr>
        <w:t xml:space="preserve"> separation — high when branches are indistinguishable (degenerate), low when they are well separated:</w:t>
      </w:r>
    </w:p>
    <w:p>
      <w:pPr>
        <w:spacing w:after="100" w:before="100"/>
        <w:jc w:val="center"/>
      </w:pPr>
      <w:r>
        <w:rPr>
          <w:rFonts w:ascii="Cambria" w:cs="Cambria" w:eastAsia="Cambria" w:hAnsi="Cambria"/>
          <w:i/>
          <w:iCs/>
          <w:sz w:val="22"/>
          <w:szCs w:val="22"/>
        </w:rPr>
        <w:t xml:space="preserve">SMDI</w:t>
      </w:r>
      <w:r>
        <w:rPr>
          <w:rFonts w:ascii="Cambria" w:cs="Cambria" w:eastAsia="Cambria" w:hAnsi="Cambria"/>
          <w:i/>
          <w:iCs/>
          <w:sz w:val="16"/>
          <w:szCs w:val="16"/>
          <w:vertAlign w:val="subscript"/>
        </w:rPr>
        <w:t xml:space="preserve">sep</w:t>
      </w:r>
      <w:r>
        <w:rPr>
          <w:rFonts w:ascii="Cambria" w:cs="Cambria" w:eastAsia="Cambria" w:hAnsi="Cambria"/>
          <w:i/>
          <w:iCs/>
          <w:sz w:val="22"/>
          <w:szCs w:val="22"/>
        </w:rPr>
        <w:t xml:space="preserve"> = exp( − Δ</w:t>
      </w:r>
      <w:r>
        <w:rPr>
          <w:rFonts w:ascii="Cambria" w:cs="Cambria" w:eastAsia="Cambria" w:hAnsi="Cambria"/>
          <w:i/>
          <w:iCs/>
          <w:sz w:val="16"/>
          <w:szCs w:val="16"/>
          <w:vertAlign w:val="subscript"/>
        </w:rPr>
        <w:t xml:space="preserve">R</w:t>
      </w:r>
      <w:r>
        <w:rPr>
          <w:rFonts w:ascii="Cambria" w:cs="Cambria" w:eastAsia="Cambria" w:hAnsi="Cambria"/>
          <w:i/>
          <w:iCs/>
          <w:sz w:val="22"/>
          <w:szCs w:val="22"/>
        </w:rPr>
        <w:t xml:space="preserve">² / 2 )   ∈ [0, 1]</w:t>
      </w:r>
      <w:r>
        <w:rPr>
          <w:rFonts w:ascii="Calibri" w:cs="Calibri" w:eastAsia="Calibri" w:hAnsi="Calibri"/>
          <w:sz w:val="20"/>
          <w:szCs w:val="20"/>
        </w:rPr>
        <w:t xml:space="preserve">          (3)</w:t>
      </w:r>
    </w:p>
    <w:p>
      <w:pPr>
        <w:spacing w:after="120" w:line="276"/>
        <w:jc w:val="both"/>
      </w:pPr>
      <w:r>
        <w:rPr>
          <w:rFonts w:ascii="Calibri" w:cs="Calibri" w:eastAsia="Calibri" w:hAnsi="Calibri"/>
          <w:sz w:val="21"/>
          <w:szCs w:val="21"/>
        </w:rPr>
        <w:t xml:space="preserve">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 1 means the two branches produce signals within one noise unit of each other — the voxel is maximally degenerate and its microstructural estimates are unreliable.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 0 means the branches are far apart in signal space — the data constrains the solution and the estimate is trustworthy. The Gaussian form is a modeling choice (a smooth, unit-bounded map of a χ-like statistic); a raw Δ</w:t>
      </w:r>
      <w:r>
        <w:rPr>
          <w:rFonts w:ascii="Cambria" w:cs="Cambria" w:eastAsia="Cambria" w:hAnsi="Cambria"/>
          <w:i/>
          <w:iCs/>
          <w:sz w:val="21"/>
          <w:szCs w:val="21"/>
          <w:vertAlign w:val="subscript"/>
        </w:rPr>
        <w:t xml:space="preserve">R</w:t>
      </w:r>
      <w:r>
        <w:rPr>
          <w:rFonts w:ascii="Calibri" w:cs="Calibri" w:eastAsia="Calibri" w:hAnsi="Calibri"/>
          <w:sz w:val="21"/>
          <w:szCs w:val="21"/>
        </w:rPr>
        <w:t xml:space="preserve"> map may be reported alongside it for users who prefer an unbounded separation in noise units.</w:t>
      </w:r>
    </w:p>
    <w:p>
      <w:pPr>
        <w:pStyle w:val="Heading2"/>
        <w:spacing w:after="100" w:before="220"/>
      </w:pPr>
      <w:r>
        <w:rPr>
          <w:rFonts w:ascii="Cambria" w:cs="Cambria" w:eastAsia="Cambria" w:hAnsi="Cambria"/>
          <w:b/>
          <w:bCs/>
          <w:color w:val="2E74B5"/>
          <w:sz w:val="25"/>
          <w:szCs w:val="25"/>
        </w:rPr>
        <w:t xml:space="preserve">4.3 Definition 2 — posterior-dispersion SMDI (complementary)</w:t>
      </w:r>
    </w:p>
    <w:p>
      <w:pPr>
        <w:spacing w:after="120" w:line="276"/>
        <w:jc w:val="both"/>
      </w:pPr>
      <w:r>
        <w:rPr>
          <w:rFonts w:ascii="Calibri" w:cs="Calibri" w:eastAsia="Calibri" w:hAnsi="Calibri"/>
          <w:sz w:val="21"/>
          <w:szCs w:val="21"/>
        </w:rPr>
        <w:t xml:space="preserve">A Bayesian estimator that returns the full posterior </w:t>
      </w:r>
      <w:r>
        <w:rPr>
          <w:rFonts w:ascii="Cambria" w:cs="Cambria" w:eastAsia="Cambria" w:hAnsi="Cambria"/>
          <w:i/>
          <w:iCs/>
          <w:sz w:val="21"/>
          <w:szCs w:val="21"/>
        </w:rPr>
        <w:t xml:space="preserve">p(θ | R)</w:t>
      </w:r>
      <w:r>
        <w:rPr>
          <w:rFonts w:ascii="Calibri" w:cs="Calibri" w:eastAsia="Calibri" w:hAnsi="Calibri"/>
          <w:sz w:val="21"/>
          <w:szCs w:val="21"/>
        </w:rPr>
        <w:t xml:space="preserve"> (e.g. a machine-learning regressor trained to output posterior moments, or MCMC) yields a distribution that is </w:t>
      </w:r>
      <w:r>
        <w:rPr>
          <w:rFonts w:ascii="Calibri" w:cs="Calibri" w:eastAsia="Calibri" w:hAnsi="Calibri"/>
          <w:i/>
          <w:iCs/>
          <w:sz w:val="21"/>
          <w:szCs w:val="21"/>
        </w:rPr>
        <w:t xml:space="preserve">multimodal or broad</w:t>
      </w:r>
      <w:r>
        <w:rPr>
          <w:rFonts w:ascii="Calibri" w:cs="Calibri" w:eastAsia="Calibri" w:hAnsi="Calibri"/>
          <w:sz w:val="21"/>
          <w:szCs w:val="21"/>
        </w:rPr>
        <w:t xml:space="preserve"> exactly where the problem is degenerate </w:t>
      </w:r>
      <w:r>
        <w:rPr>
          <w:rFonts w:ascii="Calibri" w:cs="Calibri" w:eastAsia="Calibri" w:hAnsi="Calibri"/>
          <w:color w:val="2E74B5"/>
          <w:sz w:val="21"/>
          <w:szCs w:val="21"/>
        </w:rPr>
        <w:t xml:space="preserve">[7]</w:t>
      </w:r>
      <w:r>
        <w:rPr>
          <w:rFonts w:ascii="Calibri" w:cs="Calibri" w:eastAsia="Calibri" w:hAnsi="Calibri"/>
          <w:sz w:val="21"/>
          <w:szCs w:val="21"/>
        </w:rPr>
        <w:t xml:space="preserve">, </w:t>
      </w:r>
      <w:r>
        <w:rPr>
          <w:rFonts w:ascii="Calibri" w:cs="Calibri" w:eastAsia="Calibri" w:hAnsi="Calibri"/>
          <w:color w:val="2E74B5"/>
          <w:sz w:val="21"/>
          <w:szCs w:val="21"/>
        </w:rPr>
        <w:t xml:space="preserve">[9]</w:t>
      </w:r>
      <w:r>
        <w:rPr>
          <w:rFonts w:ascii="Calibri" w:cs="Calibri" w:eastAsia="Calibri" w:hAnsi="Calibri"/>
          <w:sz w:val="21"/>
          <w:szCs w:val="21"/>
        </w:rPr>
        <w:t xml:space="preserve">. Define, per target parameter </w:t>
      </w:r>
      <w:r>
        <w:rPr>
          <w:rFonts w:ascii="Cambria" w:cs="Cambria" w:eastAsia="Cambria" w:hAnsi="Cambria"/>
          <w:i/>
          <w:iCs/>
          <w:sz w:val="21"/>
          <w:szCs w:val="21"/>
        </w:rPr>
        <w:t xml:space="preserve">θ</w:t>
      </w:r>
      <w:r>
        <w:rPr>
          <w:rFonts w:ascii="Cambria" w:cs="Cambria" w:eastAsia="Cambria" w:hAnsi="Cambria"/>
          <w:i/>
          <w:iCs/>
          <w:sz w:val="21"/>
          <w:szCs w:val="21"/>
          <w:vertAlign w:val="subscript"/>
        </w:rPr>
        <w:t xml:space="preserve">k</w:t>
      </w:r>
      <w:r>
        <w:rPr>
          <w:rFonts w:ascii="Calibri" w:cs="Calibri" w:eastAsia="Calibri" w:hAnsi="Calibri"/>
          <w:sz w:val="21"/>
          <w:szCs w:val="21"/>
        </w:rPr>
        <w:t xml:space="preserve"> (e.g. the neurite fraction </w:t>
      </w:r>
      <w:r>
        <w:rPr>
          <w:rFonts w:ascii="Cambria" w:cs="Cambria" w:eastAsia="Cambria" w:hAnsi="Cambria"/>
          <w:i/>
          <w:iCs/>
          <w:sz w:val="21"/>
          <w:szCs w:val="21"/>
        </w:rPr>
        <w:t xml:space="preserve">f</w:t>
      </w:r>
      <w:r>
        <w:rPr>
          <w:rFonts w:ascii="Calibri" w:cs="Calibri" w:eastAsia="Calibri" w:hAnsi="Calibri"/>
          <w:sz w:val="21"/>
          <w:szCs w:val="21"/>
        </w:rPr>
        <w:t xml:space="preserve">):</w:t>
      </w:r>
    </w:p>
    <w:p>
      <w:pPr>
        <w:spacing w:after="100" w:before="100"/>
        <w:jc w:val="center"/>
      </w:pPr>
      <w:r>
        <w:rPr>
          <w:rFonts w:ascii="Cambria" w:cs="Cambria" w:eastAsia="Cambria" w:hAnsi="Cambria"/>
          <w:i/>
          <w:iCs/>
          <w:sz w:val="22"/>
          <w:szCs w:val="22"/>
        </w:rPr>
        <w:t xml:space="preserve">SMDI</w:t>
      </w:r>
      <w:r>
        <w:rPr>
          <w:rFonts w:ascii="Cambria" w:cs="Cambria" w:eastAsia="Cambria" w:hAnsi="Cambria"/>
          <w:i/>
          <w:iCs/>
          <w:sz w:val="16"/>
          <w:szCs w:val="16"/>
          <w:vertAlign w:val="subscript"/>
        </w:rPr>
        <w:t xml:space="preserve">post</w:t>
      </w:r>
      <w:r>
        <w:rPr>
          <w:rFonts w:ascii="Cambria" w:cs="Cambria" w:eastAsia="Cambria" w:hAnsi="Cambria"/>
          <w:i/>
          <w:iCs/>
          <w:sz w:val="22"/>
          <w:szCs w:val="22"/>
        </w:rPr>
        <w:t xml:space="preserve">(θ</w:t>
      </w:r>
      <w:r>
        <w:rPr>
          <w:rFonts w:ascii="Cambria" w:cs="Cambria" w:eastAsia="Cambria" w:hAnsi="Cambria"/>
          <w:i/>
          <w:iCs/>
          <w:sz w:val="16"/>
          <w:szCs w:val="16"/>
          <w:vertAlign w:val="subscript"/>
        </w:rPr>
        <w:t xml:space="preserve">k</w:t>
      </w:r>
      <w:r>
        <w:rPr>
          <w:rFonts w:ascii="Cambria" w:cs="Cambria" w:eastAsia="Cambria" w:hAnsi="Cambria"/>
          <w:i/>
          <w:iCs/>
          <w:sz w:val="22"/>
          <w:szCs w:val="22"/>
        </w:rPr>
        <w:t xml:space="preserve">) = SD[ p(θ</w:t>
      </w:r>
      <w:r>
        <w:rPr>
          <w:rFonts w:ascii="Cambria" w:cs="Cambria" w:eastAsia="Cambria" w:hAnsi="Cambria"/>
          <w:i/>
          <w:iCs/>
          <w:sz w:val="16"/>
          <w:szCs w:val="16"/>
          <w:vertAlign w:val="subscript"/>
        </w:rPr>
        <w:t xml:space="preserve">k</w:t>
      </w:r>
      <w:r>
        <w:rPr>
          <w:rFonts w:ascii="Cambria" w:cs="Cambria" w:eastAsia="Cambria" w:hAnsi="Cambria"/>
          <w:i/>
          <w:iCs/>
          <w:sz w:val="22"/>
          <w:szCs w:val="22"/>
        </w:rPr>
        <w:t xml:space="preserve"> | R) ] / σ</w:t>
      </w:r>
      <w:r>
        <w:rPr>
          <w:rFonts w:ascii="Cambria" w:cs="Cambria" w:eastAsia="Cambria" w:hAnsi="Cambria"/>
          <w:i/>
          <w:iCs/>
          <w:sz w:val="16"/>
          <w:szCs w:val="16"/>
          <w:vertAlign w:val="subscript"/>
        </w:rPr>
        <w:t xml:space="preserve">prior</w:t>
      </w:r>
      <w:r>
        <w:rPr>
          <w:rFonts w:ascii="Cambria" w:cs="Cambria" w:eastAsia="Cambria" w:hAnsi="Cambria"/>
          <w:i/>
          <w:iCs/>
          <w:sz w:val="22"/>
          <w:szCs w:val="22"/>
        </w:rPr>
        <w:t xml:space="preserve">(θ</w:t>
      </w:r>
      <w:r>
        <w:rPr>
          <w:rFonts w:ascii="Cambria" w:cs="Cambria" w:eastAsia="Cambria" w:hAnsi="Cambria"/>
          <w:i/>
          <w:iCs/>
          <w:sz w:val="16"/>
          <w:szCs w:val="16"/>
          <w:vertAlign w:val="subscript"/>
        </w:rPr>
        <w:t xml:space="preserve">k</w:t>
      </w:r>
      <w:r>
        <w:rPr>
          <w:rFonts w:ascii="Cambria" w:cs="Cambria" w:eastAsia="Cambria" w:hAnsi="Cambria"/>
          <w:i/>
          <w:iCs/>
          <w:sz w:val="22"/>
          <w:szCs w:val="22"/>
        </w:rPr>
        <w:t xml:space="preserve">)</w:t>
      </w:r>
      <w:r>
        <w:rPr>
          <w:rFonts w:ascii="Calibri" w:cs="Calibri" w:eastAsia="Calibri" w:hAnsi="Calibri"/>
          <w:sz w:val="20"/>
          <w:szCs w:val="20"/>
        </w:rPr>
        <w:t xml:space="preserve">          (4)</w:t>
      </w:r>
    </w:p>
    <w:p>
      <w:pPr>
        <w:spacing w:after="120" w:line="276"/>
        <w:jc w:val="both"/>
      </w:pPr>
      <w:r>
        <w:rPr>
          <w:rFonts w:ascii="Calibri" w:cs="Calibri" w:eastAsia="Calibri" w:hAnsi="Calibri"/>
          <w:sz w:val="21"/>
          <w:szCs w:val="21"/>
        </w:rPr>
        <w:t xml:space="preserve">i.e. the posterior standard deviation normalized by the prior (population) standard deviation of that parameter. Values near 1 mean the data added almost no information beyond the prior (degenerate); values near 0 mean the data sharply constrained the parameter. A </w:t>
      </w:r>
      <w:r>
        <w:rPr>
          <w:rFonts w:ascii="Calibri" w:cs="Calibri" w:eastAsia="Calibri" w:hAnsi="Calibri"/>
          <w:i/>
          <w:iCs/>
          <w:sz w:val="21"/>
          <w:szCs w:val="21"/>
        </w:rPr>
        <w:t xml:space="preserve">bimodality-aware</w:t>
      </w:r>
      <w:r>
        <w:rPr>
          <w:rFonts w:ascii="Calibri" w:cs="Calibri" w:eastAsia="Calibri" w:hAnsi="Calibri"/>
          <w:sz w:val="21"/>
          <w:szCs w:val="21"/>
        </w:rPr>
        <w:t xml:space="preserve"> variant replaces SD with the normalized distance between posterior modes when the posterior is detectably bimodal, which aligns Definition 2 with Definition 1.</w:t>
      </w:r>
    </w:p>
    <w:p>
      <w:pPr>
        <w:pStyle w:val="Heading2"/>
        <w:spacing w:after="100" w:before="220"/>
      </w:pPr>
      <w:r>
        <w:rPr>
          <w:rFonts w:ascii="Cambria" w:cs="Cambria" w:eastAsia="Cambria" w:hAnsi="Cambria"/>
          <w:b/>
          <w:bCs/>
          <w:color w:val="2E74B5"/>
          <w:sz w:val="25"/>
          <w:szCs w:val="25"/>
        </w:rPr>
        <w:t xml:space="preserve">4.4 Relationship between the two definitions</w:t>
      </w:r>
    </w:p>
    <w:p>
      <w:pPr>
        <w:spacing w:after="120" w:line="276"/>
        <w:jc w:val="both"/>
      </w:pPr>
      <w:r>
        <w:rPr>
          <w:rFonts w:ascii="Calibri" w:cs="Calibri" w:eastAsia="Calibri" w:hAnsi="Calibri"/>
          <w:sz w:val="21"/>
          <w:szCs w:val="21"/>
        </w:rPr>
        <w:t xml:space="preserve">Definition 1 is </w:t>
      </w:r>
      <w:r>
        <w:rPr>
          <w:rFonts w:ascii="Calibri" w:cs="Calibri" w:eastAsia="Calibri" w:hAnsi="Calibri"/>
          <w:i/>
          <w:iCs/>
          <w:sz w:val="21"/>
          <w:szCs w:val="21"/>
        </w:rPr>
        <w:t xml:space="preserve">model-internal</w:t>
      </w:r>
      <w:r>
        <w:rPr>
          <w:rFonts w:ascii="Calibri" w:cs="Calibri" w:eastAsia="Calibri" w:hAnsi="Calibri"/>
          <w:sz w:val="21"/>
          <w:szCs w:val="21"/>
        </w:rPr>
        <w:t xml:space="preserve"> (it interrogates the forward map directly and needs an explicit two-branch solver); Definition 2 is </w:t>
      </w:r>
      <w:r>
        <w:rPr>
          <w:rFonts w:ascii="Calibri" w:cs="Calibri" w:eastAsia="Calibri" w:hAnsi="Calibri"/>
          <w:i/>
          <w:iCs/>
          <w:sz w:val="21"/>
          <w:szCs w:val="21"/>
        </w:rPr>
        <w:t xml:space="preserve">estimator-based</w:t>
      </w:r>
      <w:r>
        <w:rPr>
          <w:rFonts w:ascii="Calibri" w:cs="Calibri" w:eastAsia="Calibri" w:hAnsi="Calibri"/>
          <w:sz w:val="21"/>
          <w:szCs w:val="21"/>
        </w:rPr>
        <w:t xml:space="preserve"> (it reads dispersion from whatever posterior the fit produces). They are expected to correlate strongly and can be cross-validated against each other; where they disagree, the disagreement itself is diagnostic of estimator-induced (as opposed to intrinsic) uncertainty. The recommended primary output is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(Definition 1) because it is tied to the analytically established structure of the degeneracy </w:t>
      </w:r>
      <w:r>
        <w:rPr>
          <w:rFonts w:ascii="Calibri" w:cs="Calibri" w:eastAsia="Calibri" w:hAnsi="Calibri"/>
          <w:color w:val="2E74B5"/>
          <w:sz w:val="21"/>
          <w:szCs w:val="21"/>
        </w:rPr>
        <w:t xml:space="preserve">[1]</w:t>
      </w:r>
      <w:r>
        <w:rPr>
          <w:rFonts w:ascii="Calibri" w:cs="Calibri" w:eastAsia="Calibri" w:hAnsi="Calibri"/>
          <w:sz w:val="21"/>
          <w:szCs w:val="21"/>
        </w:rPr>
        <w:t xml:space="preserve">, </w:t>
      </w:r>
      <w:r>
        <w:rPr>
          <w:rFonts w:ascii="Calibri" w:cs="Calibri" w:eastAsia="Calibri" w:hAnsi="Calibri"/>
          <w:color w:val="2E74B5"/>
          <w:sz w:val="21"/>
          <w:szCs w:val="21"/>
        </w:rPr>
        <w:t xml:space="preserve">[6]</w:t>
      </w:r>
      <w:r>
        <w:rPr>
          <w:rFonts w:ascii="Calibri" w:cs="Calibri" w:eastAsia="Calibri" w:hAnsi="Calibri"/>
          <w:sz w:val="21"/>
          <w:szCs w:val="21"/>
        </w:rPr>
        <w:t xml:space="preserve">; SMDI</w:t>
      </w:r>
      <w:r>
        <w:rPr>
          <w:rFonts w:ascii="Cambria" w:cs="Cambria" w:eastAsia="Cambria" w:hAnsi="Cambria"/>
          <w:i/>
          <w:iCs/>
          <w:sz w:val="21"/>
          <w:szCs w:val="21"/>
          <w:vertAlign w:val="subscript"/>
        </w:rPr>
        <w:t xml:space="preserve">post</w:t>
      </w:r>
      <w:r>
        <w:rPr>
          <w:rFonts w:ascii="Calibri" w:cs="Calibri" w:eastAsia="Calibri" w:hAnsi="Calibri"/>
          <w:sz w:val="21"/>
          <w:szCs w:val="21"/>
        </w:rPr>
        <w:t xml:space="preserve"> is reported as corroboration and is cheaper to obtain from existing ML-based SM fits.</w:t>
      </w:r>
    </w:p>
    <w:p>
      <w:pPr>
        <w:pStyle w:val="Heading2"/>
        <w:spacing w:after="100" w:before="220"/>
      </w:pPr>
      <w:r>
        <w:rPr>
          <w:rFonts w:ascii="Cambria" w:cs="Cambria" w:eastAsia="Cambria" w:hAnsi="Cambria"/>
          <w:b/>
          <w:bCs/>
          <w:color w:val="2E74B5"/>
          <w:sz w:val="25"/>
          <w:szCs w:val="25"/>
        </w:rPr>
        <w:t xml:space="preserve">4.5 Falsifiable predictions</w:t>
      </w:r>
    </w:p>
    <w:p>
      <w:pPr>
        <w:spacing w:after="120" w:line="276"/>
        <w:jc w:val="both"/>
      </w:pPr>
      <w:r>
        <w:rPr>
          <w:rFonts w:ascii="Calibri" w:cs="Calibri" w:eastAsia="Calibri" w:hAnsi="Calibri"/>
          <w:sz w:val="21"/>
          <w:szCs w:val="21"/>
        </w:rPr>
        <w:t xml:space="preserve">A meaningful reliability metric must make spatial predictions that can be checked against known neuroanatomy and acquisition physics. SMDI predicts:</w:t>
      </w:r>
    </w:p>
    <w:p>
      <w:pPr>
        <w:pStyle w:val="ListParagraph"/>
        <w:numPr>
          <w:ilvl w:val="0"/>
          <w:numId w:val="3"/>
        </w:numPr>
        <w:spacing w:after="80" w:line="268"/>
      </w:pPr>
      <w:r>
        <w:rPr>
          <w:rFonts w:ascii="Calibri" w:cs="Calibri" w:eastAsia="Calibri" w:hAnsi="Calibri"/>
          <w:b/>
          <w:bCs/>
          <w:sz w:val="21"/>
          <w:szCs w:val="21"/>
        </w:rPr>
        <w:t xml:space="preserve">Lowest degeneracy (low SMDI) in coherent single-fiber white matter</w:t>
      </w:r>
      <w:r>
        <w:rPr>
          <w:rFonts w:ascii="Calibri" w:cs="Calibri" w:eastAsia="Calibri" w:hAnsi="Calibri"/>
          <w:sz w:val="21"/>
          <w:szCs w:val="21"/>
        </w:rPr>
        <w:t xml:space="preserve"> — e.g. the body of the corpus callosum, the corticospinal tract core — where the SM assumptions are best satisfied.</w:t>
      </w:r>
    </w:p>
    <w:p>
      <w:pPr>
        <w:pStyle w:val="ListParagraph"/>
        <w:numPr>
          <w:ilvl w:val="0"/>
          <w:numId w:val="3"/>
        </w:numPr>
        <w:spacing w:after="80" w:line="268"/>
      </w:pPr>
      <w:r>
        <w:rPr>
          <w:rFonts w:ascii="Calibri" w:cs="Calibri" w:eastAsia="Calibri" w:hAnsi="Calibri"/>
          <w:b/>
          <w:bCs/>
          <w:sz w:val="21"/>
          <w:szCs w:val="21"/>
        </w:rPr>
        <w:t xml:space="preserve">Highest degeneracy (high SMDI) in crossing/fanning regions and in gray matter</w:t>
      </w:r>
      <w:r>
        <w:rPr>
          <w:rFonts w:ascii="Calibri" w:cs="Calibri" w:eastAsia="Calibri" w:hAnsi="Calibri"/>
          <w:sz w:val="21"/>
          <w:szCs w:val="21"/>
        </w:rPr>
        <w:t xml:space="preserve">, where the stick model and the single-kernel assumption break down.</w:t>
      </w:r>
    </w:p>
    <w:p>
      <w:pPr>
        <w:pStyle w:val="ListParagraph"/>
        <w:numPr>
          <w:ilvl w:val="0"/>
          <w:numId w:val="3"/>
        </w:numPr>
        <w:spacing w:after="80" w:line="268"/>
      </w:pPr>
      <w:r>
        <w:rPr>
          <w:rFonts w:ascii="Calibri" w:cs="Calibri" w:eastAsia="Calibri" w:hAnsi="Calibri"/>
          <w:b/>
          <w:bCs/>
          <w:sz w:val="21"/>
          <w:szCs w:val="21"/>
        </w:rPr>
        <w:t xml:space="preserve">Monotonic decrease of SMDI with SNR and with the number of b-shells/directions</w:t>
      </w:r>
      <w:r>
        <w:rPr>
          <w:rFonts w:ascii="Calibri" w:cs="Calibri" w:eastAsia="Calibri" w:hAnsi="Calibri"/>
          <w:sz w:val="21"/>
          <w:szCs w:val="21"/>
        </w:rPr>
        <w:t xml:space="preserve"> — degeneracy is partly a function of information content, so higher-quality acquisitions should reduce it.</w:t>
      </w:r>
    </w:p>
    <w:p>
      <w:pPr>
        <w:pStyle w:val="ListParagraph"/>
        <w:numPr>
          <w:ilvl w:val="0"/>
          <w:numId w:val="3"/>
        </w:numPr>
        <w:spacing w:after="80" w:line="268"/>
      </w:pPr>
      <w:r>
        <w:rPr>
          <w:rFonts w:ascii="Calibri" w:cs="Calibri" w:eastAsia="Calibri" w:hAnsi="Calibri"/>
          <w:b/>
          <w:bCs/>
          <w:sz w:val="21"/>
          <w:szCs w:val="21"/>
        </w:rPr>
        <w:t xml:space="preserve">Systematic developmental change</w:t>
      </w:r>
      <w:r>
        <w:rPr>
          <w:rFonts w:ascii="Calibri" w:cs="Calibri" w:eastAsia="Calibri" w:hAnsi="Calibri"/>
          <w:sz w:val="21"/>
          <w:szCs w:val="21"/>
        </w:rPr>
        <w:t xml:space="preserve"> — in ABCD, as white matter myelinates across ages 9–14, tissue moves toward regimes where the SM is better constrained; SMDI in maturing tracts should shift accordingly.</w:t>
      </w:r>
    </w:p>
    <w:p>
      <w:pPr>
        <w:spacing w:after="120" w:line="276"/>
        <w:jc w:val="both"/>
      </w:pPr>
      <w:r>
        <w:rPr>
          <w:rFonts w:ascii="Calibri" w:cs="Calibri" w:eastAsia="Calibri" w:hAnsi="Calibri"/>
          <w:sz w:val="21"/>
          <w:szCs w:val="21"/>
        </w:rPr>
        <w:t xml:space="preserve">If SMDI were spatially random, or high in the corpus callosum and low in gray matter, the metric would be falsified as noise. These tests are specified operationally in Section 8.</w:t>
      </w:r>
    </w:p>
    <w:p>
      <w:r>
        <w:br w:type="page"/>
      </w:r>
    </w:p>
    <w:p>
      <w:pPr>
        <w:pStyle w:val="Heading1"/>
        <w:spacing w:after="140" w:before="320"/>
      </w:pPr>
      <w:r>
        <w:rPr>
          <w:rFonts w:ascii="Cambria" w:cs="Cambria" w:eastAsia="Cambria" w:hAnsi="Cambria"/>
          <w:b/>
          <w:bCs/>
          <w:color w:val="1F4E79"/>
          <w:sz w:val="30"/>
          <w:szCs w:val="30"/>
        </w:rPr>
        <w:t xml:space="preserve">5. Methods I: Estimation of SMDI</w:t>
      </w:r>
    </w:p>
    <w:p>
      <w:pPr>
        <w:pStyle w:val="Heading2"/>
        <w:spacing w:after="100" w:before="220"/>
      </w:pPr>
      <w:r>
        <w:rPr>
          <w:rFonts w:ascii="Cambria" w:cs="Cambria" w:eastAsia="Cambria" w:hAnsi="Cambria"/>
          <w:b/>
          <w:bCs/>
          <w:color w:val="2E74B5"/>
          <w:sz w:val="25"/>
          <w:szCs w:val="25"/>
        </w:rPr>
        <w:t xml:space="preserve">5.1 Data requirements and acquisition assumptions</w:t>
      </w:r>
    </w:p>
    <w:tbl>
      <w:tblPr>
        <w:tblW w:type="dxa" w:w="9360"/>
        <w:tblBorders>
          <w:top w:val="single" w:color="1F4E79" w:sz="4"/>
          <w:left w:val="single" w:color="BFBFBF" w:sz="2"/>
          <w:bottom w:val="single" w:color="1F4E79" w:sz="4"/>
          <w:right w:val="single" w:color="BFBFBF" w:sz="2"/>
          <w:insideH w:val="single" w:color="BFBFBF" w:sz="2"/>
          <w:insideV w:val="single" w:color="BFBFBF" w:sz="2"/>
        </w:tblBorders>
      </w:tblPr>
      <w:tblGrid>
        <w:gridCol w:w="2200"/>
        <w:gridCol w:w="4560"/>
        <w:gridCol w:w="2600"/>
      </w:tblGrid>
      <w:tr>
        <w:trPr>
          <w:tblHeader/>
        </w:trPr>
        <w:tc>
          <w:tcPr>
            <w:tcW w:type="dxa" w:w="220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Requirement</w:t>
            </w:r>
          </w:p>
        </w:tc>
        <w:tc>
          <w:tcPr>
            <w:tcW w:type="dxa" w:w="456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Specification</w:t>
            </w:r>
          </w:p>
        </w:tc>
        <w:tc>
          <w:tcPr>
            <w:tcW w:type="dxa" w:w="260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ABCD / target</w:t>
            </w:r>
          </w:p>
        </w:tc>
      </w:tr>
      <w:tr>
        <w:tc>
          <w:tcPr>
            <w:tcW w:type="dxa" w:w="2200"/>
            <w:shd w:fill="FFFFFF" w:color="auto" w:val="clear"/>
            <w:tcMar>
              <w:top w:type="dxa" w:w="50"/>
              <w:left w:type="dxa" w:w="90"/>
              <w:bottom w:type="dxa" w:w="50"/>
              <w:right w:type="dxa" w:w="90"/>
            </w:tcMar>
          </w:tcPr>
          <w:p>
            <w:r>
              <w:rPr>
                <w:rFonts w:ascii="Calibri" w:cs="Calibri" w:eastAsia="Calibri" w:hAnsi="Calibri"/>
                <w:sz w:val="19"/>
                <w:szCs w:val="19"/>
              </w:rPr>
              <w:t xml:space="preserve">Shells</w:t>
            </w:r>
          </w:p>
        </w:tc>
        <w:tc>
          <w:tcPr>
            <w:tcW w:type="dxa" w:w="4560"/>
            <w:shd w:fill="FFFFFF" w:color="auto" w:val="clear"/>
            <w:tcMar>
              <w:top w:type="dxa" w:w="50"/>
              <w:left w:type="dxa" w:w="90"/>
              <w:bottom w:type="dxa" w:w="50"/>
              <w:right w:type="dxa" w:w="90"/>
            </w:tcMar>
          </w:tcPr>
          <w:p>
            <w:r>
              <w:rPr>
                <w:rFonts w:ascii="Calibri" w:cs="Calibri" w:eastAsia="Calibri" w:hAnsi="Calibri"/>
                <w:sz w:val="19"/>
                <w:szCs w:val="19"/>
              </w:rPr>
              <w:t xml:space="preserve">≥ 2 non-zero b-shells; ≥ 3 preferred for invariant orders ℓ = 0,2,4</w:t>
            </w:r>
          </w:p>
        </w:tc>
        <w:tc>
          <w:tcPr>
            <w:tcW w:type="dxa" w:w="2600"/>
            <w:shd w:fill="FFFFFF" w:color="auto" w:val="clear"/>
            <w:tcMar>
              <w:top w:type="dxa" w:w="50"/>
              <w:left w:type="dxa" w:w="90"/>
              <w:bottom w:type="dxa" w:w="50"/>
              <w:right w:type="dxa" w:w="90"/>
            </w:tcMar>
          </w:tcPr>
          <w:p>
            <w:r>
              <w:rPr>
                <w:rFonts w:ascii="Calibri" w:cs="Calibri" w:eastAsia="Calibri" w:hAnsi="Calibri"/>
                <w:sz w:val="19"/>
                <w:szCs w:val="19"/>
              </w:rPr>
              <w:t xml:space="preserve">b = 500/1000/2000/3000 s/mm² ✓</w:t>
            </w:r>
          </w:p>
        </w:tc>
      </w:tr>
      <w:tr>
        <w:tc>
          <w:tcPr>
            <w:tcW w:type="dxa" w:w="2200"/>
            <w:shd w:fill="F2F6FA" w:color="auto" w:val="clear"/>
            <w:tcMar>
              <w:top w:type="dxa" w:w="50"/>
              <w:left w:type="dxa" w:w="90"/>
              <w:bottom w:type="dxa" w:w="50"/>
              <w:right w:type="dxa" w:w="90"/>
            </w:tcMar>
          </w:tcPr>
          <w:p>
            <w:r>
              <w:rPr>
                <w:rFonts w:ascii="Calibri" w:cs="Calibri" w:eastAsia="Calibri" w:hAnsi="Calibri"/>
                <w:sz w:val="19"/>
                <w:szCs w:val="19"/>
              </w:rPr>
              <w:t xml:space="preserve">Directions/shell</w:t>
            </w:r>
          </w:p>
        </w:tc>
        <w:tc>
          <w:tcPr>
            <w:tcW w:type="dxa" w:w="4560"/>
            <w:shd w:fill="F2F6FA" w:color="auto" w:val="clear"/>
            <w:tcMar>
              <w:top w:type="dxa" w:w="50"/>
              <w:left w:type="dxa" w:w="90"/>
              <w:bottom w:type="dxa" w:w="50"/>
              <w:right w:type="dxa" w:w="90"/>
            </w:tcMar>
          </w:tcPr>
          <w:p>
            <w:r>
              <w:rPr>
                <w:rFonts w:ascii="Calibri" w:cs="Calibri" w:eastAsia="Calibri" w:hAnsi="Calibri"/>
                <w:sz w:val="19"/>
                <w:szCs w:val="19"/>
              </w:rPr>
              <w:t xml:space="preserve">Enough for stable ℓ = 4 invariants (≥ ~15; ≥ 30 preferred at high b)</w:t>
            </w:r>
          </w:p>
        </w:tc>
        <w:tc>
          <w:tcPr>
            <w:tcW w:type="dxa" w:w="2600"/>
            <w:shd w:fill="F2F6FA" w:color="auto" w:val="clear"/>
            <w:tcMar>
              <w:top w:type="dxa" w:w="50"/>
              <w:left w:type="dxa" w:w="90"/>
              <w:bottom w:type="dxa" w:w="50"/>
              <w:right w:type="dxa" w:w="90"/>
            </w:tcMar>
          </w:tcPr>
          <w:p>
            <w:r>
              <w:rPr>
                <w:rFonts w:ascii="Calibri" w:cs="Calibri" w:eastAsia="Calibri" w:hAnsi="Calibri"/>
                <w:sz w:val="19"/>
                <w:szCs w:val="19"/>
              </w:rPr>
              <w:t xml:space="preserve">b=3000 has ~60 dir ✓; low b fewer</w:t>
            </w:r>
          </w:p>
        </w:tc>
      </w:tr>
      <w:tr>
        <w:tc>
          <w:tcPr>
            <w:tcW w:type="dxa" w:w="2200"/>
            <w:shd w:fill="FFFFFF" w:color="auto" w:val="clear"/>
            <w:tcMar>
              <w:top w:type="dxa" w:w="50"/>
              <w:left w:type="dxa" w:w="90"/>
              <w:bottom w:type="dxa" w:w="50"/>
              <w:right w:type="dxa" w:w="90"/>
            </w:tcMar>
          </w:tcPr>
          <w:p>
            <w:r>
              <w:rPr>
                <w:rFonts w:ascii="Calibri" w:cs="Calibri" w:eastAsia="Calibri" w:hAnsi="Calibri"/>
                <w:sz w:val="19"/>
                <w:szCs w:val="19"/>
              </w:rPr>
              <w:t xml:space="preserve">Encoding</w:t>
            </w:r>
          </w:p>
        </w:tc>
        <w:tc>
          <w:tcPr>
            <w:tcW w:type="dxa" w:w="4560"/>
            <w:shd w:fill="FFFFFF" w:color="auto" w:val="clear"/>
            <w:tcMar>
              <w:top w:type="dxa" w:w="50"/>
              <w:left w:type="dxa" w:w="90"/>
              <w:bottom w:type="dxa" w:w="50"/>
              <w:right w:type="dxa" w:w="90"/>
            </w:tcMar>
          </w:tcPr>
          <w:p>
            <w:r>
              <w:rPr>
                <w:rFonts w:ascii="Calibri" w:cs="Calibri" w:eastAsia="Calibri" w:hAnsi="Calibri"/>
                <w:sz w:val="19"/>
                <w:szCs w:val="19"/>
              </w:rPr>
              <w:t xml:space="preserve">Linear tensor encoding (standard PGSE)</w:t>
            </w:r>
          </w:p>
        </w:tc>
        <w:tc>
          <w:tcPr>
            <w:tcW w:type="dxa" w:w="2600"/>
            <w:shd w:fill="FFFFFF" w:color="auto" w:val="clear"/>
            <w:tcMar>
              <w:top w:type="dxa" w:w="50"/>
              <w:left w:type="dxa" w:w="90"/>
              <w:bottom w:type="dxa" w:w="50"/>
              <w:right w:type="dxa" w:w="90"/>
            </w:tcMar>
          </w:tcPr>
          <w:p>
            <w:r>
              <w:rPr>
                <w:rFonts w:ascii="Calibri" w:cs="Calibri" w:eastAsia="Calibri" w:hAnsi="Calibri"/>
                <w:sz w:val="19"/>
                <w:szCs w:val="19"/>
              </w:rPr>
              <w:t xml:space="preserve">Linear only — degeneracy NOT resolvable ✓ (by design)</w:t>
            </w:r>
          </w:p>
        </w:tc>
      </w:tr>
      <w:tr>
        <w:tc>
          <w:tcPr>
            <w:tcW w:type="dxa" w:w="2200"/>
            <w:shd w:fill="F2F6FA" w:color="auto" w:val="clear"/>
            <w:tcMar>
              <w:top w:type="dxa" w:w="50"/>
              <w:left w:type="dxa" w:w="90"/>
              <w:bottom w:type="dxa" w:w="50"/>
              <w:right w:type="dxa" w:w="90"/>
            </w:tcMar>
          </w:tcPr>
          <w:p>
            <w:r>
              <w:rPr>
                <w:rFonts w:ascii="Calibri" w:cs="Calibri" w:eastAsia="Calibri" w:hAnsi="Calibri"/>
                <w:sz w:val="19"/>
                <w:szCs w:val="19"/>
              </w:rPr>
              <w:t xml:space="preserve">SNR (b=0)</w:t>
            </w:r>
          </w:p>
        </w:tc>
        <w:tc>
          <w:tcPr>
            <w:tcW w:type="dxa" w:w="4560"/>
            <w:shd w:fill="F2F6FA" w:color="auto" w:val="clear"/>
            <w:tcMar>
              <w:top w:type="dxa" w:w="50"/>
              <w:left w:type="dxa" w:w="90"/>
              <w:bottom w:type="dxa" w:w="50"/>
              <w:right w:type="dxa" w:w="90"/>
            </w:tcMar>
          </w:tcPr>
          <w:p>
            <w:r>
              <w:rPr>
                <w:rFonts w:ascii="Calibri" w:cs="Calibri" w:eastAsia="Calibri" w:hAnsi="Calibri"/>
                <w:sz w:val="19"/>
                <w:szCs w:val="19"/>
              </w:rPr>
              <w:t xml:space="preserve">Post-denoising b0 SNR ≥ ~20 for stable invariants</w:t>
            </w:r>
          </w:p>
        </w:tc>
        <w:tc>
          <w:tcPr>
            <w:tcW w:type="dxa" w:w="2600"/>
            <w:shd w:fill="F2F6FA" w:color="auto" w:val="clear"/>
            <w:tcMar>
              <w:top w:type="dxa" w:w="50"/>
              <w:left w:type="dxa" w:w="90"/>
              <w:bottom w:type="dxa" w:w="50"/>
              <w:right w:type="dxa" w:w="90"/>
            </w:tcMar>
          </w:tcPr>
          <w:p>
            <w:r>
              <w:rPr>
                <w:rFonts w:ascii="Calibri" w:cs="Calibri" w:eastAsia="Calibri" w:hAnsi="Calibri"/>
                <w:sz w:val="19"/>
                <w:szCs w:val="19"/>
              </w:rPr>
              <w:t xml:space="preserve">Achievable after MP-PCA ✓</w:t>
            </w:r>
          </w:p>
        </w:tc>
      </w:tr>
      <w:tr>
        <w:tc>
          <w:tcPr>
            <w:tcW w:type="dxa" w:w="2200"/>
            <w:shd w:fill="FFFFFF" w:color="auto" w:val="clear"/>
            <w:tcMar>
              <w:top w:type="dxa" w:w="50"/>
              <w:left w:type="dxa" w:w="90"/>
              <w:bottom w:type="dxa" w:w="50"/>
              <w:right w:type="dxa" w:w="90"/>
            </w:tcMar>
          </w:tcPr>
          <w:p>
            <w:r>
              <w:rPr>
                <w:rFonts w:ascii="Calibri" w:cs="Calibri" w:eastAsia="Calibri" w:hAnsi="Calibri"/>
                <w:sz w:val="19"/>
                <w:szCs w:val="19"/>
              </w:rPr>
              <w:t xml:space="preserve">Preprocessing</w:t>
            </w:r>
          </w:p>
        </w:tc>
        <w:tc>
          <w:tcPr>
            <w:tcW w:type="dxa" w:w="4560"/>
            <w:shd w:fill="FFFFFF" w:color="auto" w:val="clear"/>
            <w:tcMar>
              <w:top w:type="dxa" w:w="50"/>
              <w:left w:type="dxa" w:w="90"/>
              <w:bottom w:type="dxa" w:w="50"/>
              <w:right w:type="dxa" w:w="90"/>
            </w:tcMar>
          </w:tcPr>
          <w:p>
            <w:r>
              <w:rPr>
                <w:rFonts w:ascii="Calibri" w:cs="Calibri" w:eastAsia="Calibri" w:hAnsi="Calibri"/>
                <w:sz w:val="19"/>
                <w:szCs w:val="19"/>
              </w:rPr>
              <w:t xml:space="preserve">Denoise → Gibbs → motion/eddy/EPI → bias; complex denoising preferred</w:t>
            </w:r>
          </w:p>
        </w:tc>
        <w:tc>
          <w:tcPr>
            <w:tcW w:type="dxa" w:w="2600"/>
            <w:shd w:fill="FFFFFF" w:color="auto" w:val="clear"/>
            <w:tcMar>
              <w:top w:type="dxa" w:w="50"/>
              <w:left w:type="dxa" w:w="90"/>
              <w:bottom w:type="dxa" w:w="50"/>
              <w:right w:type="dxa" w:w="90"/>
            </w:tcMar>
          </w:tcPr>
          <w:p>
            <w:r>
              <w:rPr>
                <w:rFonts w:ascii="Calibri" w:cs="Calibri" w:eastAsia="Calibri" w:hAnsi="Calibri"/>
                <w:sz w:val="19"/>
                <w:szCs w:val="19"/>
              </w:rPr>
              <w:t xml:space="preserve">dwiforge Stages 02–05 ✓</w:t>
            </w:r>
          </w:p>
        </w:tc>
      </w:tr>
    </w:tbl>
    <w:p>
      <w:pPr>
        <w:spacing w:after="60"/>
      </w:pPr>
      <w:r>
        <w:t xml:space="preserve"/>
      </w:r>
    </w:p>
    <w:tbl>
      <w:tblPr>
        <w:tblW w:type="pct" w:w="100%"/>
        <w:tblBorders>
          <w:top w:val="single" w:color="2E74B5" w:sz="2"/>
          <w:left w:val="single" w:color="2E74B5" w:sz="12"/>
          <w:bottom w:val="single" w:color="2E74B5" w:sz="2"/>
          <w:right w:val="single" w:color="2E74B5" w:sz="2"/>
          <w:insideH w:val="none"/>
          <w:insideV w:val="none"/>
        </w:tblBorders>
      </w:tblPr>
      <w:tblGrid>
        <w:gridCol w:w="9360"/>
      </w:tblGrid>
      <w:tr>
        <w:tc>
          <w:tcPr>
            <w:tcW w:type="dxa" w:w="9360"/>
            <w:shd w:fill="DEEAF1" w:color="auto" w:val="clear"/>
            <w:tcMar>
              <w:top w:type="dxa" w:w="120"/>
              <w:left w:type="dxa" w:w="160"/>
              <w:bottom w:type="dxa" w:w="120"/>
              <w:right w:type="dxa" w:w="160"/>
            </w:tcMar>
          </w:tcPr>
          <w:p>
            <w:pPr>
              <w:spacing w:after="60"/>
            </w:pPr>
            <w:r>
              <w:rPr>
                <w:rFonts w:ascii="Calibri" w:cs="Calibri" w:eastAsia="Calibri" w:hAnsi="Calibri"/>
                <w:b/>
                <w:bCs/>
                <w:color w:val="1F4E79"/>
                <w:sz w:val="21"/>
                <w:szCs w:val="21"/>
              </w:rPr>
              <w:t xml:space="preserve">Honest scope statement</w:t>
            </w:r>
          </w:p>
          <w:p>
            <w:pPr>
              <w:spacing w:after="0" w:line="276"/>
              <w:jc w:val="both"/>
            </w:pPr>
            <w:r>
              <w:rPr>
                <w:rFonts w:ascii="Calibri" w:cs="Calibri" w:eastAsia="Calibri" w:hAnsi="Calibri"/>
                <w:sz w:val="21"/>
                <w:szCs w:val="21"/>
              </w:rPr>
              <w:t xml:space="preserve">SMDI is estimable with linear-encoding multi-shell data because it </w:t>
            </w:r>
            <w:r>
              <w:rPr>
                <w:rFonts w:ascii="Calibri" w:cs="Calibri" w:eastAsia="Calibri" w:hAnsi="Calibri"/>
                <w:i/>
                <w:iCs/>
                <w:sz w:val="21"/>
                <w:szCs w:val="21"/>
              </w:rPr>
              <w:t xml:space="preserve">quantifies</w:t>
            </w:r>
            <w:r>
              <w:rPr>
                <w:rFonts w:ascii="Calibri" w:cs="Calibri" w:eastAsia="Calibri" w:hAnsi="Calibri"/>
                <w:sz w:val="21"/>
                <w:szCs w:val="21"/>
              </w:rPr>
              <w:t xml:space="preserve"> the degeneracy rather than resolving it. It does </w:t>
            </w:r>
            <w:r>
              <w:rPr>
                <w:rFonts w:ascii="Calibri" w:cs="Calibri" w:eastAsia="Calibri" w:hAnsi="Calibri"/>
                <w:b/>
                <w:bCs/>
                <w:sz w:val="21"/>
                <w:szCs w:val="21"/>
              </w:rPr>
              <w:t xml:space="preserve">not</w:t>
            </w:r>
            <w:r>
              <w:rPr>
                <w:rFonts w:ascii="Calibri" w:cs="Calibri" w:eastAsia="Calibri" w:hAnsi="Calibri"/>
                <w:sz w:val="21"/>
                <w:szCs w:val="21"/>
              </w:rPr>
              <w:t xml:space="preserve"> recover microscopic kurtosis (needs double diffusion encoding), exchange time (needs multiple diffusion times), or soma density (needs b ≥ ~6000 s/mm²). Any of those from ABCD-type data would be overreach; SMDI deliberately stays within what b = 1000/2000/3000 linear-encoding data can support.</w:t>
            </w:r>
          </w:p>
        </w:tc>
      </w:tr>
    </w:tbl>
    <w:p>
      <w:pPr>
        <w:pStyle w:val="Heading2"/>
        <w:spacing w:after="100" w:before="220"/>
      </w:pPr>
      <w:r>
        <w:rPr>
          <w:rFonts w:ascii="Cambria" w:cs="Cambria" w:eastAsia="Cambria" w:hAnsi="Cambria"/>
          <w:b/>
          <w:bCs/>
          <w:color w:val="2E74B5"/>
          <w:sz w:val="25"/>
          <w:szCs w:val="25"/>
        </w:rPr>
        <w:t xml:space="preserve">5.2 Step 1 — rotational invariants</w:t>
      </w:r>
    </w:p>
    <w:p>
      <w:pPr>
        <w:spacing w:after="120" w:line="276"/>
        <w:jc w:val="both"/>
      </w:pPr>
      <w:r>
        <w:rPr>
          <w:rFonts w:ascii="Calibri" w:cs="Calibri" w:eastAsia="Calibri" w:hAnsi="Calibri"/>
          <w:sz w:val="21"/>
          <w:szCs w:val="21"/>
        </w:rPr>
        <w:t xml:space="preserve">From preprocessed DWIs, estimate the per-shell spherical-harmonic coefficients (even degrees up to ℓ = 4) by linear least squares, then form the rotational invariants </w:t>
      </w:r>
      <w:r>
        <w:rPr>
          <w:rFonts w:ascii="Cambria" w:cs="Cambria" w:eastAsia="Cambria" w:hAnsi="Cambria"/>
          <w:i/>
          <w:iCs/>
          <w:sz w:val="21"/>
          <w:szCs w:val="21"/>
        </w:rPr>
        <w:t xml:space="preserve">S</w:t>
      </w:r>
      <w:r>
        <w:rPr>
          <w:rFonts w:ascii="Cambria" w:cs="Cambria" w:eastAsia="Cambria" w:hAnsi="Cambria"/>
          <w:i/>
          <w:iCs/>
          <w:sz w:val="21"/>
          <w:szCs w:val="21"/>
          <w:vertAlign w:val="subscript"/>
        </w:rPr>
        <w:t xml:space="preserve">ℓ</w:t>
      </w:r>
      <w:r>
        <w:rPr>
          <w:rFonts w:ascii="Calibri" w:cs="Calibri" w:eastAsia="Calibri" w:hAnsi="Calibri"/>
          <w:sz w:val="21"/>
          <w:szCs w:val="21"/>
        </w:rPr>
        <w:t xml:space="preserve"> per shell </w:t>
      </w:r>
      <w:r>
        <w:rPr>
          <w:rFonts w:ascii="Calibri" w:cs="Calibri" w:eastAsia="Calibri" w:hAnsi="Calibri"/>
          <w:color w:val="2E74B5"/>
          <w:sz w:val="21"/>
          <w:szCs w:val="21"/>
        </w:rPr>
        <w:t xml:space="preserve">[6]</w:t>
      </w:r>
      <w:r>
        <w:rPr>
          <w:rFonts w:ascii="Calibri" w:cs="Calibri" w:eastAsia="Calibri" w:hAnsi="Calibri"/>
          <w:sz w:val="21"/>
          <w:szCs w:val="21"/>
        </w:rPr>
        <w:t xml:space="preserve">, </w:t>
      </w:r>
      <w:r>
        <w:rPr>
          <w:rFonts w:ascii="Calibri" w:cs="Calibri" w:eastAsia="Calibri" w:hAnsi="Calibri"/>
          <w:color w:val="2E74B5"/>
          <w:sz w:val="21"/>
          <w:szCs w:val="21"/>
        </w:rPr>
        <w:t xml:space="preserve">[7]</w:t>
      </w:r>
      <w:r>
        <w:rPr>
          <w:rFonts w:ascii="Calibri" w:cs="Calibri" w:eastAsia="Calibri" w:hAnsi="Calibri"/>
          <w:sz w:val="21"/>
          <w:szCs w:val="21"/>
        </w:rPr>
        <w:t xml:space="preserve">. Denoise on complex data beforehand where possible, since thermal noise biases the higher-order invariants and inflates apparent degeneracy </w:t>
      </w:r>
      <w:r>
        <w:rPr>
          <w:rFonts w:ascii="Calibri" w:cs="Calibri" w:eastAsia="Calibri" w:hAnsi="Calibri"/>
          <w:color w:val="2E74B5"/>
          <w:sz w:val="21"/>
          <w:szCs w:val="21"/>
        </w:rPr>
        <w:t xml:space="preserve">[6]</w:t>
      </w:r>
      <w:r>
        <w:rPr>
          <w:rFonts w:ascii="Calibri" w:cs="Calibri" w:eastAsia="Calibri" w:hAnsi="Calibri"/>
          <w:sz w:val="21"/>
          <w:szCs w:val="21"/>
        </w:rPr>
        <w:t xml:space="preserve">, </w:t>
      </w:r>
      <w:r>
        <w:rPr>
          <w:rFonts w:ascii="Calibri" w:cs="Calibri" w:eastAsia="Calibri" w:hAnsi="Calibri"/>
          <w:color w:val="2E74B5"/>
          <w:sz w:val="21"/>
          <w:szCs w:val="21"/>
        </w:rPr>
        <w:t xml:space="preserve">[10]</w:t>
      </w:r>
      <w:r>
        <w:rPr>
          <w:rFonts w:ascii="Calibri" w:cs="Calibri" w:eastAsia="Calibri" w:hAnsi="Calibri"/>
          <w:sz w:val="21"/>
          <w:szCs w:val="21"/>
        </w:rPr>
        <w:t xml:space="preserve">. Propagate the per-invariant noise variance (from residuals / bootstrap) into </w:t>
      </w:r>
      <w:r>
        <w:rPr>
          <w:rFonts w:ascii="Cambria" w:cs="Cambria" w:eastAsia="Cambria" w:hAnsi="Cambria"/>
          <w:i/>
          <w:iCs/>
          <w:sz w:val="21"/>
          <w:szCs w:val="21"/>
        </w:rPr>
        <w:t xml:space="preserve">Σ</w:t>
      </w:r>
      <w:r>
        <w:rPr>
          <w:rFonts w:ascii="Calibri" w:cs="Calibri" w:eastAsia="Calibri" w:hAnsi="Calibri"/>
          <w:sz w:val="21"/>
          <w:szCs w:val="21"/>
        </w:rPr>
        <w:t xml:space="preserve"> for use in Eq. (2).</w:t>
      </w:r>
    </w:p>
    <w:p>
      <w:pPr>
        <w:pStyle w:val="Heading2"/>
        <w:spacing w:after="100" w:before="220"/>
      </w:pPr>
      <w:r>
        <w:rPr>
          <w:rFonts w:ascii="Cambria" w:cs="Cambria" w:eastAsia="Cambria" w:hAnsi="Cambria"/>
          <w:b/>
          <w:bCs/>
          <w:color w:val="2E74B5"/>
          <w:sz w:val="25"/>
          <w:szCs w:val="25"/>
        </w:rPr>
        <w:t xml:space="preserve">5.3 Step 2 — Standard-Model fit returning both branches</w:t>
      </w:r>
    </w:p>
    <w:p>
      <w:pPr>
        <w:spacing w:after="120" w:line="276"/>
        <w:jc w:val="both"/>
      </w:pPr>
      <w:r>
        <w:rPr>
          <w:rFonts w:ascii="Calibri" w:cs="Calibri" w:eastAsia="Calibri" w:hAnsi="Calibri"/>
          <w:sz w:val="21"/>
          <w:szCs w:val="21"/>
        </w:rPr>
        <w:t xml:space="preserve">The estimator must expose the </w:t>
      </w:r>
      <w:r>
        <w:rPr>
          <w:rFonts w:ascii="Calibri" w:cs="Calibri" w:eastAsia="Calibri" w:hAnsi="Calibri"/>
          <w:b/>
          <w:bCs/>
          <w:sz w:val="21"/>
          <w:szCs w:val="21"/>
        </w:rPr>
        <w:t xml:space="preserve">two-branch structure</w:t>
      </w:r>
      <w:r>
        <w:rPr>
          <w:rFonts w:ascii="Calibri" w:cs="Calibri" w:eastAsia="Calibri" w:hAnsi="Calibri"/>
          <w:sz w:val="21"/>
          <w:szCs w:val="21"/>
        </w:rPr>
        <w:t xml:space="preserve"> rather than collapsing to one answer. Three viable routes, in increasing implementation cost:</w:t>
      </w:r>
    </w:p>
    <w:p>
      <w:pPr>
        <w:pStyle w:val="ListParagraph"/>
        <w:numPr>
          <w:ilvl w:val="0"/>
          <w:numId w:val="2"/>
        </w:numPr>
        <w:spacing w:after="70" w:line="268"/>
      </w:pPr>
      <w:r>
        <w:rPr>
          <w:rFonts w:ascii="Calibri" w:cs="Calibri" w:eastAsia="Calibri" w:hAnsi="Calibri"/>
          <w:b/>
          <w:bCs/>
          <w:sz w:val="21"/>
          <w:szCs w:val="21"/>
        </w:rPr>
        <w:t xml:space="preserve">Analytic LEMONADE/RotInv two-branch solution.</w:t>
      </w:r>
      <w:r>
        <w:rPr>
          <w:rFonts w:ascii="Calibri" w:cs="Calibri" w:eastAsia="Calibri" w:hAnsi="Calibri"/>
          <w:sz w:val="21"/>
          <w:szCs w:val="21"/>
        </w:rPr>
        <w:t xml:space="preserve"> Use the moment-expansion (LEMONADE) equations of Novikov et al. (2018) that yield the discrete branch solutions in closed form from the low-order invariants </w:t>
      </w:r>
      <w:r>
        <w:rPr>
          <w:rFonts w:ascii="Calibri" w:cs="Calibri" w:eastAsia="Calibri" w:hAnsi="Calibri"/>
          <w:color w:val="2E74B5"/>
          <w:sz w:val="21"/>
          <w:szCs w:val="21"/>
        </w:rPr>
        <w:t xml:space="preserve">[6]</w:t>
      </w:r>
      <w:r>
        <w:rPr>
          <w:rFonts w:ascii="Calibri" w:cs="Calibri" w:eastAsia="Calibri" w:hAnsi="Calibri"/>
          <w:sz w:val="21"/>
          <w:szCs w:val="21"/>
        </w:rPr>
        <w:t xml:space="preserve">. This directly returns θ</w:t>
      </w:r>
      <w:r>
        <w:rPr>
          <w:rFonts w:ascii="Cambria" w:cs="Cambria" w:eastAsia="Cambria" w:hAnsi="Cambria"/>
          <w:sz w:val="21"/>
          <w:szCs w:val="21"/>
        </w:rPr>
        <w:t xml:space="preserve">⁽¹⁾</w:t>
      </w:r>
      <w:r>
        <w:rPr>
          <w:rFonts w:ascii="Calibri" w:cs="Calibri" w:eastAsia="Calibri" w:hAnsi="Calibri"/>
          <w:sz w:val="21"/>
          <w:szCs w:val="21"/>
        </w:rPr>
        <w:t xml:space="preserve"> and θ</w:t>
      </w:r>
      <w:r>
        <w:rPr>
          <w:rFonts w:ascii="Cambria" w:cs="Cambria" w:eastAsia="Cambria" w:hAnsi="Cambria"/>
          <w:sz w:val="21"/>
          <w:szCs w:val="21"/>
        </w:rPr>
        <w:t xml:space="preserve">⁽²⁾</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Supervised ML regression (SMI toolbox).</w:t>
      </w:r>
      <w:r>
        <w:rPr>
          <w:rFonts w:ascii="Calibri" w:cs="Calibri" w:eastAsia="Calibri" w:hAnsi="Calibri"/>
          <w:sz w:val="21"/>
          <w:szCs w:val="21"/>
        </w:rPr>
        <w:t xml:space="preserve"> The cubic polynomial / neural-network regression from rotational invariants of Reisert et al. (2017) and the NYU SMI toolbox gives fast SM estimates and, with an appropriately built training prior, exposes posterior spread for Definition 2 </w:t>
      </w:r>
      <w:r>
        <w:rPr>
          <w:rFonts w:ascii="Calibri" w:cs="Calibri" w:eastAsia="Calibri" w:hAnsi="Calibri"/>
          <w:color w:val="2E74B5"/>
          <w:sz w:val="21"/>
          <w:szCs w:val="21"/>
        </w:rPr>
        <w:t xml:space="preserve">[7]</w:t>
      </w:r>
      <w:r>
        <w:rPr>
          <w:rFonts w:ascii="Calibri" w:cs="Calibri" w:eastAsia="Calibri" w:hAnsi="Calibri"/>
          <w:sz w:val="21"/>
          <w:szCs w:val="21"/>
        </w:rPr>
        <w:t xml:space="preserve">, </w:t>
      </w:r>
      <w:r>
        <w:rPr>
          <w:rFonts w:ascii="Calibri" w:cs="Calibri" w:eastAsia="Calibri" w:hAnsi="Calibri"/>
          <w:color w:val="2E74B5"/>
          <w:sz w:val="21"/>
          <w:szCs w:val="21"/>
        </w:rPr>
        <w:t xml:space="preserve">[9]</w:t>
      </w:r>
      <w:r>
        <w:rPr>
          <w:rFonts w:ascii="Calibri" w:cs="Calibri" w:eastAsia="Calibri" w:hAnsi="Calibri"/>
          <w:sz w:val="21"/>
          <w:szCs w:val="21"/>
        </w:rPr>
        <w:t xml:space="preserve">, </w:t>
      </w:r>
      <w:r>
        <w:rPr>
          <w:rFonts w:ascii="Calibri" w:cs="Calibri" w:eastAsia="Calibri" w:hAnsi="Calibri"/>
          <w:color w:val="2E74B5"/>
          <w:sz w:val="21"/>
          <w:szCs w:val="21"/>
        </w:rPr>
        <w:t xml:space="preserve">[11]</w:t>
      </w:r>
      <w:r>
        <w:rPr>
          <w:rFonts w:ascii="Calibri" w:cs="Calibri" w:eastAsia="Calibri" w:hAnsi="Calibri"/>
          <w:sz w:val="21"/>
          <w:szCs w:val="21"/>
        </w:rPr>
        <w:t xml:space="preserve">. This is the recommended route for SMDI</w:t>
      </w:r>
      <w:r>
        <w:rPr>
          <w:rFonts w:ascii="Cambria" w:cs="Cambria" w:eastAsia="Cambria" w:hAnsi="Cambria"/>
          <w:i/>
          <w:iCs/>
          <w:sz w:val="21"/>
          <w:szCs w:val="21"/>
          <w:vertAlign w:val="subscript"/>
        </w:rPr>
        <w:t xml:space="preserve">post</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Grid / multi-start nonlinear fit.</w:t>
      </w:r>
      <w:r>
        <w:rPr>
          <w:rFonts w:ascii="Calibri" w:cs="Calibri" w:eastAsia="Calibri" w:hAnsi="Calibri"/>
          <w:sz w:val="21"/>
          <w:szCs w:val="21"/>
        </w:rPr>
        <w:t xml:space="preserve"> Dense multi-start optimization of the SM likelihood, clustering the minima into branches. Most expensive; used as a validation reference against the analytic solution.</w:t>
      </w:r>
    </w:p>
    <w:p>
      <w:pPr>
        <w:spacing w:after="120" w:line="276"/>
        <w:jc w:val="both"/>
      </w:pPr>
      <w:r>
        <w:rPr>
          <w:rFonts w:ascii="Calibri" w:cs="Calibri" w:eastAsia="Calibri" w:hAnsi="Calibri"/>
          <w:sz w:val="21"/>
          <w:szCs w:val="21"/>
        </w:rPr>
        <w:t xml:space="preserve">For the primary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the analytic two-branch route is preferred because it is deterministic and does not depend on optimizer initialization.</w:t>
      </w:r>
    </w:p>
    <w:p>
      <w:pPr>
        <w:pStyle w:val="Heading2"/>
        <w:spacing w:after="100" w:before="220"/>
      </w:pPr>
      <w:r>
        <w:rPr>
          <w:rFonts w:ascii="Cambria" w:cs="Cambria" w:eastAsia="Cambria" w:hAnsi="Cambria"/>
          <w:b/>
          <w:bCs/>
          <w:color w:val="2E74B5"/>
          <w:sz w:val="25"/>
          <w:szCs w:val="25"/>
        </w:rPr>
        <w:t xml:space="preserve">5.4 Step 3 — compute SMDI</w:t>
      </w:r>
    </w:p>
    <w:p>
      <w:pPr>
        <w:pStyle w:val="ListParagraph"/>
        <w:numPr>
          <w:ilvl w:val="0"/>
          <w:numId w:val="4"/>
        </w:numPr>
        <w:spacing w:after="80" w:line="268"/>
      </w:pPr>
      <w:r>
        <w:rPr>
          <w:rFonts w:ascii="Calibri" w:cs="Calibri" w:eastAsia="Calibri" w:hAnsi="Calibri"/>
          <w:sz w:val="21"/>
          <w:szCs w:val="21"/>
        </w:rPr>
        <w:t xml:space="preserve">Evaluate the forward map </w:t>
      </w:r>
      <w:r>
        <w:rPr>
          <w:rFonts w:ascii="Cambria" w:cs="Cambria" w:eastAsia="Cambria" w:hAnsi="Cambria"/>
          <w:i/>
          <w:iCs/>
          <w:sz w:val="21"/>
          <w:szCs w:val="21"/>
        </w:rPr>
        <w:t xml:space="preserve">M(θ</w:t>
      </w:r>
      <w:r>
        <w:rPr>
          <w:rFonts w:ascii="Cambria" w:cs="Cambria" w:eastAsia="Cambria" w:hAnsi="Cambria"/>
          <w:sz w:val="21"/>
          <w:szCs w:val="21"/>
        </w:rPr>
        <w:t xml:space="preserve">⁽¹⁾</w:t>
      </w:r>
      <w:r>
        <w:rPr>
          <w:rFonts w:ascii="Cambria" w:cs="Cambria" w:eastAsia="Cambria" w:hAnsi="Cambria"/>
          <w:i/>
          <w:iCs/>
          <w:sz w:val="21"/>
          <w:szCs w:val="21"/>
        </w:rPr>
        <w:t xml:space="preserve">)</w:t>
      </w:r>
      <w:r>
        <w:rPr>
          <w:rFonts w:ascii="Calibri" w:cs="Calibri" w:eastAsia="Calibri" w:hAnsi="Calibri"/>
          <w:sz w:val="21"/>
          <w:szCs w:val="21"/>
        </w:rPr>
        <w:t xml:space="preserve"> and </w:t>
      </w:r>
      <w:r>
        <w:rPr>
          <w:rFonts w:ascii="Cambria" w:cs="Cambria" w:eastAsia="Cambria" w:hAnsi="Cambria"/>
          <w:i/>
          <w:iCs/>
          <w:sz w:val="21"/>
          <w:szCs w:val="21"/>
        </w:rPr>
        <w:t xml:space="preserve">M(θ</w:t>
      </w:r>
      <w:r>
        <w:rPr>
          <w:rFonts w:ascii="Cambria" w:cs="Cambria" w:eastAsia="Cambria" w:hAnsi="Cambria"/>
          <w:sz w:val="21"/>
          <w:szCs w:val="21"/>
        </w:rPr>
        <w:t xml:space="preserve">⁽²⁾</w:t>
      </w:r>
      <w:r>
        <w:rPr>
          <w:rFonts w:ascii="Cambria" w:cs="Cambria" w:eastAsia="Cambria" w:hAnsi="Cambria"/>
          <w:i/>
          <w:iCs/>
          <w:sz w:val="21"/>
          <w:szCs w:val="21"/>
        </w:rPr>
        <w:t xml:space="preserve">)</w:t>
      </w:r>
      <w:r>
        <w:rPr>
          <w:rFonts w:ascii="Calibri" w:cs="Calibri" w:eastAsia="Calibri" w:hAnsi="Calibri"/>
          <w:sz w:val="21"/>
          <w:szCs w:val="21"/>
        </w:rPr>
        <w:t xml:space="preserve"> in invariant space.</w:t>
      </w:r>
    </w:p>
    <w:p>
      <w:pPr>
        <w:pStyle w:val="ListParagraph"/>
        <w:numPr>
          <w:ilvl w:val="0"/>
          <w:numId w:val="4"/>
        </w:numPr>
        <w:spacing w:after="80" w:line="268"/>
      </w:pPr>
      <w:r>
        <w:rPr>
          <w:rFonts w:ascii="Calibri" w:cs="Calibri" w:eastAsia="Calibri" w:hAnsi="Calibri"/>
          <w:sz w:val="21"/>
          <w:szCs w:val="21"/>
        </w:rPr>
        <w:t xml:space="preserve">Form the Mahalanobis separation Δ</w:t>
      </w:r>
      <w:r>
        <w:rPr>
          <w:rFonts w:ascii="Cambria" w:cs="Cambria" w:eastAsia="Cambria" w:hAnsi="Cambria"/>
          <w:i/>
          <w:iCs/>
          <w:sz w:val="21"/>
          <w:szCs w:val="21"/>
          <w:vertAlign w:val="subscript"/>
        </w:rPr>
        <w:t xml:space="preserve">R</w:t>
      </w:r>
      <w:r>
        <w:rPr>
          <w:rFonts w:ascii="Calibri" w:cs="Calibri" w:eastAsia="Calibri" w:hAnsi="Calibri"/>
          <w:sz w:val="21"/>
          <w:szCs w:val="21"/>
        </w:rPr>
        <w:t xml:space="preserve"> via Eq. (2) using the propagated Σ.</w:t>
      </w:r>
    </w:p>
    <w:p>
      <w:pPr>
        <w:pStyle w:val="ListParagraph"/>
        <w:numPr>
          <w:ilvl w:val="0"/>
          <w:numId w:val="4"/>
        </w:numPr>
        <w:spacing w:after="80" w:line="268"/>
      </w:pPr>
      <w:r>
        <w:rPr>
          <w:rFonts w:ascii="Calibri" w:cs="Calibri" w:eastAsia="Calibri" w:hAnsi="Calibri"/>
          <w:sz w:val="21"/>
          <w:szCs w:val="21"/>
        </w:rPr>
        <w:t xml:space="preserve">Map to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via Eq. (3). Optionally also output raw Δ</w:t>
      </w:r>
      <w:r>
        <w:rPr>
          <w:rFonts w:ascii="Cambria" w:cs="Cambria" w:eastAsia="Cambria" w:hAnsi="Cambria"/>
          <w:i/>
          <w:iCs/>
          <w:sz w:val="21"/>
          <w:szCs w:val="21"/>
          <w:vertAlign w:val="subscript"/>
        </w:rPr>
        <w:t xml:space="preserve">R</w:t>
      </w:r>
      <w:r>
        <w:rPr>
          <w:rFonts w:ascii="Calibri" w:cs="Calibri" w:eastAsia="Calibri" w:hAnsi="Calibri"/>
          <w:sz w:val="21"/>
          <w:szCs w:val="21"/>
        </w:rPr>
        <w:t xml:space="preserve"> and, if a posterior is available, SMDI</w:t>
      </w:r>
      <w:r>
        <w:rPr>
          <w:rFonts w:ascii="Cambria" w:cs="Cambria" w:eastAsia="Cambria" w:hAnsi="Cambria"/>
          <w:i/>
          <w:iCs/>
          <w:sz w:val="21"/>
          <w:szCs w:val="21"/>
          <w:vertAlign w:val="subscript"/>
        </w:rPr>
        <w:t xml:space="preserve">post</w:t>
      </w:r>
      <w:r>
        <w:rPr>
          <w:rFonts w:ascii="Calibri" w:cs="Calibri" w:eastAsia="Calibri" w:hAnsi="Calibri"/>
          <w:sz w:val="21"/>
          <w:szCs w:val="21"/>
        </w:rPr>
        <w:t xml:space="preserve"> via Eq. (4).</w:t>
      </w:r>
    </w:p>
    <w:p>
      <w:pPr>
        <w:pStyle w:val="ListParagraph"/>
        <w:numPr>
          <w:ilvl w:val="0"/>
          <w:numId w:val="4"/>
        </w:numPr>
        <w:spacing w:after="80" w:line="268"/>
      </w:pPr>
      <w:r>
        <w:rPr>
          <w:rFonts w:ascii="Calibri" w:cs="Calibri" w:eastAsia="Calibri" w:hAnsi="Calibri"/>
          <w:sz w:val="21"/>
          <w:szCs w:val="21"/>
        </w:rPr>
        <w:t xml:space="preserve">Write per-voxel maps; record fit provenance (estimator, invariant orders, SNR) in the capability profile.</w:t>
      </w:r>
    </w:p>
    <w:p>
      <w:pPr>
        <w:pStyle w:val="Heading2"/>
        <w:spacing w:after="100" w:before="220"/>
      </w:pPr>
      <w:r>
        <w:rPr>
          <w:rFonts w:ascii="Cambria" w:cs="Cambria" w:eastAsia="Cambria" w:hAnsi="Cambria"/>
          <w:b/>
          <w:bCs/>
          <w:color w:val="2E74B5"/>
          <w:sz w:val="25"/>
          <w:szCs w:val="25"/>
        </w:rPr>
        <w:t xml:space="preserve">5.5 Quality control and failure handling</w:t>
      </w:r>
    </w:p>
    <w:p>
      <w:pPr>
        <w:pStyle w:val="ListParagraph"/>
        <w:numPr>
          <w:ilvl w:val="0"/>
          <w:numId w:val="2"/>
        </w:numPr>
        <w:spacing w:after="70" w:line="268"/>
      </w:pPr>
      <w:r>
        <w:rPr>
          <w:rFonts w:ascii="Calibri" w:cs="Calibri" w:eastAsia="Calibri" w:hAnsi="Calibri"/>
          <w:b/>
          <w:bCs/>
          <w:sz w:val="21"/>
          <w:szCs w:val="21"/>
        </w:rPr>
        <w:t xml:space="preserve">Mask non-WM and CSF-dominated voxels</w:t>
      </w:r>
      <w:r>
        <w:rPr>
          <w:rFonts w:ascii="Calibri" w:cs="Calibri" w:eastAsia="Calibri" w:hAnsi="Calibri"/>
          <w:sz w:val="21"/>
          <w:szCs w:val="21"/>
        </w:rPr>
        <w:t xml:space="preserve"> (e.g. free-water fraction above threshold) where the SM does not apply; report SMDI only within a WM/deep-GM analysis mask.</w:t>
      </w:r>
    </w:p>
    <w:p>
      <w:pPr>
        <w:pStyle w:val="ListParagraph"/>
        <w:numPr>
          <w:ilvl w:val="0"/>
          <w:numId w:val="2"/>
        </w:numPr>
        <w:spacing w:after="70" w:line="268"/>
      </w:pPr>
      <w:r>
        <w:rPr>
          <w:rFonts w:ascii="Calibri" w:cs="Calibri" w:eastAsia="Calibri" w:hAnsi="Calibri"/>
          <w:b/>
          <w:bCs/>
          <w:sz w:val="21"/>
          <w:szCs w:val="21"/>
        </w:rPr>
        <w:t xml:space="preserve">Flag “no second branch found”</w:t>
      </w:r>
      <w:r>
        <w:rPr>
          <w:rFonts w:ascii="Calibri" w:cs="Calibri" w:eastAsia="Calibri" w:hAnsi="Calibri"/>
          <w:sz w:val="21"/>
          <w:szCs w:val="21"/>
        </w:rPr>
        <w:t xml:space="preserve"> separately from “branches coincident” — both give low separation but mean different things (one may indicate a failed solve).</w:t>
      </w:r>
    </w:p>
    <w:p>
      <w:pPr>
        <w:pStyle w:val="ListParagraph"/>
        <w:numPr>
          <w:ilvl w:val="0"/>
          <w:numId w:val="2"/>
        </w:numPr>
        <w:spacing w:after="70" w:line="268"/>
      </w:pPr>
      <w:r>
        <w:rPr>
          <w:rFonts w:ascii="Calibri" w:cs="Calibri" w:eastAsia="Calibri" w:hAnsi="Calibri"/>
          <w:b/>
          <w:bCs/>
          <w:sz w:val="21"/>
          <w:szCs w:val="21"/>
        </w:rPr>
        <w:t xml:space="preserve">Bootstrap the invariants</w:t>
      </w:r>
      <w:r>
        <w:rPr>
          <w:rFonts w:ascii="Calibri" w:cs="Calibri" w:eastAsia="Calibri" w:hAnsi="Calibri"/>
          <w:sz w:val="21"/>
          <w:szCs w:val="21"/>
        </w:rPr>
        <w:t xml:space="preserve"> to attach a confidence interval to SMDI itself; unstable SMDI (wide CI) is its own flag.</w:t>
      </w:r>
    </w:p>
    <w:p>
      <w:r>
        <w:br w:type="page"/>
      </w:r>
    </w:p>
    <w:p>
      <w:pPr>
        <w:pStyle w:val="Heading1"/>
        <w:spacing w:after="140" w:before="320"/>
      </w:pPr>
      <w:r>
        <w:rPr>
          <w:rFonts w:ascii="Cambria" w:cs="Cambria" w:eastAsia="Cambria" w:hAnsi="Cambria"/>
          <w:b/>
          <w:bCs/>
          <w:color w:val="1F4E79"/>
          <w:sz w:val="30"/>
          <w:szCs w:val="30"/>
        </w:rPr>
        <w:t xml:space="preserve">6. Methods II: Pipeline Implementation</w:t>
      </w:r>
    </w:p>
    <w:p>
      <w:pPr>
        <w:spacing w:after="120" w:line="276"/>
        <w:jc w:val="both"/>
      </w:pPr>
      <w:r>
        <w:rPr>
          <w:rFonts w:ascii="Calibri" w:cs="Calibri" w:eastAsia="Calibri" w:hAnsi="Calibri"/>
          <w:sz w:val="21"/>
          <w:szCs w:val="21"/>
        </w:rPr>
        <w:t xml:space="preserve">SMDI slots into dwiforge as a post-microstructure stage, consuming preprocessed DWIs (Stage 05) and, optionally, the existing NODDI outputs (Stage 07). It is advisory and non-fatal, consistent with the pipeline's other analysis-tier stages.</w:t>
      </w:r>
    </w:p>
    <w:tbl>
      <w:tblPr>
        <w:tblW w:type="dxa" w:w="9360"/>
        <w:tblBorders>
          <w:top w:val="single" w:color="1F4E79" w:sz="4"/>
          <w:left w:val="single" w:color="BFBFBF" w:sz="2"/>
          <w:bottom w:val="single" w:color="1F4E79" w:sz="4"/>
          <w:right w:val="single" w:color="BFBFBF" w:sz="2"/>
          <w:insideH w:val="single" w:color="BFBFBF" w:sz="2"/>
          <w:insideV w:val="single" w:color="BFBFBF" w:sz="2"/>
        </w:tblBorders>
      </w:tblPr>
      <w:tblGrid>
        <w:gridCol w:w="2200"/>
        <w:gridCol w:w="3200"/>
        <w:gridCol w:w="2560"/>
        <w:gridCol w:w="1400"/>
      </w:tblGrid>
      <w:tr>
        <w:trPr>
          <w:tblHeader/>
        </w:trPr>
        <w:tc>
          <w:tcPr>
            <w:tcW w:type="dxa" w:w="220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Stage</w:t>
            </w:r>
          </w:p>
        </w:tc>
        <w:tc>
          <w:tcPr>
            <w:tcW w:type="dxa" w:w="320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Input</w:t>
            </w:r>
          </w:p>
        </w:tc>
        <w:tc>
          <w:tcPr>
            <w:tcW w:type="dxa" w:w="256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Output</w:t>
            </w:r>
          </w:p>
        </w:tc>
        <w:tc>
          <w:tcPr>
            <w:tcW w:type="dxa" w:w="1400"/>
            <w:shd w:fill="1F4E79" w:color="auto" w:val="clear"/>
            <w:tcMar>
              <w:top w:type="dxa" w:w="60"/>
              <w:left w:type="dxa" w:w="90"/>
              <w:bottom w:type="dxa" w:w="60"/>
              <w:right w:type="dxa" w:w="90"/>
            </w:tcMar>
          </w:tcPr>
          <w:p>
            <w:r>
              <w:rPr>
                <w:rFonts w:ascii="Calibri" w:cs="Calibri" w:eastAsia="Calibri" w:hAnsi="Calibri"/>
                <w:b/>
                <w:bCs/>
                <w:color w:val="FFFFFF"/>
                <w:sz w:val="19"/>
                <w:szCs w:val="19"/>
              </w:rPr>
              <w:t xml:space="preserve">Depends on</w:t>
            </w:r>
          </w:p>
        </w:tc>
      </w:tr>
      <w:tr>
        <w:tc>
          <w:tcPr>
            <w:tcW w:type="dxa" w:w="2200"/>
            <w:shd w:fill="FFFFFF" w:color="auto" w:val="clear"/>
            <w:tcMar>
              <w:top w:type="dxa" w:w="50"/>
              <w:left w:type="dxa" w:w="90"/>
              <w:bottom w:type="dxa" w:w="50"/>
              <w:right w:type="dxa" w:w="90"/>
            </w:tcMar>
          </w:tcPr>
          <w:p>
            <w:r>
              <w:rPr>
                <w:rFonts w:ascii="Calibri" w:cs="Calibri" w:eastAsia="Calibri" w:hAnsi="Calibri"/>
                <w:sz w:val="19"/>
                <w:szCs w:val="19"/>
              </w:rPr>
              <w:t xml:space="preserve">12a · invariants</w:t>
            </w:r>
          </w:p>
        </w:tc>
        <w:tc>
          <w:tcPr>
            <w:tcW w:type="dxa" w:w="3200"/>
            <w:shd w:fill="FFFFFF" w:color="auto" w:val="clear"/>
            <w:tcMar>
              <w:top w:type="dxa" w:w="50"/>
              <w:left w:type="dxa" w:w="90"/>
              <w:bottom w:type="dxa" w:w="50"/>
              <w:right w:type="dxa" w:w="90"/>
            </w:tcMar>
          </w:tcPr>
          <w:p>
            <w:r>
              <w:rPr>
                <w:rFonts w:ascii="Calibri" w:cs="Calibri" w:eastAsia="Calibri" w:hAnsi="Calibri"/>
                <w:sz w:val="19"/>
                <w:szCs w:val="19"/>
              </w:rPr>
              <w:t xml:space="preserve">dwi_preprocessed.mif, grad table</w:t>
            </w:r>
          </w:p>
        </w:tc>
        <w:tc>
          <w:tcPr>
            <w:tcW w:type="dxa" w:w="2560"/>
            <w:shd w:fill="FFFFFF" w:color="auto" w:val="clear"/>
            <w:tcMar>
              <w:top w:type="dxa" w:w="50"/>
              <w:left w:type="dxa" w:w="90"/>
              <w:bottom w:type="dxa" w:w="50"/>
              <w:right w:type="dxa" w:w="90"/>
            </w:tcMar>
          </w:tcPr>
          <w:p>
            <w:r>
              <w:rPr>
                <w:rFonts w:ascii="Calibri" w:cs="Calibri" w:eastAsia="Calibri" w:hAnsi="Calibri"/>
                <w:sz w:val="19"/>
                <w:szCs w:val="19"/>
              </w:rPr>
              <w:t xml:space="preserve">S0,S2,S4 per shell + noise Σ</w:t>
            </w:r>
          </w:p>
        </w:tc>
        <w:tc>
          <w:tcPr>
            <w:tcW w:type="dxa" w:w="1400"/>
            <w:shd w:fill="FFFFFF" w:color="auto" w:val="clear"/>
            <w:tcMar>
              <w:top w:type="dxa" w:w="50"/>
              <w:left w:type="dxa" w:w="90"/>
              <w:bottom w:type="dxa" w:w="50"/>
              <w:right w:type="dxa" w:w="90"/>
            </w:tcMar>
          </w:tcPr>
          <w:p>
            <w:r>
              <w:rPr>
                <w:rFonts w:ascii="Calibri" w:cs="Calibri" w:eastAsia="Calibri" w:hAnsi="Calibri"/>
                <w:sz w:val="19"/>
                <w:szCs w:val="19"/>
              </w:rPr>
              <w:t xml:space="preserve">Stage 05</w:t>
            </w:r>
          </w:p>
        </w:tc>
      </w:tr>
      <w:tr>
        <w:tc>
          <w:tcPr>
            <w:tcW w:type="dxa" w:w="2200"/>
            <w:shd w:fill="F2F6FA" w:color="auto" w:val="clear"/>
            <w:tcMar>
              <w:top w:type="dxa" w:w="50"/>
              <w:left w:type="dxa" w:w="90"/>
              <w:bottom w:type="dxa" w:w="50"/>
              <w:right w:type="dxa" w:w="90"/>
            </w:tcMar>
          </w:tcPr>
          <w:p>
            <w:r>
              <w:rPr>
                <w:rFonts w:ascii="Calibri" w:cs="Calibri" w:eastAsia="Calibri" w:hAnsi="Calibri"/>
                <w:sz w:val="19"/>
                <w:szCs w:val="19"/>
              </w:rPr>
              <w:t xml:space="preserve">12b · SM two-branch fit</w:t>
            </w:r>
          </w:p>
        </w:tc>
        <w:tc>
          <w:tcPr>
            <w:tcW w:type="dxa" w:w="3200"/>
            <w:shd w:fill="F2F6FA" w:color="auto" w:val="clear"/>
            <w:tcMar>
              <w:top w:type="dxa" w:w="50"/>
              <w:left w:type="dxa" w:w="90"/>
              <w:bottom w:type="dxa" w:w="50"/>
              <w:right w:type="dxa" w:w="90"/>
            </w:tcMar>
          </w:tcPr>
          <w:p>
            <w:r>
              <w:rPr>
                <w:rFonts w:ascii="Calibri" w:cs="Calibri" w:eastAsia="Calibri" w:hAnsi="Calibri"/>
                <w:sz w:val="19"/>
                <w:szCs w:val="19"/>
              </w:rPr>
              <w:t xml:space="preserve">invariants</w:t>
            </w:r>
          </w:p>
        </w:tc>
        <w:tc>
          <w:tcPr>
            <w:tcW w:type="dxa" w:w="2560"/>
            <w:shd w:fill="F2F6FA" w:color="auto" w:val="clear"/>
            <w:tcMar>
              <w:top w:type="dxa" w:w="50"/>
              <w:left w:type="dxa" w:w="90"/>
              <w:bottom w:type="dxa" w:w="50"/>
              <w:right w:type="dxa" w:w="90"/>
            </w:tcMar>
          </w:tcPr>
          <w:p>
            <w:r>
              <w:rPr>
                <w:rFonts w:ascii="Calibri" w:cs="Calibri" w:eastAsia="Calibri" w:hAnsi="Calibri"/>
                <w:sz w:val="19"/>
                <w:szCs w:val="19"/>
              </w:rPr>
              <w:t xml:space="preserve">θ⁽¹⁾, θ⁽²⁾ (+ posterior if ML)</w:t>
            </w:r>
          </w:p>
        </w:tc>
        <w:tc>
          <w:tcPr>
            <w:tcW w:type="dxa" w:w="1400"/>
            <w:shd w:fill="F2F6FA" w:color="auto" w:val="clear"/>
            <w:tcMar>
              <w:top w:type="dxa" w:w="50"/>
              <w:left w:type="dxa" w:w="90"/>
              <w:bottom w:type="dxa" w:w="50"/>
              <w:right w:type="dxa" w:w="90"/>
            </w:tcMar>
          </w:tcPr>
          <w:p>
            <w:r>
              <w:rPr>
                <w:rFonts w:ascii="Calibri" w:cs="Calibri" w:eastAsia="Calibri" w:hAnsi="Calibri"/>
                <w:sz w:val="19"/>
                <w:szCs w:val="19"/>
              </w:rPr>
              <w:t xml:space="preserve">12a</w:t>
            </w:r>
          </w:p>
        </w:tc>
      </w:tr>
      <w:tr>
        <w:tc>
          <w:tcPr>
            <w:tcW w:type="dxa" w:w="2200"/>
            <w:shd w:fill="FFFFFF" w:color="auto" w:val="clear"/>
            <w:tcMar>
              <w:top w:type="dxa" w:w="50"/>
              <w:left w:type="dxa" w:w="90"/>
              <w:bottom w:type="dxa" w:w="50"/>
              <w:right w:type="dxa" w:w="90"/>
            </w:tcMar>
          </w:tcPr>
          <w:p>
            <w:r>
              <w:rPr>
                <w:rFonts w:ascii="Calibri" w:cs="Calibri" w:eastAsia="Calibri" w:hAnsi="Calibri"/>
                <w:sz w:val="19"/>
                <w:szCs w:val="19"/>
              </w:rPr>
              <w:t xml:space="preserve">12c · SMDI maps</w:t>
            </w:r>
          </w:p>
        </w:tc>
        <w:tc>
          <w:tcPr>
            <w:tcW w:type="dxa" w:w="3200"/>
            <w:shd w:fill="FFFFFF" w:color="auto" w:val="clear"/>
            <w:tcMar>
              <w:top w:type="dxa" w:w="50"/>
              <w:left w:type="dxa" w:w="90"/>
              <w:bottom w:type="dxa" w:w="50"/>
              <w:right w:type="dxa" w:w="90"/>
            </w:tcMar>
          </w:tcPr>
          <w:p>
            <w:r>
              <w:rPr>
                <w:rFonts w:ascii="Calibri" w:cs="Calibri" w:eastAsia="Calibri" w:hAnsi="Calibri"/>
                <w:sz w:val="19"/>
                <w:szCs w:val="19"/>
              </w:rPr>
              <w:t xml:space="preserve">θ⁽¹⁾, θ⁽²⁾, Σ</w:t>
            </w:r>
          </w:p>
        </w:tc>
        <w:tc>
          <w:tcPr>
            <w:tcW w:type="dxa" w:w="2560"/>
            <w:shd w:fill="FFFFFF" w:color="auto" w:val="clear"/>
            <w:tcMar>
              <w:top w:type="dxa" w:w="50"/>
              <w:left w:type="dxa" w:w="90"/>
              <w:bottom w:type="dxa" w:w="50"/>
              <w:right w:type="dxa" w:w="90"/>
            </w:tcMar>
          </w:tcPr>
          <w:p>
            <w:r>
              <w:rPr>
                <w:rFonts w:ascii="Calibri" w:cs="Calibri" w:eastAsia="Calibri" w:hAnsi="Calibri"/>
                <w:sz w:val="19"/>
                <w:szCs w:val="19"/>
              </w:rPr>
              <w:t xml:space="preserve">SMDI_sep, ΔR, [SMDI_post]</w:t>
            </w:r>
          </w:p>
        </w:tc>
        <w:tc>
          <w:tcPr>
            <w:tcW w:type="dxa" w:w="1400"/>
            <w:shd w:fill="FFFFFF" w:color="auto" w:val="clear"/>
            <w:tcMar>
              <w:top w:type="dxa" w:w="50"/>
              <w:left w:type="dxa" w:w="90"/>
              <w:bottom w:type="dxa" w:w="50"/>
              <w:right w:type="dxa" w:w="90"/>
            </w:tcMar>
          </w:tcPr>
          <w:p>
            <w:r>
              <w:rPr>
                <w:rFonts w:ascii="Calibri" w:cs="Calibri" w:eastAsia="Calibri" w:hAnsi="Calibri"/>
                <w:sz w:val="19"/>
                <w:szCs w:val="19"/>
              </w:rPr>
              <w:t xml:space="preserve">12b</w:t>
            </w:r>
          </w:p>
        </w:tc>
      </w:tr>
      <w:tr>
        <w:tc>
          <w:tcPr>
            <w:tcW w:type="dxa" w:w="2200"/>
            <w:shd w:fill="F2F6FA" w:color="auto" w:val="clear"/>
            <w:tcMar>
              <w:top w:type="dxa" w:w="50"/>
              <w:left w:type="dxa" w:w="90"/>
              <w:bottom w:type="dxa" w:w="50"/>
              <w:right w:type="dxa" w:w="90"/>
            </w:tcMar>
          </w:tcPr>
          <w:p>
            <w:r>
              <w:rPr>
                <w:rFonts w:ascii="Calibri" w:cs="Calibri" w:eastAsia="Calibri" w:hAnsi="Calibri"/>
                <w:sz w:val="19"/>
                <w:szCs w:val="19"/>
              </w:rPr>
              <w:t xml:space="preserve">12d · QC + ROI</w:t>
            </w:r>
          </w:p>
        </w:tc>
        <w:tc>
          <w:tcPr>
            <w:tcW w:type="dxa" w:w="3200"/>
            <w:shd w:fill="F2F6FA" w:color="auto" w:val="clear"/>
            <w:tcMar>
              <w:top w:type="dxa" w:w="50"/>
              <w:left w:type="dxa" w:w="90"/>
              <w:bottom w:type="dxa" w:w="50"/>
              <w:right w:type="dxa" w:w="90"/>
            </w:tcMar>
          </w:tcPr>
          <w:p>
            <w:r>
              <w:rPr>
                <w:rFonts w:ascii="Calibri" w:cs="Calibri" w:eastAsia="Calibri" w:hAnsi="Calibri"/>
                <w:sz w:val="19"/>
                <w:szCs w:val="19"/>
              </w:rPr>
              <w:t xml:space="preserve">SMDI maps, parcellation</w:t>
            </w:r>
          </w:p>
        </w:tc>
        <w:tc>
          <w:tcPr>
            <w:tcW w:type="dxa" w:w="2560"/>
            <w:shd w:fill="F2F6FA" w:color="auto" w:val="clear"/>
            <w:tcMar>
              <w:top w:type="dxa" w:w="50"/>
              <w:left w:type="dxa" w:w="90"/>
              <w:bottom w:type="dxa" w:w="50"/>
              <w:right w:type="dxa" w:w="90"/>
            </w:tcMar>
          </w:tcPr>
          <w:p>
            <w:r>
              <w:rPr>
                <w:rFonts w:ascii="Calibri" w:cs="Calibri" w:eastAsia="Calibri" w:hAnsi="Calibri"/>
                <w:sz w:val="19"/>
                <w:szCs w:val="19"/>
              </w:rPr>
              <w:t xml:space="preserve">ROI table, QC panel in PDF</w:t>
            </w:r>
          </w:p>
        </w:tc>
        <w:tc>
          <w:tcPr>
            <w:tcW w:type="dxa" w:w="1400"/>
            <w:shd w:fill="F2F6FA" w:color="auto" w:val="clear"/>
            <w:tcMar>
              <w:top w:type="dxa" w:w="50"/>
              <w:left w:type="dxa" w:w="90"/>
              <w:bottom w:type="dxa" w:w="50"/>
              <w:right w:type="dxa" w:w="90"/>
            </w:tcMar>
          </w:tcPr>
          <w:p>
            <w:r>
              <w:rPr>
                <w:rFonts w:ascii="Calibri" w:cs="Calibri" w:eastAsia="Calibri" w:hAnsi="Calibri"/>
                <w:sz w:val="19"/>
                <w:szCs w:val="19"/>
              </w:rPr>
              <w:t xml:space="preserve">12c, Stage 09</w:t>
            </w:r>
          </w:p>
        </w:tc>
      </w:tr>
    </w:tbl>
    <w:p>
      <w:pPr>
        <w:spacing w:after="60"/>
      </w:pPr>
      <w:r>
        <w:t xml:space="preserve"/>
      </w:r>
    </w:p>
    <w:p>
      <w:pPr>
        <w:spacing w:after="120" w:line="276"/>
        <w:jc w:val="both"/>
      </w:pPr>
      <w:r>
        <w:rPr>
          <w:rFonts w:ascii="Calibri" w:cs="Calibri" w:eastAsia="Calibri" w:hAnsi="Calibri"/>
          <w:sz w:val="21"/>
          <w:szCs w:val="21"/>
        </w:rPr>
        <w:t xml:space="preserve">Reuse the established dwiforge conventions: checkpoint via output-file existence; write status and parameters into </w:t>
      </w:r>
      <w:r>
        <w:rPr>
          <w:rFonts w:ascii="Consolas" w:cs="Consolas" w:eastAsia="Consolas" w:hAnsi="Consolas"/>
          <w:i w:val="false"/>
          <w:iCs w:val="false"/>
          <w:sz w:val="21"/>
          <w:szCs w:val="21"/>
        </w:rPr>
        <w:t xml:space="preserve">capability.json</w:t>
      </w:r>
      <w:r>
        <w:rPr>
          <w:rFonts w:ascii="Calibri" w:cs="Calibri" w:eastAsia="Calibri" w:hAnsi="Calibri"/>
          <w:sz w:val="21"/>
          <w:szCs w:val="21"/>
        </w:rPr>
        <w:t xml:space="preserve">; expose </w:t>
      </w:r>
      <w:r>
        <w:rPr>
          <w:rFonts w:ascii="Consolas" w:cs="Consolas" w:eastAsia="Consolas" w:hAnsi="Consolas"/>
          <w:sz w:val="21"/>
          <w:szCs w:val="21"/>
        </w:rPr>
        <w:t xml:space="preserve">run_smdi</w:t>
      </w:r>
      <w:r>
        <w:rPr>
          <w:rFonts w:ascii="Calibri" w:cs="Calibri" w:eastAsia="Calibri" w:hAnsi="Calibri"/>
          <w:sz w:val="21"/>
          <w:szCs w:val="21"/>
        </w:rPr>
        <w:t xml:space="preserve">, the invariant order, and the estimator choice as </w:t>
      </w:r>
      <w:r>
        <w:rPr>
          <w:rFonts w:ascii="Consolas" w:cs="Consolas" w:eastAsia="Consolas" w:hAnsi="Consolas"/>
          <w:sz w:val="21"/>
          <w:szCs w:val="21"/>
        </w:rPr>
        <w:t xml:space="preserve">[options]</w:t>
      </w:r>
      <w:r>
        <w:rPr>
          <w:rFonts w:ascii="Calibri" w:cs="Calibri" w:eastAsia="Calibri" w:hAnsi="Calibri"/>
          <w:sz w:val="21"/>
          <w:szCs w:val="21"/>
        </w:rPr>
        <w:t xml:space="preserve"> keys so they are exported through the config parser. As with the connectome-stats stage, invoke any Python helper directly (no output pipe) so the real exit code is checked and logs are not double-prefixed.</w:t>
      </w:r>
    </w:p>
    <w:tbl>
      <w:tblPr>
        <w:tblW w:type="pct" w:w="100%"/>
        <w:tblBorders>
          <w:top w:val="single" w:color="2E74B5" w:sz="2"/>
          <w:left w:val="single" w:color="2E74B5" w:sz="12"/>
          <w:bottom w:val="single" w:color="2E74B5" w:sz="2"/>
          <w:right w:val="single" w:color="2E74B5" w:sz="2"/>
          <w:insideH w:val="none"/>
          <w:insideV w:val="none"/>
        </w:tblBorders>
      </w:tblPr>
      <w:tblGrid>
        <w:gridCol w:w="9360"/>
      </w:tblGrid>
      <w:tr>
        <w:tc>
          <w:tcPr>
            <w:tcW w:type="dxa" w:w="9360"/>
            <w:shd w:fill="DEEAF1" w:color="auto" w:val="clear"/>
            <w:tcMar>
              <w:top w:type="dxa" w:w="120"/>
              <w:left w:type="dxa" w:w="160"/>
              <w:bottom w:type="dxa" w:w="120"/>
              <w:right w:type="dxa" w:w="160"/>
            </w:tcMar>
          </w:tcPr>
          <w:p>
            <w:pPr>
              <w:spacing w:after="60"/>
            </w:pPr>
            <w:r>
              <w:rPr>
                <w:rFonts w:ascii="Calibri" w:cs="Calibri" w:eastAsia="Calibri" w:hAnsi="Calibri"/>
                <w:b/>
                <w:bCs/>
                <w:color w:val="1F4E79"/>
                <w:sz w:val="21"/>
                <w:szCs w:val="21"/>
              </w:rPr>
              <w:t xml:space="preserve">Tooling</w:t>
            </w:r>
          </w:p>
          <w:p>
            <w:pPr>
              <w:spacing w:after="0" w:line="276"/>
              <w:jc w:val="both"/>
            </w:pPr>
            <w:r>
              <w:rPr>
                <w:rFonts w:ascii="Calibri" w:cs="Calibri" w:eastAsia="Calibri" w:hAnsi="Calibri"/>
                <w:sz w:val="21"/>
                <w:szCs w:val="21"/>
              </w:rPr>
              <w:t xml:space="preserve">Rotational invariants and SM fitting are available in the NYU </w:t>
            </w:r>
            <w:r>
              <w:rPr>
                <w:rFonts w:ascii="Calibri" w:cs="Calibri" w:eastAsia="Calibri" w:hAnsi="Calibri"/>
                <w:b/>
                <w:bCs/>
                <w:sz w:val="21"/>
                <w:szCs w:val="21"/>
              </w:rPr>
              <w:t xml:space="preserve">SMI toolbox</w:t>
            </w:r>
            <w:r>
              <w:rPr>
                <w:rFonts w:ascii="Calibri" w:cs="Calibri" w:eastAsia="Calibri" w:hAnsi="Calibri"/>
                <w:sz w:val="21"/>
                <w:szCs w:val="21"/>
              </w:rPr>
              <w:t xml:space="preserve"> </w:t>
            </w:r>
            <w:r>
              <w:rPr>
                <w:rFonts w:ascii="Calibri" w:cs="Calibri" w:eastAsia="Calibri" w:hAnsi="Calibri"/>
                <w:color w:val="2E74B5"/>
                <w:sz w:val="21"/>
                <w:szCs w:val="21"/>
              </w:rPr>
              <w:t xml:space="preserve">[11]</w:t>
            </w:r>
            <w:r>
              <w:rPr>
                <w:rFonts w:ascii="Calibri" w:cs="Calibri" w:eastAsia="Calibri" w:hAnsi="Calibri"/>
                <w:sz w:val="21"/>
                <w:szCs w:val="21"/>
              </w:rPr>
              <w:t xml:space="preserve"> and, for invariants/representations, in standard dMRI stacks. The analytic two-branch (LEMONADE) equations are specified in Novikov et al. (2018) </w:t>
            </w:r>
            <w:r>
              <w:rPr>
                <w:rFonts w:ascii="Calibri" w:cs="Calibri" w:eastAsia="Calibri" w:hAnsi="Calibri"/>
                <w:color w:val="2E74B5"/>
                <w:sz w:val="21"/>
                <w:szCs w:val="21"/>
              </w:rPr>
              <w:t xml:space="preserve">[6]</w:t>
            </w:r>
            <w:r>
              <w:rPr>
                <w:rFonts w:ascii="Calibri" w:cs="Calibri" w:eastAsia="Calibri" w:hAnsi="Calibri"/>
                <w:sz w:val="21"/>
                <w:szCs w:val="21"/>
              </w:rPr>
              <w:t xml:space="preserve">. Recommended approach: use the SMI/Reisert regression for a fast SMDI</w:t>
            </w:r>
            <w:r>
              <w:rPr>
                <w:rFonts w:ascii="Cambria" w:cs="Cambria" w:eastAsia="Cambria" w:hAnsi="Cambria"/>
                <w:i/>
                <w:iCs/>
                <w:sz w:val="21"/>
                <w:szCs w:val="21"/>
                <w:vertAlign w:val="subscript"/>
              </w:rPr>
              <w:t xml:space="preserve">post</w:t>
            </w:r>
            <w:r>
              <w:rPr>
                <w:rFonts w:ascii="Calibri" w:cs="Calibri" w:eastAsia="Calibri" w:hAnsi="Calibri"/>
                <w:sz w:val="21"/>
                <w:szCs w:val="21"/>
              </w:rPr>
              <w:t xml:space="preserve"> first (low engineering cost, validates the concept), then add the analytic two-branch solver for the primary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w:t>
            </w:r>
          </w:p>
        </w:tc>
      </w:tr>
    </w:tbl>
    <w:p>
      <w:pPr>
        <w:pStyle w:val="Heading1"/>
        <w:spacing w:after="140" w:before="320"/>
      </w:pPr>
      <w:r>
        <w:rPr>
          <w:rFonts w:ascii="Cambria" w:cs="Cambria" w:eastAsia="Cambria" w:hAnsi="Cambria"/>
          <w:b/>
          <w:bCs/>
          <w:color w:val="1F4E79"/>
          <w:sz w:val="30"/>
          <w:szCs w:val="30"/>
        </w:rPr>
        <w:t xml:space="preserve">7. Methods III: Multi-Site Harmonization</w:t>
      </w:r>
    </w:p>
    <w:p>
      <w:pPr>
        <w:spacing w:after="120" w:line="276"/>
        <w:jc w:val="both"/>
      </w:pPr>
      <w:r>
        <w:rPr>
          <w:rFonts w:ascii="Calibri" w:cs="Calibri" w:eastAsia="Calibri" w:hAnsi="Calibri"/>
          <w:sz w:val="21"/>
          <w:szCs w:val="21"/>
        </w:rPr>
        <w:t xml:space="preserve">ABCD acquires across 21 sites and three scanner vendors </w:t>
      </w:r>
      <w:r>
        <w:rPr>
          <w:rFonts w:ascii="Calibri" w:cs="Calibri" w:eastAsia="Calibri" w:hAnsi="Calibri"/>
          <w:color w:val="2E74B5"/>
          <w:sz w:val="21"/>
          <w:szCs w:val="21"/>
        </w:rPr>
        <w:t xml:space="preserve">[12]</w:t>
      </w:r>
      <w:r>
        <w:rPr>
          <w:rFonts w:ascii="Calibri" w:cs="Calibri" w:eastAsia="Calibri" w:hAnsi="Calibri"/>
          <w:sz w:val="21"/>
          <w:szCs w:val="21"/>
        </w:rPr>
        <w:t xml:space="preserve">, so any voxelwise or ROI metric requires harmonization before group inference. SMDI has an unusual dual status here: it is both </w:t>
      </w:r>
      <w:r>
        <w:rPr>
          <w:rFonts w:ascii="Calibri" w:cs="Calibri" w:eastAsia="Calibri" w:hAnsi="Calibri"/>
          <w:i/>
          <w:iCs/>
          <w:sz w:val="21"/>
          <w:szCs w:val="21"/>
        </w:rPr>
        <w:t xml:space="preserve">a metric to be harmonized</w:t>
      </w:r>
      <w:r>
        <w:rPr>
          <w:rFonts w:ascii="Calibri" w:cs="Calibri" w:eastAsia="Calibri" w:hAnsi="Calibri"/>
          <w:sz w:val="21"/>
          <w:szCs w:val="21"/>
        </w:rPr>
        <w:t xml:space="preserve"> and </w:t>
      </w:r>
      <w:r>
        <w:rPr>
          <w:rFonts w:ascii="Calibri" w:cs="Calibri" w:eastAsia="Calibri" w:hAnsi="Calibri"/>
          <w:i/>
          <w:iCs/>
          <w:sz w:val="21"/>
          <w:szCs w:val="21"/>
        </w:rPr>
        <w:t xml:space="preserve">a covariate that explains harmonization difficulty</w:t>
      </w:r>
      <w:r>
        <w:rPr>
          <w:rFonts w:ascii="Calibri" w:cs="Calibri" w:eastAsia="Calibri" w:hAnsi="Calibri"/>
          <w:sz w:val="21"/>
          <w:szCs w:val="21"/>
        </w:rPr>
        <w:t xml:space="preserve">. Two implications:</w:t>
      </w:r>
    </w:p>
    <w:p>
      <w:pPr>
        <w:pStyle w:val="ListParagraph"/>
        <w:numPr>
          <w:ilvl w:val="0"/>
          <w:numId w:val="2"/>
        </w:numPr>
        <w:spacing w:after="70" w:line="268"/>
      </w:pPr>
      <w:r>
        <w:rPr>
          <w:rFonts w:ascii="Calibri" w:cs="Calibri" w:eastAsia="Calibri" w:hAnsi="Calibri"/>
          <w:b/>
          <w:bCs/>
          <w:sz w:val="21"/>
          <w:szCs w:val="21"/>
        </w:rPr>
        <w:t xml:space="preserve">Harmonize SMDI itself</w:t>
      </w:r>
      <w:r>
        <w:rPr>
          <w:rFonts w:ascii="Calibri" w:cs="Calibri" w:eastAsia="Calibri" w:hAnsi="Calibri"/>
          <w:sz w:val="21"/>
          <w:szCs w:val="21"/>
        </w:rPr>
        <w:t xml:space="preserve"> (e.g. ComBat / longitudinal ComBat, or the optimal-transport approach discussed earlier in this project) with site and scanner as batch variables, preserving age/sex/covariates of interest.</w:t>
      </w:r>
    </w:p>
    <w:p>
      <w:pPr>
        <w:pStyle w:val="ListParagraph"/>
        <w:numPr>
          <w:ilvl w:val="0"/>
          <w:numId w:val="2"/>
        </w:numPr>
        <w:spacing w:after="70" w:line="268"/>
      </w:pPr>
      <w:r>
        <w:rPr>
          <w:rFonts w:ascii="Calibri" w:cs="Calibri" w:eastAsia="Calibri" w:hAnsi="Calibri"/>
          <w:b/>
          <w:bCs/>
          <w:sz w:val="21"/>
          <w:szCs w:val="21"/>
        </w:rPr>
        <w:t xml:space="preserve">Use SMDI as a reliability weight</w:t>
      </w:r>
      <w:r>
        <w:rPr>
          <w:rFonts w:ascii="Calibri" w:cs="Calibri" w:eastAsia="Calibri" w:hAnsi="Calibri"/>
          <w:sz w:val="21"/>
          <w:szCs w:val="21"/>
        </w:rPr>
        <w:t xml:space="preserve"> for the microstructural metrics: down-weighting high-SMDI voxels should reduce cross-site variance in NDI/D</w:t>
      </w:r>
      <w:r>
        <w:rPr>
          <w:rFonts w:ascii="Cambria" w:cs="Cambria" w:eastAsia="Cambria" w:hAnsi="Cambria"/>
          <w:i/>
          <w:iCs/>
          <w:sz w:val="21"/>
          <w:szCs w:val="21"/>
          <w:vertAlign w:val="subscript"/>
        </w:rPr>
        <w:t xml:space="preserve">a</w:t>
      </w:r>
      <w:r>
        <w:rPr>
          <w:rFonts w:ascii="Calibri" w:cs="Calibri" w:eastAsia="Calibri" w:hAnsi="Calibri"/>
          <w:sz w:val="21"/>
          <w:szCs w:val="21"/>
        </w:rPr>
        <w:t xml:space="preserve"> more than it reduces genuine biological variance — a testable harmonization benefit.</w:t>
      </w:r>
    </w:p>
    <w:p>
      <w:pPr>
        <w:spacing w:after="120" w:line="276"/>
        <w:jc w:val="both"/>
      </w:pPr>
      <w:r>
        <w:rPr>
          <w:rFonts w:ascii="Calibri" w:cs="Calibri" w:eastAsia="Calibri" w:hAnsi="Calibri"/>
          <w:sz w:val="21"/>
          <w:szCs w:val="21"/>
        </w:rPr>
        <w:t xml:space="preserve">The Standard Model has documented clinical-scanner reproducibility (region-averaged coefficients of variation of ~1–4%, and &lt;10% voxelwise for all parameters except free-water fraction, on optimized 3 T protocols) </w:t>
      </w:r>
      <w:r>
        <w:rPr>
          <w:rFonts w:ascii="Calibri" w:cs="Calibri" w:eastAsia="Calibri" w:hAnsi="Calibri"/>
          <w:color w:val="2E74B5"/>
          <w:sz w:val="21"/>
          <w:szCs w:val="21"/>
        </w:rPr>
        <w:t xml:space="preserve">[13]</w:t>
      </w:r>
      <w:r>
        <w:rPr>
          <w:rFonts w:ascii="Calibri" w:cs="Calibri" w:eastAsia="Calibri" w:hAnsi="Calibri"/>
          <w:sz w:val="21"/>
          <w:szCs w:val="21"/>
        </w:rPr>
        <w:t xml:space="preserve">. SMDI provides a spatial explanation for where the remaining variance concentrates.</w:t>
      </w:r>
    </w:p>
    <w:p>
      <w:r>
        <w:br w:type="page"/>
      </w:r>
    </w:p>
    <w:p>
      <w:pPr>
        <w:pStyle w:val="Heading1"/>
        <w:spacing w:after="140" w:before="320"/>
      </w:pPr>
      <w:r>
        <w:rPr>
          <w:rFonts w:ascii="Cambria" w:cs="Cambria" w:eastAsia="Cambria" w:hAnsi="Cambria"/>
          <w:b/>
          <w:bCs/>
          <w:color w:val="1F4E79"/>
          <w:sz w:val="30"/>
          <w:szCs w:val="30"/>
        </w:rPr>
        <w:t xml:space="preserve">8. Methods IV: Validation Protocol</w:t>
      </w:r>
    </w:p>
    <w:p>
      <w:pPr>
        <w:spacing w:after="120" w:line="276"/>
        <w:jc w:val="both"/>
      </w:pPr>
      <w:r>
        <w:rPr>
          <w:rFonts w:ascii="Calibri" w:cs="Calibri" w:eastAsia="Calibri" w:hAnsi="Calibri"/>
          <w:sz w:val="21"/>
          <w:szCs w:val="21"/>
        </w:rPr>
        <w:t xml:space="preserve">The validation plan operationalizes the falsifiable predictions of Section 4.5 into concrete analyses on ABCD data.</w:t>
      </w:r>
    </w:p>
    <w:p>
      <w:pPr>
        <w:pStyle w:val="Heading2"/>
        <w:spacing w:after="100" w:before="220"/>
      </w:pPr>
      <w:r>
        <w:rPr>
          <w:rFonts w:ascii="Cambria" w:cs="Cambria" w:eastAsia="Cambria" w:hAnsi="Cambria"/>
          <w:b/>
          <w:bCs/>
          <w:color w:val="2E74B5"/>
          <w:sz w:val="25"/>
          <w:szCs w:val="25"/>
        </w:rPr>
        <w:t xml:space="preserve">8.1 V1 — Anatomical specificity</w:t>
      </w:r>
    </w:p>
    <w:p>
      <w:pPr>
        <w:spacing w:after="120" w:line="276"/>
        <w:jc w:val="both"/>
      </w:pPr>
      <w:r>
        <w:rPr>
          <w:rFonts w:ascii="Calibri" w:cs="Calibri" w:eastAsia="Calibri" w:hAnsi="Calibri"/>
          <w:sz w:val="21"/>
          <w:szCs w:val="21"/>
        </w:rPr>
        <w:t xml:space="preserve">Extract mean SMDI in canonical single-fiber ROIs (corpus callosum body/genu/splenium, corticospinal tract) versus known crossing regions (centrum semiovale, SLF/CST/CC triple-crossing) and cortical gray matter, using JHU/atlas and Desikan–Killiany parcellations. </w:t>
      </w:r>
      <w:r>
        <w:rPr>
          <w:rFonts w:ascii="Calibri" w:cs="Calibri" w:eastAsia="Calibri" w:hAnsi="Calibri"/>
          <w:b/>
          <w:bCs/>
          <w:sz w:val="21"/>
          <w:szCs w:val="21"/>
        </w:rPr>
        <w:t xml:space="preserve">Pass criterion:</w:t>
      </w:r>
      <w:r>
        <w:rPr>
          <w:rFonts w:ascii="Calibri" w:cs="Calibri" w:eastAsia="Calibri" w:hAnsi="Calibri"/>
          <w:sz w:val="21"/>
          <w:szCs w:val="21"/>
        </w:rPr>
        <w:t xml:space="preserve"> SMDI is significantly lower in single-fiber WM than in crossing WM and GM (paired tests across subjects, FDR-corrected).</w:t>
      </w:r>
    </w:p>
    <w:p>
      <w:pPr>
        <w:pStyle w:val="Heading2"/>
        <w:spacing w:after="100" w:before="220"/>
      </w:pPr>
      <w:r>
        <w:rPr>
          <w:rFonts w:ascii="Cambria" w:cs="Cambria" w:eastAsia="Cambria" w:hAnsi="Cambria"/>
          <w:b/>
          <w:bCs/>
          <w:color w:val="2E74B5"/>
          <w:sz w:val="25"/>
          <w:szCs w:val="25"/>
        </w:rPr>
        <w:t xml:space="preserve">8.2 V2 — Test–retest reliability</w:t>
      </w:r>
    </w:p>
    <w:p>
      <w:pPr>
        <w:spacing w:after="120" w:line="276"/>
        <w:jc w:val="both"/>
      </w:pPr>
      <w:r>
        <w:rPr>
          <w:rFonts w:ascii="Calibri" w:cs="Calibri" w:eastAsia="Calibri" w:hAnsi="Calibri"/>
          <w:sz w:val="21"/>
          <w:szCs w:val="21"/>
        </w:rPr>
        <w:t xml:space="preserve">Use the ABCD scan–rescan subsample to compute the intraclass correlation of SMDI per ROI. </w:t>
      </w:r>
      <w:r>
        <w:rPr>
          <w:rFonts w:ascii="Calibri" w:cs="Calibri" w:eastAsia="Calibri" w:hAnsi="Calibri"/>
          <w:b/>
          <w:bCs/>
          <w:sz w:val="21"/>
          <w:szCs w:val="21"/>
        </w:rPr>
        <w:t xml:space="preserve">Pass criterion:</w:t>
      </w:r>
      <w:r>
        <w:rPr>
          <w:rFonts w:ascii="Calibri" w:cs="Calibri" w:eastAsia="Calibri" w:hAnsi="Calibri"/>
          <w:sz w:val="21"/>
          <w:szCs w:val="21"/>
        </w:rPr>
        <w:t xml:space="preserve"> ICC ≥ 0.75 in WM ROIs, comparable to the reliability of established SM parameters </w:t>
      </w:r>
      <w:r>
        <w:rPr>
          <w:rFonts w:ascii="Calibri" w:cs="Calibri" w:eastAsia="Calibri" w:hAnsi="Calibri"/>
          <w:color w:val="2E74B5"/>
          <w:sz w:val="21"/>
          <w:szCs w:val="21"/>
        </w:rPr>
        <w:t xml:space="preserve">[13]</w:t>
      </w:r>
      <w:r>
        <w:rPr>
          <w:rFonts w:ascii="Calibri" w:cs="Calibri" w:eastAsia="Calibri" w:hAnsi="Calibri"/>
          <w:sz w:val="21"/>
          <w:szCs w:val="21"/>
        </w:rPr>
        <w:t xml:space="preserve">. Report ICC maps and the SMDI-CI (Section 5.5).</w:t>
      </w:r>
    </w:p>
    <w:p>
      <w:pPr>
        <w:pStyle w:val="Heading2"/>
        <w:spacing w:after="100" w:before="220"/>
      </w:pPr>
      <w:r>
        <w:rPr>
          <w:rFonts w:ascii="Cambria" w:cs="Cambria" w:eastAsia="Cambria" w:hAnsi="Cambria"/>
          <w:b/>
          <w:bCs/>
          <w:color w:val="2E74B5"/>
          <w:sz w:val="25"/>
          <w:szCs w:val="25"/>
        </w:rPr>
        <w:t xml:space="preserve">8.3 V3 — SNR / information dependence</w:t>
      </w:r>
    </w:p>
    <w:p>
      <w:pPr>
        <w:spacing w:after="120" w:line="276"/>
        <w:jc w:val="both"/>
      </w:pPr>
      <w:r>
        <w:rPr>
          <w:rFonts w:ascii="Calibri" w:cs="Calibri" w:eastAsia="Calibri" w:hAnsi="Calibri"/>
          <w:sz w:val="21"/>
          <w:szCs w:val="21"/>
        </w:rPr>
        <w:t xml:space="preserve">Retrospectively subsample directions and shells and confirm SMDI increases monotonically as information is removed; add synthetic noise and confirm SMDI increases with noise. </w:t>
      </w:r>
      <w:r>
        <w:rPr>
          <w:rFonts w:ascii="Calibri" w:cs="Calibri" w:eastAsia="Calibri" w:hAnsi="Calibri"/>
          <w:b/>
          <w:bCs/>
          <w:sz w:val="21"/>
          <w:szCs w:val="21"/>
        </w:rPr>
        <w:t xml:space="preserve">Pass criterion:</w:t>
      </w:r>
      <w:r>
        <w:rPr>
          <w:rFonts w:ascii="Calibri" w:cs="Calibri" w:eastAsia="Calibri" w:hAnsi="Calibri"/>
          <w:sz w:val="21"/>
          <w:szCs w:val="21"/>
        </w:rPr>
        <w:t xml:space="preserve"> monotonic, significant dependence in both experiments — establishing that SMDI tracks information content, not arbitrary signal features.</w:t>
      </w:r>
    </w:p>
    <w:p>
      <w:pPr>
        <w:pStyle w:val="Heading2"/>
        <w:spacing w:after="100" w:before="220"/>
      </w:pPr>
      <w:r>
        <w:rPr>
          <w:rFonts w:ascii="Cambria" w:cs="Cambria" w:eastAsia="Cambria" w:hAnsi="Cambria"/>
          <w:b/>
          <w:bCs/>
          <w:color w:val="2E74B5"/>
          <w:sz w:val="25"/>
          <w:szCs w:val="25"/>
        </w:rPr>
        <w:t xml:space="preserve">8.4 V4 — Developmental trajectory</w:t>
      </w:r>
    </w:p>
    <w:p>
      <w:pPr>
        <w:spacing w:after="120" w:line="276"/>
        <w:jc w:val="both"/>
      </w:pPr>
      <w:r>
        <w:rPr>
          <w:rFonts w:ascii="Calibri" w:cs="Calibri" w:eastAsia="Calibri" w:hAnsi="Calibri"/>
          <w:sz w:val="21"/>
          <w:szCs w:val="21"/>
        </w:rPr>
        <w:t xml:space="preserve">Model SMDI vs. age (baseline through 4-year follow-up) with a generalized additive / linear mixed model including age, sex, and site, and random subject intercepts. </w:t>
      </w:r>
      <w:r>
        <w:rPr>
          <w:rFonts w:ascii="Calibri" w:cs="Calibri" w:eastAsia="Calibri" w:hAnsi="Calibri"/>
          <w:b/>
          <w:bCs/>
          <w:sz w:val="21"/>
          <w:szCs w:val="21"/>
        </w:rPr>
        <w:t xml:space="preserve">Pass criterion:</w:t>
      </w:r>
      <w:r>
        <w:rPr>
          <w:rFonts w:ascii="Calibri" w:cs="Calibri" w:eastAsia="Calibri" w:hAnsi="Calibri"/>
          <w:sz w:val="21"/>
          <w:szCs w:val="21"/>
        </w:rPr>
        <w:t xml:space="preserve"> spatially structured, tract-plausible age effects (not global drift), robust to harmonization. Because ABCD spans a myelinating window, late-myelinating tracts (SLF, cingulum, frontal forceps) are the pre-registered regions of interest </w:t>
      </w:r>
      <w:r>
        <w:rPr>
          <w:rFonts w:ascii="Calibri" w:cs="Calibri" w:eastAsia="Calibri" w:hAnsi="Calibri"/>
          <w:color w:val="2E74B5"/>
          <w:sz w:val="21"/>
          <w:szCs w:val="21"/>
        </w:rPr>
        <w:t xml:space="preserve">[12]</w:t>
      </w:r>
      <w:r>
        <w:rPr>
          <w:rFonts w:ascii="Calibri" w:cs="Calibri" w:eastAsia="Calibri" w:hAnsi="Calibri"/>
          <w:sz w:val="21"/>
          <w:szCs w:val="21"/>
        </w:rPr>
        <w:t xml:space="preserve">, </w:t>
      </w:r>
      <w:r>
        <w:rPr>
          <w:rFonts w:ascii="Calibri" w:cs="Calibri" w:eastAsia="Calibri" w:hAnsi="Calibri"/>
          <w:color w:val="2E74B5"/>
          <w:sz w:val="21"/>
          <w:szCs w:val="21"/>
        </w:rPr>
        <w:t xml:space="preserve">[14]</w:t>
      </w:r>
      <w:r>
        <w:rPr>
          <w:rFonts w:ascii="Calibri" w:cs="Calibri" w:eastAsia="Calibri" w:hAnsi="Calibri"/>
          <w:sz w:val="21"/>
          <w:szCs w:val="21"/>
        </w:rPr>
        <w:t xml:space="preserve">.</w:t>
      </w:r>
    </w:p>
    <w:p>
      <w:pPr>
        <w:pStyle w:val="Heading2"/>
        <w:spacing w:after="100" w:before="220"/>
      </w:pPr>
      <w:r>
        <w:rPr>
          <w:rFonts w:ascii="Cambria" w:cs="Cambria" w:eastAsia="Cambria" w:hAnsi="Cambria"/>
          <w:b/>
          <w:bCs/>
          <w:color w:val="2E74B5"/>
          <w:sz w:val="25"/>
          <w:szCs w:val="25"/>
        </w:rPr>
        <w:t xml:space="preserve">8.5 V5 — Utility as a reliability weight</w:t>
      </w:r>
    </w:p>
    <w:p>
      <w:pPr>
        <w:spacing w:after="120" w:line="276"/>
        <w:jc w:val="both"/>
      </w:pPr>
      <w:r>
        <w:rPr>
          <w:rFonts w:ascii="Calibri" w:cs="Calibri" w:eastAsia="Calibri" w:hAnsi="Calibri"/>
          <w:sz w:val="21"/>
          <w:szCs w:val="21"/>
        </w:rPr>
        <w:t xml:space="preserve">Re-run a standard brain–behavior analysis (e.g. NDI vs. a cognitive composite) with and without SMDI-based voxel weighting. </w:t>
      </w:r>
      <w:r>
        <w:rPr>
          <w:rFonts w:ascii="Calibri" w:cs="Calibri" w:eastAsia="Calibri" w:hAnsi="Calibri"/>
          <w:b/>
          <w:bCs/>
          <w:sz w:val="21"/>
          <w:szCs w:val="21"/>
        </w:rPr>
        <w:t xml:space="preserve">Pass criterion:</w:t>
      </w:r>
      <w:r>
        <w:rPr>
          <w:rFonts w:ascii="Calibri" w:cs="Calibri" w:eastAsia="Calibri" w:hAnsi="Calibri"/>
          <w:sz w:val="21"/>
          <w:szCs w:val="21"/>
        </w:rPr>
        <w:t xml:space="preserve"> SMDI-weighting increases effect reproducibility across sites / split-halves without inflating false positives — demonstrating that the metric earns its place operationally, not just conceptually.</w:t>
      </w:r>
    </w:p>
    <w:p>
      <w:pPr>
        <w:pStyle w:val="Heading2"/>
        <w:spacing w:after="100" w:before="220"/>
      </w:pPr>
      <w:r>
        <w:rPr>
          <w:rFonts w:ascii="Cambria" w:cs="Cambria" w:eastAsia="Cambria" w:hAnsi="Cambria"/>
          <w:b/>
          <w:bCs/>
          <w:color w:val="2E74B5"/>
          <w:sz w:val="25"/>
          <w:szCs w:val="25"/>
        </w:rPr>
        <w:t xml:space="preserve">8.6 Statistical considerations</w:t>
      </w:r>
    </w:p>
    <w:p>
      <w:pPr>
        <w:pStyle w:val="ListParagraph"/>
        <w:numPr>
          <w:ilvl w:val="0"/>
          <w:numId w:val="2"/>
        </w:numPr>
        <w:spacing w:after="70" w:line="268"/>
      </w:pPr>
      <w:r>
        <w:rPr>
          <w:rFonts w:ascii="Calibri" w:cs="Calibri" w:eastAsia="Calibri" w:hAnsi="Calibri"/>
          <w:b/>
          <w:bCs/>
          <w:sz w:val="21"/>
          <w:szCs w:val="21"/>
        </w:rPr>
        <w:t xml:space="preserve">Multiple comparisons.</w:t>
      </w:r>
      <w:r>
        <w:rPr>
          <w:rFonts w:ascii="Calibri" w:cs="Calibri" w:eastAsia="Calibri" w:hAnsi="Calibri"/>
          <w:sz w:val="21"/>
          <w:szCs w:val="21"/>
        </w:rPr>
        <w:t xml:space="preserve"> Control FDR (Benjamini–Hochberg) for voxel/ROI mass-univariate tests; use permutation / threshold-free cluster enhancement for spatial maps.</w:t>
      </w:r>
    </w:p>
    <w:p>
      <w:pPr>
        <w:pStyle w:val="ListParagraph"/>
        <w:numPr>
          <w:ilvl w:val="0"/>
          <w:numId w:val="2"/>
        </w:numPr>
        <w:spacing w:after="70" w:line="268"/>
      </w:pPr>
      <w:r>
        <w:rPr>
          <w:rFonts w:ascii="Calibri" w:cs="Calibri" w:eastAsia="Calibri" w:hAnsi="Calibri"/>
          <w:b/>
          <w:bCs/>
          <w:sz w:val="21"/>
          <w:szCs w:val="21"/>
        </w:rPr>
        <w:t xml:space="preserve">Compositional caution.</w:t>
      </w:r>
      <w:r>
        <w:rPr>
          <w:rFonts w:ascii="Calibri" w:cs="Calibri" w:eastAsia="Calibri" w:hAnsi="Calibri"/>
          <w:sz w:val="21"/>
          <w:szCs w:val="21"/>
        </w:rPr>
        <w:t xml:space="preserve"> Where SMDI is analyzed jointly with compartment fractions (which are compositional), apply the log-ratio treatment already implemented in the pipeline before correlation/PCA.</w:t>
      </w:r>
    </w:p>
    <w:p>
      <w:pPr>
        <w:pStyle w:val="ListParagraph"/>
        <w:numPr>
          <w:ilvl w:val="0"/>
          <w:numId w:val="2"/>
        </w:numPr>
        <w:spacing w:after="70" w:line="268"/>
      </w:pPr>
      <w:r>
        <w:rPr>
          <w:rFonts w:ascii="Calibri" w:cs="Calibri" w:eastAsia="Calibri" w:hAnsi="Calibri"/>
          <w:b/>
          <w:bCs/>
          <w:sz w:val="21"/>
          <w:szCs w:val="21"/>
        </w:rPr>
        <w:t xml:space="preserve">Non-independence.</w:t>
      </w:r>
      <w:r>
        <w:rPr>
          <w:rFonts w:ascii="Calibri" w:cs="Calibri" w:eastAsia="Calibri" w:hAnsi="Calibri"/>
          <w:sz w:val="21"/>
          <w:szCs w:val="21"/>
        </w:rPr>
        <w:t xml:space="preserve"> ABCD contains twins/siblings and repeated measures; use mixed models with family and subject random effects, not ordinary least squares.</w:t>
      </w:r>
    </w:p>
    <w:p>
      <w:pPr>
        <w:pStyle w:val="ListParagraph"/>
        <w:numPr>
          <w:ilvl w:val="0"/>
          <w:numId w:val="2"/>
        </w:numPr>
        <w:spacing w:after="70" w:line="268"/>
      </w:pPr>
      <w:r>
        <w:rPr>
          <w:rFonts w:ascii="Calibri" w:cs="Calibri" w:eastAsia="Calibri" w:hAnsi="Calibri"/>
          <w:b/>
          <w:bCs/>
          <w:sz w:val="21"/>
          <w:szCs w:val="21"/>
        </w:rPr>
        <w:t xml:space="preserve">Circularity.</w:t>
      </w:r>
      <w:r>
        <w:rPr>
          <w:rFonts w:ascii="Calibri" w:cs="Calibri" w:eastAsia="Calibri" w:hAnsi="Calibri"/>
          <w:sz w:val="21"/>
          <w:szCs w:val="21"/>
        </w:rPr>
        <w:t xml:space="preserve"> Do not both select voxels by SMDI and test the same SMDI-derived hypothesis on those voxels without independent selection/inference splits.</w:t>
      </w:r>
    </w:p>
    <w:p>
      <w:r>
        <w:br w:type="page"/>
      </w:r>
    </w:p>
    <w:p>
      <w:pPr>
        <w:pStyle w:val="Heading1"/>
        <w:spacing w:after="140" w:before="320"/>
      </w:pPr>
      <w:r>
        <w:rPr>
          <w:rFonts w:ascii="Cambria" w:cs="Cambria" w:eastAsia="Cambria" w:hAnsi="Cambria"/>
          <w:b/>
          <w:bCs/>
          <w:color w:val="1F4E79"/>
          <w:sz w:val="30"/>
          <w:szCs w:val="30"/>
        </w:rPr>
        <w:t xml:space="preserve">9. Assumptions, Limitations, and Threats to Validity</w:t>
      </w:r>
    </w:p>
    <w:tbl>
      <w:tblPr>
        <w:tblW w:type="pct" w:w="100%"/>
        <w:tblBorders>
          <w:top w:val="single" w:color="C00000" w:sz="2"/>
          <w:left w:val="single" w:color="C00000" w:sz="12"/>
          <w:bottom w:val="single" w:color="C00000" w:sz="2"/>
          <w:right w:val="single" w:color="C00000" w:sz="2"/>
          <w:insideH w:val="none"/>
          <w:insideV w:val="none"/>
        </w:tblBorders>
      </w:tblPr>
      <w:tblGrid>
        <w:gridCol w:w="9360"/>
      </w:tblGrid>
      <w:tr>
        <w:tc>
          <w:tcPr>
            <w:tcW w:type="dxa" w:w="9360"/>
            <w:shd w:fill="C00000" w:color="auto" w:val="clear"/>
            <w:tcMar>
              <w:top w:type="dxa" w:w="120"/>
              <w:left w:type="dxa" w:w="160"/>
              <w:bottom w:type="dxa" w:w="120"/>
              <w:right w:type="dxa" w:w="160"/>
            </w:tcMar>
          </w:tcPr>
          <w:p>
            <w:pPr>
              <w:spacing w:after="60"/>
            </w:pPr>
            <w:r>
              <w:rPr>
                <w:rFonts w:ascii="Calibri" w:cs="Calibri" w:eastAsia="Calibri" w:hAnsi="Calibri"/>
                <w:b/>
                <w:bCs/>
                <w:color w:val="1F4E79"/>
                <w:sz w:val="21"/>
                <w:szCs w:val="21"/>
              </w:rPr>
              <w:t xml:space="preserve">Limitations (read before deploying)</w:t>
            </w:r>
          </w:p>
          <w:p>
            <w:pPr>
              <w:spacing w:after="60" w:line="276"/>
              <w:jc w:val="both"/>
            </w:pPr>
            <w:r>
              <w:rPr>
                <w:rFonts w:ascii="Calibri" w:cs="Calibri" w:eastAsia="Calibri" w:hAnsi="Calibri"/>
                <w:b/>
                <w:bCs/>
                <w:sz w:val="21"/>
                <w:szCs w:val="21"/>
              </w:rPr>
              <w:t xml:space="preserve">1. SMDI inherits the Standard Model's own assumptions.</w:t>
            </w:r>
            <w:r>
              <w:rPr>
                <w:rFonts w:ascii="Calibri" w:cs="Calibri" w:eastAsia="Calibri" w:hAnsi="Calibri"/>
                <w:sz w:val="21"/>
                <w:szCs w:val="21"/>
              </w:rPr>
              <w:t xml:space="preserve"> It presumes the two-compartment stick-plus-tensor kernel is the right model. In tissue where that model itself is wrong (heavy exchange, large soma fractions, pathology), SMDI measures degeneracy of a mis-specified model, which is informative but must not be read as tissue “damage.”</w:t>
            </w:r>
          </w:p>
          <w:p>
            <w:pPr>
              <w:spacing w:after="60" w:line="276"/>
              <w:jc w:val="both"/>
            </w:pPr>
            <w:r>
              <w:rPr>
                <w:rFonts w:ascii="Calibri" w:cs="Calibri" w:eastAsia="Calibri" w:hAnsi="Calibri"/>
                <w:b/>
                <w:bCs/>
                <w:sz w:val="21"/>
                <w:szCs w:val="21"/>
              </w:rPr>
              <w:t xml:space="preserve">2. It does not resolve the degeneracy.</w:t>
            </w:r>
            <w:r>
              <w:rPr>
                <w:rFonts w:ascii="Calibri" w:cs="Calibri" w:eastAsia="Calibri" w:hAnsi="Calibri"/>
                <w:sz w:val="21"/>
                <w:szCs w:val="21"/>
              </w:rPr>
              <w:t xml:space="preserve"> With linear encoding it cannot; that requires DDE or b-tensor data </w:t>
            </w:r>
            <w:r>
              <w:rPr>
                <w:rFonts w:ascii="Calibri" w:cs="Calibri" w:eastAsia="Calibri" w:hAnsi="Calibri"/>
                <w:color w:val="2E74B5"/>
                <w:sz w:val="21"/>
                <w:szCs w:val="21"/>
              </w:rPr>
              <w:t xml:space="preserve">[3]</w:t>
            </w:r>
            <w:r>
              <w:rPr>
                <w:rFonts w:ascii="Calibri" w:cs="Calibri" w:eastAsia="Calibri" w:hAnsi="Calibri"/>
                <w:sz w:val="21"/>
                <w:szCs w:val="21"/>
              </w:rPr>
              <w:t xml:space="preserve">, </w:t>
            </w:r>
            <w:r>
              <w:rPr>
                <w:rFonts w:ascii="Calibri" w:cs="Calibri" w:eastAsia="Calibri" w:hAnsi="Calibri"/>
                <w:color w:val="2E74B5"/>
                <w:sz w:val="21"/>
                <w:szCs w:val="21"/>
              </w:rPr>
              <w:t xml:space="preserve">[8]</w:t>
            </w:r>
            <w:r>
              <w:rPr>
                <w:rFonts w:ascii="Calibri" w:cs="Calibri" w:eastAsia="Calibri" w:hAnsi="Calibri"/>
                <w:sz w:val="21"/>
                <w:szCs w:val="21"/>
              </w:rPr>
              <w:t xml:space="preserve">. SMDI reports the problem; it does not fix the microstructural estimate.</w:t>
            </w:r>
          </w:p>
          <w:p>
            <w:pPr>
              <w:spacing w:after="60" w:line="276"/>
              <w:jc w:val="both"/>
            </w:pPr>
            <w:r>
              <w:rPr>
                <w:rFonts w:ascii="Calibri" w:cs="Calibri" w:eastAsia="Calibri" w:hAnsi="Calibri"/>
                <w:b/>
                <w:bCs/>
                <w:sz w:val="21"/>
                <w:szCs w:val="21"/>
              </w:rPr>
              <w:t xml:space="preserve">3. Estimator dependence.</w:t>
            </w:r>
            <w:r>
              <w:rPr>
                <w:rFonts w:ascii="Calibri" w:cs="Calibri" w:eastAsia="Calibri" w:hAnsi="Calibri"/>
                <w:sz w:val="21"/>
                <w:szCs w:val="21"/>
              </w:rPr>
              <w:t xml:space="preserve"> SMDI</w:t>
            </w:r>
            <w:r>
              <w:rPr>
                <w:rFonts w:ascii="Cambria" w:cs="Cambria" w:eastAsia="Cambria" w:hAnsi="Cambria"/>
                <w:i/>
                <w:iCs/>
                <w:sz w:val="21"/>
                <w:szCs w:val="21"/>
                <w:vertAlign w:val="subscript"/>
              </w:rPr>
              <w:t xml:space="preserve">post</w:t>
            </w:r>
            <w:r>
              <w:rPr>
                <w:rFonts w:ascii="Calibri" w:cs="Calibri" w:eastAsia="Calibri" w:hAnsi="Calibri"/>
                <w:sz w:val="21"/>
                <w:szCs w:val="21"/>
              </w:rPr>
              <w:t xml:space="preserve"> depends on the training prior of the ML fit; a poorly matched prior can mimic or mask degeneracy. The analytic SMDI</w:t>
            </w:r>
            <w:r>
              <w:rPr>
                <w:rFonts w:ascii="Cambria" w:cs="Cambria" w:eastAsia="Cambria" w:hAnsi="Cambria"/>
                <w:i/>
                <w:iCs/>
                <w:sz w:val="21"/>
                <w:szCs w:val="21"/>
                <w:vertAlign w:val="subscript"/>
              </w:rPr>
              <w:t xml:space="preserve">sep</w:t>
            </w:r>
            <w:r>
              <w:rPr>
                <w:rFonts w:ascii="Calibri" w:cs="Calibri" w:eastAsia="Calibri" w:hAnsi="Calibri"/>
                <w:sz w:val="21"/>
                <w:szCs w:val="21"/>
              </w:rPr>
              <w:t xml:space="preserve"> is preferred as primary for this reason.</w:t>
            </w:r>
          </w:p>
          <w:p>
            <w:pPr>
              <w:spacing w:after="60" w:line="276"/>
              <w:jc w:val="both"/>
            </w:pPr>
            <w:r>
              <w:rPr>
                <w:rFonts w:ascii="Calibri" w:cs="Calibri" w:eastAsia="Calibri" w:hAnsi="Calibri"/>
                <w:b/>
                <w:bCs/>
                <w:sz w:val="21"/>
                <w:szCs w:val="21"/>
              </w:rPr>
              <w:t xml:space="preserve">4. Noise sensitivity.</w:t>
            </w:r>
            <w:r>
              <w:rPr>
                <w:rFonts w:ascii="Calibri" w:cs="Calibri" w:eastAsia="Calibri" w:hAnsi="Calibri"/>
                <w:sz w:val="21"/>
                <w:szCs w:val="21"/>
              </w:rPr>
              <w:t xml:space="preserve"> Rotational invariants of higher degree are noise-sensitive </w:t>
            </w:r>
            <w:r>
              <w:rPr>
                <w:rFonts w:ascii="Calibri" w:cs="Calibri" w:eastAsia="Calibri" w:hAnsi="Calibri"/>
                <w:color w:val="2E74B5"/>
                <w:sz w:val="21"/>
                <w:szCs w:val="21"/>
              </w:rPr>
              <w:t xml:space="preserve">[10]</w:t>
            </w:r>
            <w:r>
              <w:rPr>
                <w:rFonts w:ascii="Calibri" w:cs="Calibri" w:eastAsia="Calibri" w:hAnsi="Calibri"/>
                <w:sz w:val="21"/>
                <w:szCs w:val="21"/>
              </w:rPr>
              <w:t xml:space="preserve">; SMDI must be computed on properly denoised data and reported with its own confidence interval.</w:t>
            </w:r>
          </w:p>
          <w:p>
            <w:pPr>
              <w:spacing w:after="0" w:line="276"/>
              <w:jc w:val="both"/>
            </w:pPr>
            <w:r>
              <w:rPr>
                <w:rFonts w:ascii="Calibri" w:cs="Calibri" w:eastAsia="Calibri" w:hAnsi="Calibri"/>
                <w:b/>
                <w:bCs/>
                <w:sz w:val="21"/>
                <w:szCs w:val="21"/>
              </w:rPr>
              <w:t xml:space="preserve">5. GM validity.</w:t>
            </w:r>
            <w:r>
              <w:rPr>
                <w:rFonts w:ascii="Calibri" w:cs="Calibri" w:eastAsia="Calibri" w:hAnsi="Calibri"/>
                <w:sz w:val="21"/>
                <w:szCs w:val="21"/>
              </w:rPr>
              <w:t xml:space="preserve"> In cortical gray matter the SM is itself questionable (exchange, soma). High SMDI there is expected and correct, but SMDI should not be over-interpreted as a GM microstructure biomarker.</w:t>
            </w:r>
          </w:p>
        </w:tc>
      </w:tr>
    </w:tbl>
    <w:p>
      <w:pPr>
        <w:pStyle w:val="Heading2"/>
        <w:spacing w:after="100" w:before="220"/>
      </w:pPr>
      <w:r>
        <w:rPr>
          <w:rFonts w:ascii="Cambria" w:cs="Cambria" w:eastAsia="Cambria" w:hAnsi="Cambria"/>
          <w:b/>
          <w:bCs/>
          <w:color w:val="2E74B5"/>
          <w:sz w:val="25"/>
          <w:szCs w:val="25"/>
        </w:rPr>
        <w:t xml:space="preserve">9.1 What would falsify SMDI</w:t>
      </w:r>
    </w:p>
    <w:p>
      <w:pPr>
        <w:spacing w:after="120" w:line="276"/>
        <w:jc w:val="both"/>
      </w:pPr>
      <w:r>
        <w:rPr>
          <w:rFonts w:ascii="Calibri" w:cs="Calibri" w:eastAsia="Calibri" w:hAnsi="Calibri"/>
          <w:sz w:val="21"/>
          <w:szCs w:val="21"/>
        </w:rPr>
        <w:t xml:space="preserve">SMDI is refuted if: it is spatially random; it is low in crossing regions and high in coherent WM (inverted prediction); it shows no dependence on SNR or acquisition richness; or its ICC is at chance. Any of these would indicate SMDI is capturing noise rather than the degeneracy structure. The validation protocol (Section 8) is designed so these outcomes are detectable.</w:t>
      </w:r>
    </w:p>
    <w:p>
      <w:pPr>
        <w:pStyle w:val="Heading1"/>
        <w:spacing w:after="140" w:before="320"/>
      </w:pPr>
      <w:r>
        <w:rPr>
          <w:rFonts w:ascii="Cambria" w:cs="Cambria" w:eastAsia="Cambria" w:hAnsi="Cambria"/>
          <w:b/>
          <w:bCs/>
          <w:color w:val="1F4E79"/>
          <w:sz w:val="30"/>
          <w:szCs w:val="30"/>
        </w:rPr>
        <w:t xml:space="preserve">10. Summary</w:t>
      </w:r>
    </w:p>
    <w:p>
      <w:pPr>
        <w:spacing w:after="120" w:line="276"/>
        <w:jc w:val="both"/>
      </w:pPr>
      <w:r>
        <w:rPr>
          <w:rFonts w:ascii="Calibri" w:cs="Calibri" w:eastAsia="Calibri" w:hAnsi="Calibri"/>
          <w:sz w:val="21"/>
          <w:szCs w:val="21"/>
        </w:rPr>
        <w:t xml:space="preserve">SMDI reframes the central inverse-problem pathology of biophysical diffusion MRI — the Standard Model's parameter degeneracy under linear encoding </w:t>
      </w:r>
      <w:r>
        <w:rPr>
          <w:rFonts w:ascii="Calibri" w:cs="Calibri" w:eastAsia="Calibri" w:hAnsi="Calibri"/>
          <w:color w:val="2E74B5"/>
          <w:sz w:val="21"/>
          <w:szCs w:val="21"/>
        </w:rPr>
        <w:t xml:space="preserve">[1]</w:t>
      </w:r>
      <w:r>
        <w:rPr>
          <w:rFonts w:ascii="Calibri" w:cs="Calibri" w:eastAsia="Calibri" w:hAnsi="Calibri"/>
          <w:sz w:val="21"/>
          <w:szCs w:val="21"/>
        </w:rPr>
        <w:t xml:space="preserve">, </w:t>
      </w:r>
      <w:r>
        <w:rPr>
          <w:rFonts w:ascii="Calibri" w:cs="Calibri" w:eastAsia="Calibri" w:hAnsi="Calibri"/>
          <w:color w:val="2E74B5"/>
          <w:sz w:val="21"/>
          <w:szCs w:val="21"/>
        </w:rPr>
        <w:t xml:space="preserve">[6]</w:t>
      </w:r>
      <w:r>
        <w:rPr>
          <w:rFonts w:ascii="Calibri" w:cs="Calibri" w:eastAsia="Calibri" w:hAnsi="Calibri"/>
          <w:sz w:val="21"/>
          <w:szCs w:val="21"/>
        </w:rPr>
        <w:t xml:space="preserve"> — as a per-voxel reliability biomarker. It is grounded in established theory, estimable with exactly the multi-shell 3 T data that large repositories such as ABCD provide, and falsifiable against neuroanatomy, acquisition physics, and development. Its primary use is to make every other Standard-Model / NODDI metric in a pipeline auditable: to say, per voxel, whether the reported microstructure is constrained by the data or is an arbitrary choice among equally good alternatives. It is deliberately scoped to what linear-encoding data can support and does not claim access to microscopic kurtosis, exchange, or soma density, which require acquisitions ABCD does not have.</w:t>
      </w:r>
    </w:p>
    <w:p>
      <w:r>
        <w:br w:type="page"/>
      </w:r>
    </w:p>
    <w:p>
      <w:pPr>
        <w:pStyle w:val="Heading1"/>
        <w:spacing w:after="140" w:before="320"/>
      </w:pPr>
      <w:r>
        <w:rPr>
          <w:rFonts w:ascii="Cambria" w:cs="Cambria" w:eastAsia="Cambria" w:hAnsi="Cambria"/>
          <w:b/>
          <w:bCs/>
          <w:color w:val="1F4E79"/>
          <w:sz w:val="30"/>
          <w:szCs w:val="30"/>
        </w:rPr>
        <w:t xml:space="preserve">11. References</w:t>
      </w:r>
    </w:p>
    <w:p>
      <w:pPr>
        <w:spacing w:after="120" w:line="276"/>
        <w:jc w:val="both"/>
      </w:pPr>
      <w:r>
        <w:rPr>
          <w:rFonts w:ascii="Calibri" w:cs="Calibri" w:eastAsia="Calibri" w:hAnsi="Calibri"/>
          <w:i/>
          <w:iCs/>
          <w:color w:val="595959"/>
          <w:sz w:val="21"/>
          <w:szCs w:val="21"/>
        </w:rPr>
        <w:t xml:space="preserve">All references verified against journal metadata (DOI, volume, pages) during preparation. Numbering matches in-text citations.</w:t>
      </w:r>
    </w:p>
    <w:p>
      <w:pPr>
        <w:spacing w:after="90" w:line="264"/>
        <w:ind w:left="360" w:hanging="360"/>
      </w:pPr>
      <w:r>
        <w:rPr>
          <w:rFonts w:ascii="Calibri" w:cs="Calibri" w:eastAsia="Calibri" w:hAnsi="Calibri"/>
          <w:b/>
          <w:bCs/>
          <w:color w:val="2E74B5"/>
          <w:sz w:val="19"/>
          <w:szCs w:val="19"/>
        </w:rPr>
        <w:t xml:space="preserve">[1] </w:t>
      </w:r>
      <w:r>
        <w:rPr>
          <w:rFonts w:ascii="Calibri" w:cs="Calibri" w:eastAsia="Calibri" w:hAnsi="Calibri"/>
          <w:sz w:val="19"/>
          <w:szCs w:val="19"/>
        </w:rPr>
        <w:t xml:space="preserve">Jelescu IO, Veraart J, Fieremans E, Novikov DS. Degeneracy in model parameter estimation for multi-compartmental diffusion in neuronal tissue. NMR in Biomedicine. 2016;29(1):33–47. doi:10.1002/nbm.3450.</w:t>
      </w:r>
    </w:p>
    <w:p>
      <w:pPr>
        <w:spacing w:after="90" w:line="264"/>
        <w:ind w:left="360" w:hanging="360"/>
      </w:pPr>
      <w:r>
        <w:rPr>
          <w:rFonts w:ascii="Calibri" w:cs="Calibri" w:eastAsia="Calibri" w:hAnsi="Calibri"/>
          <w:b/>
          <w:bCs/>
          <w:color w:val="2E74B5"/>
          <w:sz w:val="19"/>
          <w:szCs w:val="19"/>
        </w:rPr>
        <w:t xml:space="preserve">[2] </w:t>
      </w:r>
      <w:r>
        <w:rPr>
          <w:rFonts w:ascii="Calibri" w:cs="Calibri" w:eastAsia="Calibri" w:hAnsi="Calibri"/>
          <w:sz w:val="19"/>
          <w:szCs w:val="19"/>
        </w:rPr>
        <w:t xml:space="preserve">Jelescu IO, Palombo M, Bagnato F, Schilling KG. Challenges for biophysical modeling of microstructure. Journal of Neuroscience Methods. 2020;344:108861. doi:10.1016/j.jneumeth.2020.108861.</w:t>
      </w:r>
    </w:p>
    <w:p>
      <w:pPr>
        <w:spacing w:after="90" w:line="264"/>
        <w:ind w:left="360" w:hanging="360"/>
      </w:pPr>
      <w:r>
        <w:rPr>
          <w:rFonts w:ascii="Calibri" w:cs="Calibri" w:eastAsia="Calibri" w:hAnsi="Calibri"/>
          <w:b/>
          <w:bCs/>
          <w:color w:val="2E74B5"/>
          <w:sz w:val="19"/>
          <w:szCs w:val="19"/>
        </w:rPr>
        <w:t xml:space="preserve">[3] </w:t>
      </w:r>
      <w:r>
        <w:rPr>
          <w:rFonts w:ascii="Calibri" w:cs="Calibri" w:eastAsia="Calibri" w:hAnsi="Calibri"/>
          <w:sz w:val="19"/>
          <w:szCs w:val="19"/>
        </w:rPr>
        <w:t xml:space="preserve">Coelho S, Pozo JM, Jespersen SN, Jones DK, Frangi AF. Resolving degeneracy in diffusion MRI biophysical model parameter estimation using double diffusion encoding. Magnetic Resonance in Medicine. 2019;82(1):395–410. doi:10.1002/mrm.27714.</w:t>
      </w:r>
    </w:p>
    <w:p>
      <w:pPr>
        <w:spacing w:after="90" w:line="264"/>
        <w:ind w:left="360" w:hanging="360"/>
      </w:pPr>
      <w:r>
        <w:rPr>
          <w:rFonts w:ascii="Calibri" w:cs="Calibri" w:eastAsia="Calibri" w:hAnsi="Calibri"/>
          <w:b/>
          <w:bCs/>
          <w:color w:val="2E74B5"/>
          <w:sz w:val="19"/>
          <w:szCs w:val="19"/>
        </w:rPr>
        <w:t xml:space="preserve">[4] </w:t>
      </w:r>
      <w:r>
        <w:rPr>
          <w:rFonts w:ascii="Calibri" w:cs="Calibri" w:eastAsia="Calibri" w:hAnsi="Calibri"/>
          <w:sz w:val="19"/>
          <w:szCs w:val="19"/>
        </w:rPr>
        <w:t xml:space="preserve">Zhang H, Schneider T, Wheeler-Kingshott CA, Alexander DC. NODDI: practical in vivo neurite orientation dispersion and density imaging of the human brain. NeuroImage. 2012;61(4):1000–1016. doi:10.1016/j.neuroimage.2012.03.072.</w:t>
      </w:r>
    </w:p>
    <w:p>
      <w:pPr>
        <w:spacing w:after="90" w:line="264"/>
        <w:ind w:left="360" w:hanging="360"/>
      </w:pPr>
      <w:r>
        <w:rPr>
          <w:rFonts w:ascii="Calibri" w:cs="Calibri" w:eastAsia="Calibri" w:hAnsi="Calibri"/>
          <w:b/>
          <w:bCs/>
          <w:color w:val="2E74B5"/>
          <w:sz w:val="19"/>
          <w:szCs w:val="19"/>
        </w:rPr>
        <w:t xml:space="preserve">[5] </w:t>
      </w:r>
      <w:r>
        <w:rPr>
          <w:rFonts w:ascii="Calibri" w:cs="Calibri" w:eastAsia="Calibri" w:hAnsi="Calibri"/>
          <w:sz w:val="19"/>
          <w:szCs w:val="19"/>
        </w:rPr>
        <w:t xml:space="preserve">Novikov DS, Fieremans E, Jespersen SN, Kiselev VG. Quantifying brain microstructure with diffusion MRI: theory and parameter estimation. NMR in Biomedicine. 2019;32(4):e3998. doi:10.1002/nbm.3998.</w:t>
      </w:r>
    </w:p>
    <w:p>
      <w:pPr>
        <w:spacing w:after="90" w:line="264"/>
        <w:ind w:left="360" w:hanging="360"/>
      </w:pPr>
      <w:r>
        <w:rPr>
          <w:rFonts w:ascii="Calibri" w:cs="Calibri" w:eastAsia="Calibri" w:hAnsi="Calibri"/>
          <w:b/>
          <w:bCs/>
          <w:color w:val="2E74B5"/>
          <w:sz w:val="19"/>
          <w:szCs w:val="19"/>
        </w:rPr>
        <w:t xml:space="preserve">[6] </w:t>
      </w:r>
      <w:r>
        <w:rPr>
          <w:rFonts w:ascii="Calibri" w:cs="Calibri" w:eastAsia="Calibri" w:hAnsi="Calibri"/>
          <w:sz w:val="19"/>
          <w:szCs w:val="19"/>
        </w:rPr>
        <w:t xml:space="preserve">Novikov DS, Veraart J, Jelescu IO, Fieremans E. Rotationally-invariant mapping of scalar and orientational metrics of neuronal microstructure with diffusion MRI. NeuroImage. 2018;174:518–538. doi:10.1016/j.neuroimage.2018.03.006.</w:t>
      </w:r>
    </w:p>
    <w:p>
      <w:pPr>
        <w:spacing w:after="90" w:line="264"/>
        <w:ind w:left="360" w:hanging="360"/>
      </w:pPr>
      <w:r>
        <w:rPr>
          <w:rFonts w:ascii="Calibri" w:cs="Calibri" w:eastAsia="Calibri" w:hAnsi="Calibri"/>
          <w:b/>
          <w:bCs/>
          <w:color w:val="2E74B5"/>
          <w:sz w:val="19"/>
          <w:szCs w:val="19"/>
        </w:rPr>
        <w:t xml:space="preserve">[7] </w:t>
      </w:r>
      <w:r>
        <w:rPr>
          <w:rFonts w:ascii="Calibri" w:cs="Calibri" w:eastAsia="Calibri" w:hAnsi="Calibri"/>
          <w:sz w:val="19"/>
          <w:szCs w:val="19"/>
        </w:rPr>
        <w:t xml:space="preserve">Reisert M, Kellner E, Dhital B, Hennig J, Kiselev VG. Disentangling micro from mesostructure by diffusion MRI: a Bayesian approach. NeuroImage. 2017;147:964–975. doi:10.1016/j.neuroimage.2016.09.058.</w:t>
      </w:r>
    </w:p>
    <w:p>
      <w:pPr>
        <w:spacing w:after="90" w:line="264"/>
        <w:ind w:left="360" w:hanging="360"/>
      </w:pPr>
      <w:r>
        <w:rPr>
          <w:rFonts w:ascii="Calibri" w:cs="Calibri" w:eastAsia="Calibri" w:hAnsi="Calibri"/>
          <w:b/>
          <w:bCs/>
          <w:color w:val="2E74B5"/>
          <w:sz w:val="19"/>
          <w:szCs w:val="19"/>
        </w:rPr>
        <w:t xml:space="preserve">[8] </w:t>
      </w:r>
      <w:r>
        <w:rPr>
          <w:rFonts w:ascii="Calibri" w:cs="Calibri" w:eastAsia="Calibri" w:hAnsi="Calibri"/>
          <w:sz w:val="19"/>
          <w:szCs w:val="19"/>
        </w:rPr>
        <w:t xml:space="preserve">Reisert M, Kiselev VG, Dhital B. A unique analytical solution of the white matter standard model using linear and planar encodings. Magnetic Resonance in Medicine. 2019;81(6):3819–3825. doi:10.1002/mrm.27685.</w:t>
      </w:r>
    </w:p>
    <w:p>
      <w:pPr>
        <w:spacing w:after="90" w:line="264"/>
        <w:ind w:left="360" w:hanging="360"/>
      </w:pPr>
      <w:r>
        <w:rPr>
          <w:rFonts w:ascii="Calibri" w:cs="Calibri" w:eastAsia="Calibri" w:hAnsi="Calibri"/>
          <w:b/>
          <w:bCs/>
          <w:color w:val="2E74B5"/>
          <w:sz w:val="19"/>
          <w:szCs w:val="19"/>
        </w:rPr>
        <w:t xml:space="preserve">[9] </w:t>
      </w:r>
      <w:r>
        <w:rPr>
          <w:rFonts w:ascii="Calibri" w:cs="Calibri" w:eastAsia="Calibri" w:hAnsi="Calibri"/>
          <w:sz w:val="19"/>
          <w:szCs w:val="19"/>
        </w:rPr>
        <w:t xml:space="preserve">Coelho S, Baete SH, Lemberskiy G, Ades-Aron B, Barrol G, Veraart J, Novikov DS, Fieremans E. Reproducibility of the Standard Model of diffusion in white matter on clinical MRI systems. NeuroImage. 2022;257:119290. doi:10.1016/j.neuroimage.2022.119290.</w:t>
      </w:r>
    </w:p>
    <w:p>
      <w:pPr>
        <w:spacing w:after="90" w:line="264"/>
        <w:ind w:left="360" w:hanging="360"/>
      </w:pPr>
      <w:r>
        <w:rPr>
          <w:rFonts w:ascii="Calibri" w:cs="Calibri" w:eastAsia="Calibri" w:hAnsi="Calibri"/>
          <w:b/>
          <w:bCs/>
          <w:color w:val="2E74B5"/>
          <w:sz w:val="19"/>
          <w:szCs w:val="19"/>
        </w:rPr>
        <w:t xml:space="preserve">[10] </w:t>
      </w:r>
      <w:r>
        <w:rPr>
          <w:rFonts w:ascii="Calibri" w:cs="Calibri" w:eastAsia="Calibri" w:hAnsi="Calibri"/>
          <w:sz w:val="19"/>
          <w:szCs w:val="19"/>
        </w:rPr>
        <w:t xml:space="preserve">Novikov DS, Kiselev VG, Jespersen SN. On modeling. Magnetic Resonance in Medicine. 2018;79(6):3172–3193. doi:10.1002/mrm.27101.</w:t>
      </w:r>
    </w:p>
    <w:p>
      <w:pPr>
        <w:spacing w:after="90" w:line="264"/>
        <w:ind w:left="360" w:hanging="360"/>
      </w:pPr>
      <w:r>
        <w:rPr>
          <w:rFonts w:ascii="Calibri" w:cs="Calibri" w:eastAsia="Calibri" w:hAnsi="Calibri"/>
          <w:b/>
          <w:bCs/>
          <w:color w:val="2E74B5"/>
          <w:sz w:val="19"/>
          <w:szCs w:val="19"/>
        </w:rPr>
        <w:t xml:space="preserve">[11] </w:t>
      </w:r>
      <w:r>
        <w:rPr>
          <w:rFonts w:ascii="Calibri" w:cs="Calibri" w:eastAsia="Calibri" w:hAnsi="Calibri"/>
          <w:sz w:val="19"/>
          <w:szCs w:val="19"/>
        </w:rPr>
        <w:t xml:space="preserve">Coelho S, Szczepankiewicz F, et al. (NYU SMI Toolbox) — Standard Model Imaging: rotationally-invariant estimation of Standard Model parameters. Center for Advanced Imaging Innovation and Research (CAI2R), NYU. Software and associated methods per refs [6],[7]. (Toolbox reference.)</w:t>
      </w:r>
    </w:p>
    <w:p>
      <w:pPr>
        <w:spacing w:after="90" w:line="264"/>
        <w:ind w:left="360" w:hanging="360"/>
      </w:pPr>
      <w:r>
        <w:rPr>
          <w:rFonts w:ascii="Calibri" w:cs="Calibri" w:eastAsia="Calibri" w:hAnsi="Calibri"/>
          <w:b/>
          <w:bCs/>
          <w:color w:val="2E74B5"/>
          <w:sz w:val="19"/>
          <w:szCs w:val="19"/>
        </w:rPr>
        <w:t xml:space="preserve">[12] </w:t>
      </w:r>
      <w:r>
        <w:rPr>
          <w:rFonts w:ascii="Calibri" w:cs="Calibri" w:eastAsia="Calibri" w:hAnsi="Calibri"/>
          <w:sz w:val="19"/>
          <w:szCs w:val="19"/>
        </w:rPr>
        <w:t xml:space="preserve">Casey BJ, Cannonier T, Conley MI, et al. The Adolescent Brain Cognitive Development (ABCD) study: imaging acquisition across 21 sites. Developmental Cognitive Neuroscience. 2018;32:43–54. doi:10.1016/j.dcn.2018.03.001.</w:t>
      </w:r>
    </w:p>
    <w:p>
      <w:pPr>
        <w:spacing w:after="90" w:line="264"/>
        <w:ind w:left="360" w:hanging="360"/>
      </w:pPr>
      <w:r>
        <w:rPr>
          <w:rFonts w:ascii="Calibri" w:cs="Calibri" w:eastAsia="Calibri" w:hAnsi="Calibri"/>
          <w:b/>
          <w:bCs/>
          <w:color w:val="2E74B5"/>
          <w:sz w:val="19"/>
          <w:szCs w:val="19"/>
        </w:rPr>
        <w:t xml:space="preserve">[13] </w:t>
      </w:r>
      <w:r>
        <w:rPr>
          <w:rFonts w:ascii="Calibri" w:cs="Calibri" w:eastAsia="Calibri" w:hAnsi="Calibri"/>
          <w:sz w:val="19"/>
          <w:szCs w:val="19"/>
        </w:rPr>
        <w:t xml:space="preserve">Hagler DJ Jr, Hatton S, Cornejo MD, et al. Image processing and analysis methods for the Adolescent Brain Cognitive Development Study. NeuroImage. 2019;202:116091. doi:10.1016/j.neuroimage.2019.116091.</w:t>
      </w:r>
    </w:p>
    <w:p>
      <w:pPr>
        <w:spacing w:after="90" w:line="264"/>
        <w:ind w:left="360" w:hanging="360"/>
      </w:pPr>
      <w:r>
        <w:rPr>
          <w:rFonts w:ascii="Calibri" w:cs="Calibri" w:eastAsia="Calibri" w:hAnsi="Calibri"/>
          <w:b/>
          <w:bCs/>
          <w:color w:val="2E74B5"/>
          <w:sz w:val="19"/>
          <w:szCs w:val="19"/>
        </w:rPr>
        <w:t xml:space="preserve">[14] </w:t>
      </w:r>
      <w:r>
        <w:rPr>
          <w:rFonts w:ascii="Calibri" w:cs="Calibri" w:eastAsia="Calibri" w:hAnsi="Calibri"/>
          <w:sz w:val="19"/>
          <w:szCs w:val="19"/>
        </w:rPr>
        <w:t xml:space="preserve">Palombo M, Ianus A, Guerreri M, Nunes D, Alexander DC, Shemesh N, Zhang H. SANDI: a compartment-based model for non-invasive apparent soma and neurite imaging by diffusion MRI. NeuroImage. 2020;215:116835. doi:10.1016/j.neuroimage.2020.116835.</w:t>
      </w:r>
    </w:p>
    <w:p>
      <w:pPr>
        <w:spacing w:after="90" w:line="264"/>
        <w:ind w:left="360" w:hanging="360"/>
      </w:pPr>
      <w:r>
        <w:rPr>
          <w:rFonts w:ascii="Calibri" w:cs="Calibri" w:eastAsia="Calibri" w:hAnsi="Calibri"/>
          <w:b/>
          <w:bCs/>
          <w:color w:val="2E74B5"/>
          <w:sz w:val="19"/>
          <w:szCs w:val="19"/>
        </w:rPr>
        <w:t xml:space="preserve">[15] </w:t>
      </w:r>
      <w:r>
        <w:rPr>
          <w:rFonts w:ascii="Calibri" w:cs="Calibri" w:eastAsia="Calibri" w:hAnsi="Calibri"/>
          <w:sz w:val="19"/>
          <w:szCs w:val="19"/>
        </w:rPr>
        <w:t xml:space="preserve">Veraart J, Novikov DS, Christiaens D, Ades-Aron B, Sijbers J, Fieremans E. Denoising of diffusion MRI using random matrix theory. NeuroImage. 2016;142:394–406. doi:10.1016/j.neuroimage.2016.08.016.</w:t>
      </w:r>
    </w:p>
    <w:p>
      <w:pPr>
        <w:spacing w:after="90" w:line="264"/>
        <w:ind w:left="360" w:hanging="360"/>
      </w:pPr>
      <w:r>
        <w:rPr>
          <w:rFonts w:ascii="Calibri" w:cs="Calibri" w:eastAsia="Calibri" w:hAnsi="Calibri"/>
          <w:b/>
          <w:bCs/>
          <w:color w:val="2E74B5"/>
          <w:sz w:val="19"/>
          <w:szCs w:val="19"/>
        </w:rPr>
        <w:t xml:space="preserve">[16] </w:t>
      </w:r>
      <w:r>
        <w:rPr>
          <w:rFonts w:ascii="Calibri" w:cs="Calibri" w:eastAsia="Calibri" w:hAnsi="Calibri"/>
          <w:sz w:val="19"/>
          <w:szCs w:val="19"/>
        </w:rPr>
        <w:t xml:space="preserve">Kaden E, Kelm ND, Carson RP, Does MD, Alexander DC. Multi-compartment microscopic diffusion imaging. NeuroImage. 2016;139:346–359. doi:10.1016/j.neuroimage.2016.06.002.</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Calibri" w:cs="Calibri" w:eastAsia="Calibri" w:hAnsi="Calibri"/>
        <w:color w:val="595959"/>
        <w:sz w:val="16"/>
        <w:szCs w:val="16"/>
      </w:rPr>
      <w:t xml:space="preserve">SMDI · Knowledge Base, Theory &amp; Methods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mbria" w:cs="Cambria" w:eastAsia="Cambria" w:hAnsi="Cambria"/>
      <w:b/>
      <w:bCs/>
      <w:color w:val="1F4E79"/>
      <w:sz w:val="30"/>
      <w:szCs w:val="30"/>
    </w:rPr>
  </w:style>
  <w:style w:type="paragraph" w:styleId="Heading2">
    <w:name w:val="Heading 2"/>
    <w:basedOn w:val="Normal"/>
    <w:next w:val="Normal"/>
    <w:qFormat/>
    <w:pPr>
      <w:spacing w:after="100" w:before="220"/>
    </w:pPr>
    <w:rPr>
      <w:rFonts w:ascii="Cambria" w:cs="Cambria" w:eastAsia="Cambria" w:hAnsi="Cambria"/>
      <w:b/>
      <w:bCs/>
      <w:color w:val="2E74B5"/>
      <w:sz w:val="25"/>
      <w:szCs w:val="25"/>
    </w:rPr>
  </w:style>
  <w:style w:type="paragraph" w:styleId="Heading3">
    <w:name w:val="Heading 3"/>
    <w:basedOn w:val="Normal"/>
    <w:next w:val="Normal"/>
    <w:qFormat/>
    <w:pPr>
      <w:spacing w:after="80" w:before="16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Standard Model Degeneracy Index (SMDI)</dc:title>
  <dc:creator>dwiforge methods note</dc:creator>
  <dc:description>Knowledge base, theoretical framework, and methods for SMDI</dc:description>
  <cp:lastModifiedBy>Un-named</cp:lastModifiedBy>
  <cp:revision>1</cp:revision>
  <dcterms:created xsi:type="dcterms:W3CDTF">2026-07-13T19:39:54.089Z</dcterms:created>
  <dcterms:modified xsi:type="dcterms:W3CDTF">2026-07-13T19:39:54.089Z</dcterms:modified>
</cp:coreProperties>
</file>

<file path=docProps/custom.xml><?xml version="1.0" encoding="utf-8"?>
<Properties xmlns="http://schemas.openxmlformats.org/officeDocument/2006/custom-properties" xmlns:vt="http://schemas.openxmlformats.org/officeDocument/2006/docPropsVTypes"/>
</file>