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821CDA" w14:textId="77777777" w:rsidR="001B7611" w:rsidRPr="001B7611" w:rsidRDefault="001B7611" w:rsidP="001B7611">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1B7611">
        <w:rPr>
          <w:rFonts w:ascii="Times New Roman" w:eastAsia="Times New Roman" w:hAnsi="Times New Roman" w:cs="Times New Roman"/>
          <w:b/>
          <w:bCs/>
          <w:kern w:val="0"/>
          <w:sz w:val="36"/>
          <w:szCs w:val="36"/>
          <w14:ligatures w14:val="none"/>
        </w:rPr>
        <w:t>Research Paper: Decoding Student Retention and Churn of Vodafone (</w:t>
      </w:r>
      <w:proofErr w:type="spellStart"/>
      <w:r w:rsidRPr="001B7611">
        <w:rPr>
          <w:rFonts w:ascii="Times New Roman" w:eastAsia="Times New Roman" w:hAnsi="Times New Roman" w:cs="Times New Roman"/>
          <w:b/>
          <w:bCs/>
          <w:kern w:val="0"/>
          <w:sz w:val="36"/>
          <w:szCs w:val="36"/>
          <w14:ligatures w14:val="none"/>
        </w:rPr>
        <w:t>Telecel</w:t>
      </w:r>
      <w:proofErr w:type="spellEnd"/>
      <w:r w:rsidRPr="001B7611">
        <w:rPr>
          <w:rFonts w:ascii="Times New Roman" w:eastAsia="Times New Roman" w:hAnsi="Times New Roman" w:cs="Times New Roman"/>
          <w:b/>
          <w:bCs/>
          <w:kern w:val="0"/>
          <w:sz w:val="36"/>
          <w:szCs w:val="36"/>
          <w14:ligatures w14:val="none"/>
        </w:rPr>
        <w:t>) in KNUST</w:t>
      </w:r>
    </w:p>
    <w:p w14:paraId="5699B980" w14:textId="77777777" w:rsidR="001B7611" w:rsidRPr="001B7611" w:rsidRDefault="001B7611" w:rsidP="001B761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B7611">
        <w:rPr>
          <w:rFonts w:ascii="Times New Roman" w:eastAsia="Times New Roman" w:hAnsi="Times New Roman" w:cs="Times New Roman"/>
          <w:b/>
          <w:bCs/>
          <w:kern w:val="0"/>
          <w:sz w:val="27"/>
          <w:szCs w:val="27"/>
          <w14:ligatures w14:val="none"/>
        </w:rPr>
        <w:t>Abstract</w:t>
      </w:r>
    </w:p>
    <w:p w14:paraId="626E4953" w14:textId="77777777" w:rsidR="001B7611" w:rsidRPr="001B7611" w:rsidRDefault="001B7611" w:rsidP="001B761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B7611">
        <w:rPr>
          <w:rFonts w:ascii="Times New Roman" w:eastAsia="Times New Roman" w:hAnsi="Times New Roman" w:cs="Times New Roman"/>
          <w:kern w:val="0"/>
          <w:sz w:val="24"/>
          <w:szCs w:val="24"/>
          <w14:ligatures w14:val="none"/>
        </w:rPr>
        <w:t>This research paper presents a survival analytics approach to understand student retention and churn for Vodafone (</w:t>
      </w:r>
      <w:proofErr w:type="spellStart"/>
      <w:r w:rsidRPr="001B7611">
        <w:rPr>
          <w:rFonts w:ascii="Times New Roman" w:eastAsia="Times New Roman" w:hAnsi="Times New Roman" w:cs="Times New Roman"/>
          <w:kern w:val="0"/>
          <w:sz w:val="24"/>
          <w:szCs w:val="24"/>
          <w14:ligatures w14:val="none"/>
        </w:rPr>
        <w:t>Telecel</w:t>
      </w:r>
      <w:proofErr w:type="spellEnd"/>
      <w:r w:rsidRPr="001B7611">
        <w:rPr>
          <w:rFonts w:ascii="Times New Roman" w:eastAsia="Times New Roman" w:hAnsi="Times New Roman" w:cs="Times New Roman"/>
          <w:kern w:val="0"/>
          <w:sz w:val="24"/>
          <w:szCs w:val="24"/>
          <w14:ligatures w14:val="none"/>
        </w:rPr>
        <w:t>) users at Kwame Nkrumah University of Science and Technology (KNUST). By employing the Kaplan-Meier Estimator, Random Survival Forests (RSF), and Cox Proportional Hazards (</w:t>
      </w:r>
      <w:proofErr w:type="spellStart"/>
      <w:r w:rsidRPr="001B7611">
        <w:rPr>
          <w:rFonts w:ascii="Times New Roman" w:eastAsia="Times New Roman" w:hAnsi="Times New Roman" w:cs="Times New Roman"/>
          <w:kern w:val="0"/>
          <w:sz w:val="24"/>
          <w:szCs w:val="24"/>
          <w14:ligatures w14:val="none"/>
        </w:rPr>
        <w:t>CoxPH</w:t>
      </w:r>
      <w:proofErr w:type="spellEnd"/>
      <w:r w:rsidRPr="001B7611">
        <w:rPr>
          <w:rFonts w:ascii="Times New Roman" w:eastAsia="Times New Roman" w:hAnsi="Times New Roman" w:cs="Times New Roman"/>
          <w:kern w:val="0"/>
          <w:sz w:val="24"/>
          <w:szCs w:val="24"/>
          <w14:ligatures w14:val="none"/>
        </w:rPr>
        <w:t>) models, we analyze the time until student churn and identify significant predictors of this event. The study aims to provide insights for improving student retention strategies.</w:t>
      </w:r>
    </w:p>
    <w:p w14:paraId="33A36B5D" w14:textId="77777777" w:rsidR="001B7611" w:rsidRPr="001B7611" w:rsidRDefault="001B7611" w:rsidP="001B7611">
      <w:pPr>
        <w:pStyle w:val="Heading1"/>
        <w:rPr>
          <w:b/>
          <w:bCs/>
          <w:color w:val="auto"/>
        </w:rPr>
      </w:pPr>
      <w:r w:rsidRPr="001B7611">
        <w:rPr>
          <w:b/>
          <w:bCs/>
          <w:color w:val="auto"/>
        </w:rPr>
        <w:t>Detailed Methodology and Analysis of Student Retention and Churn of Vodafone (</w:t>
      </w:r>
      <w:proofErr w:type="spellStart"/>
      <w:r w:rsidRPr="001B7611">
        <w:rPr>
          <w:b/>
          <w:bCs/>
          <w:color w:val="auto"/>
        </w:rPr>
        <w:t>Telecel</w:t>
      </w:r>
      <w:proofErr w:type="spellEnd"/>
      <w:r w:rsidRPr="001B7611">
        <w:rPr>
          <w:b/>
          <w:bCs/>
          <w:color w:val="auto"/>
        </w:rPr>
        <w:t>) in KNUST</w:t>
      </w:r>
    </w:p>
    <w:p w14:paraId="1F5AAC00" w14:textId="77777777" w:rsidR="001B7611" w:rsidRDefault="001B7611" w:rsidP="001B7611">
      <w:pPr>
        <w:pStyle w:val="Heading2"/>
      </w:pPr>
      <w:r>
        <w:t>Introduction</w:t>
      </w:r>
    </w:p>
    <w:p w14:paraId="74852DF9" w14:textId="77777777" w:rsidR="001B7611" w:rsidRDefault="001B7611" w:rsidP="001B7611">
      <w:pPr>
        <w:pStyle w:val="NormalWeb"/>
      </w:pPr>
      <w:r>
        <w:t>The study of student retention and churn is crucial for both educational institutions and businesses seeking to enhance customer loyalty and service quality. In this analysis, we focus on understanding the factors influencing the churn of Vodafone (</w:t>
      </w:r>
      <w:proofErr w:type="spellStart"/>
      <w:r>
        <w:t>Telecel</w:t>
      </w:r>
      <w:proofErr w:type="spellEnd"/>
      <w:r>
        <w:t>) users among students at Kwame Nkrumah University of Science and Technology (KNUST). Using advanced survival analysis methodologies, we investigate the patterns and predictors of student churn, providing actionable insights to improve retention strategies.</w:t>
      </w:r>
    </w:p>
    <w:p w14:paraId="3441AF94" w14:textId="77777777" w:rsidR="001B7611" w:rsidRDefault="001B7611" w:rsidP="001B7611">
      <w:pPr>
        <w:pStyle w:val="Heading2"/>
      </w:pPr>
      <w:r>
        <w:t>Methodology</w:t>
      </w:r>
    </w:p>
    <w:p w14:paraId="56F9A000" w14:textId="77777777" w:rsidR="001B7611" w:rsidRDefault="001B7611" w:rsidP="001B7611">
      <w:pPr>
        <w:pStyle w:val="NormalWeb"/>
      </w:pPr>
      <w:r>
        <w:t>The methodology for this study involves three primary survival analysis techniques: the Kaplan-Meier Estimator, Random Survival Forests (RSF), and the Cox Proportional Hazards (</w:t>
      </w:r>
      <w:proofErr w:type="spellStart"/>
      <w:r>
        <w:t>CoxPH</w:t>
      </w:r>
      <w:proofErr w:type="spellEnd"/>
      <w:r>
        <w:t>) Model. These techniques allow us to estimate survival probabilities, identify significant predictors, and model the relationship between time-to-event data and various covariates.</w:t>
      </w:r>
    </w:p>
    <w:p w14:paraId="417BF4AB" w14:textId="77777777" w:rsidR="001B7611" w:rsidRDefault="001B7611" w:rsidP="001B7611">
      <w:pPr>
        <w:pStyle w:val="Heading3"/>
      </w:pPr>
      <w:r>
        <w:t>Data Collection and Preprocessing</w:t>
      </w:r>
    </w:p>
    <w:p w14:paraId="4B6627B3" w14:textId="77777777" w:rsidR="001B7611" w:rsidRDefault="001B7611" w:rsidP="001B7611">
      <w:pPr>
        <w:pStyle w:val="NormalWeb"/>
      </w:pPr>
      <w:r>
        <w:t>The data for this study was collected from Vodafone (</w:t>
      </w:r>
      <w:proofErr w:type="spellStart"/>
      <w:r>
        <w:t>Telecel</w:t>
      </w:r>
      <w:proofErr w:type="spellEnd"/>
      <w:r>
        <w:t>) users at KNUST. It includes variables such as gender, college, churn status, residence, SIM usage, and network strength. The preprocessing steps included:</w:t>
      </w:r>
    </w:p>
    <w:p w14:paraId="290DE73A" w14:textId="77777777" w:rsidR="001B7611" w:rsidRDefault="001B7611" w:rsidP="001B7611">
      <w:pPr>
        <w:numPr>
          <w:ilvl w:val="0"/>
          <w:numId w:val="4"/>
        </w:numPr>
        <w:spacing w:before="100" w:beforeAutospacing="1" w:after="100" w:afterAutospacing="1" w:line="240" w:lineRule="auto"/>
      </w:pPr>
      <w:r>
        <w:rPr>
          <w:rStyle w:val="Strong"/>
        </w:rPr>
        <w:t>Data Cleaning</w:t>
      </w:r>
      <w:r>
        <w:t>: This step involved removing duplicates, handling missing values, and ensuring data consistency. Ensuring that the dataset is free from errors is critical for reliable analysis.</w:t>
      </w:r>
    </w:p>
    <w:p w14:paraId="156C76D0" w14:textId="77777777" w:rsidR="001B7611" w:rsidRDefault="001B7611" w:rsidP="001B7611">
      <w:pPr>
        <w:numPr>
          <w:ilvl w:val="0"/>
          <w:numId w:val="4"/>
        </w:numPr>
        <w:spacing w:before="100" w:beforeAutospacing="1" w:after="100" w:afterAutospacing="1" w:line="240" w:lineRule="auto"/>
      </w:pPr>
      <w:r>
        <w:rPr>
          <w:rStyle w:val="Strong"/>
        </w:rPr>
        <w:t>Encoding Categorical Variables</w:t>
      </w:r>
      <w:r>
        <w:t>: Categorical variables were transformed into numerical values using techniques like one-hot encoding. This transformation is essential for the algorithms to process and analyze the data effectively.</w:t>
      </w:r>
    </w:p>
    <w:p w14:paraId="7D16BBC3" w14:textId="77777777" w:rsidR="001B7611" w:rsidRDefault="001B7611" w:rsidP="001B7611">
      <w:pPr>
        <w:numPr>
          <w:ilvl w:val="0"/>
          <w:numId w:val="4"/>
        </w:numPr>
        <w:spacing w:before="100" w:beforeAutospacing="1" w:after="100" w:afterAutospacing="1" w:line="240" w:lineRule="auto"/>
      </w:pPr>
      <w:r>
        <w:rPr>
          <w:rStyle w:val="Strong"/>
        </w:rPr>
        <w:lastRenderedPageBreak/>
        <w:t>Handling Censored Data</w:t>
      </w:r>
      <w:r>
        <w:t>: Censored data, where the event of interest (churn) has not occurred for some users by the end of the study period, was identified and appropriately handled. This is crucial for survival analysis as it deals with time-to-event data.</w:t>
      </w:r>
    </w:p>
    <w:p w14:paraId="6C2E1C80" w14:textId="77777777" w:rsidR="001B7611" w:rsidRDefault="001B7611" w:rsidP="001B7611">
      <w:pPr>
        <w:pStyle w:val="Heading3"/>
      </w:pPr>
      <w:r>
        <w:t>Kaplan-Meier Estimator</w:t>
      </w:r>
    </w:p>
    <w:p w14:paraId="400853A9" w14:textId="77777777" w:rsidR="001B7611" w:rsidRDefault="001B7611" w:rsidP="001B7611">
      <w:pPr>
        <w:pStyle w:val="NormalWeb"/>
      </w:pPr>
      <w:r>
        <w:t xml:space="preserve">The Kaplan-Meier Estimator is a non-parametric method used to estimate the survival function from time-to-event data. It provides a step-function estimate of the survival probability at each observed event time. The survival function </w:t>
      </w:r>
      <w:r>
        <w:rPr>
          <w:rStyle w:val="katex-mathml"/>
        </w:rPr>
        <w:t>S(t)S(t)</w:t>
      </w:r>
      <w:r>
        <w:rPr>
          <w:rStyle w:val="mord"/>
        </w:rPr>
        <w:t>S</w:t>
      </w:r>
      <w:r>
        <w:rPr>
          <w:rStyle w:val="mopen"/>
        </w:rPr>
        <w:t>(</w:t>
      </w:r>
      <w:r>
        <w:rPr>
          <w:rStyle w:val="mord"/>
        </w:rPr>
        <w:t>t</w:t>
      </w:r>
      <w:r>
        <w:rPr>
          <w:rStyle w:val="mclose"/>
        </w:rPr>
        <w:t>)</w:t>
      </w:r>
      <w:r>
        <w:t xml:space="preserve"> is defined as:</w:t>
      </w:r>
    </w:p>
    <w:p w14:paraId="1A7E494C" w14:textId="77777777" w:rsidR="001B7611" w:rsidRDefault="001B7611" w:rsidP="001B7611">
      <w:pPr>
        <w:pStyle w:val="NormalWeb"/>
      </w:pPr>
      <w:r>
        <w:rPr>
          <w:rStyle w:val="katex-mathml"/>
        </w:rPr>
        <w:t>S(t)=∏</w:t>
      </w:r>
      <w:proofErr w:type="spellStart"/>
      <w:r>
        <w:rPr>
          <w:rStyle w:val="katex-mathml"/>
        </w:rPr>
        <w:t>ti≤t</w:t>
      </w:r>
      <w:proofErr w:type="spellEnd"/>
      <w:r>
        <w:rPr>
          <w:rStyle w:val="katex-mathml"/>
        </w:rPr>
        <w:t>(1−</w:t>
      </w:r>
      <w:proofErr w:type="gramStart"/>
      <w:r>
        <w:rPr>
          <w:rStyle w:val="katex-mathml"/>
        </w:rPr>
        <w:t>dini)S</w:t>
      </w:r>
      <w:proofErr w:type="gramEnd"/>
      <w:r>
        <w:rPr>
          <w:rStyle w:val="katex-mathml"/>
        </w:rPr>
        <w:t>(t) = \prod_{</w:t>
      </w:r>
      <w:proofErr w:type="spellStart"/>
      <w:r>
        <w:rPr>
          <w:rStyle w:val="katex-mathml"/>
        </w:rPr>
        <w:t>t_i</w:t>
      </w:r>
      <w:proofErr w:type="spellEnd"/>
      <w:r>
        <w:rPr>
          <w:rStyle w:val="katex-mathml"/>
        </w:rPr>
        <w:t xml:space="preserve"> \</w:t>
      </w:r>
      <w:proofErr w:type="spellStart"/>
      <w:r>
        <w:rPr>
          <w:rStyle w:val="katex-mathml"/>
        </w:rPr>
        <w:t>leq</w:t>
      </w:r>
      <w:proofErr w:type="spellEnd"/>
      <w:r>
        <w:rPr>
          <w:rStyle w:val="katex-mathml"/>
        </w:rPr>
        <w:t xml:space="preserve"> t} \left(1 - \frac{</w:t>
      </w:r>
      <w:proofErr w:type="spellStart"/>
      <w:r>
        <w:rPr>
          <w:rStyle w:val="katex-mathml"/>
        </w:rPr>
        <w:t>d_i</w:t>
      </w:r>
      <w:proofErr w:type="spellEnd"/>
      <w:r>
        <w:rPr>
          <w:rStyle w:val="katex-mathml"/>
        </w:rPr>
        <w:t>}{</w:t>
      </w:r>
      <w:proofErr w:type="spellStart"/>
      <w:r>
        <w:rPr>
          <w:rStyle w:val="katex-mathml"/>
        </w:rPr>
        <w:t>n_i</w:t>
      </w:r>
      <w:proofErr w:type="spellEnd"/>
      <w:r>
        <w:rPr>
          <w:rStyle w:val="katex-mathml"/>
        </w:rPr>
        <w:t>}\right)</w:t>
      </w:r>
      <w:r>
        <w:rPr>
          <w:rStyle w:val="mord"/>
        </w:rPr>
        <w:t>S</w:t>
      </w:r>
      <w:r>
        <w:rPr>
          <w:rStyle w:val="mopen"/>
        </w:rPr>
        <w:t>(</w:t>
      </w:r>
      <w:r>
        <w:rPr>
          <w:rStyle w:val="mord"/>
        </w:rPr>
        <w:t>t</w:t>
      </w:r>
      <w:r>
        <w:rPr>
          <w:rStyle w:val="mclose"/>
        </w:rPr>
        <w:t>)</w:t>
      </w:r>
      <w:r>
        <w:rPr>
          <w:rStyle w:val="mrel"/>
          <w:rFonts w:eastAsiaTheme="majorEastAsia"/>
        </w:rPr>
        <w:t>=</w:t>
      </w:r>
      <w:r>
        <w:rPr>
          <w:rStyle w:val="mop"/>
        </w:rPr>
        <w:t>∏</w:t>
      </w:r>
      <w:proofErr w:type="spellStart"/>
      <w:r>
        <w:rPr>
          <w:rStyle w:val="mord"/>
        </w:rPr>
        <w:t>ti</w:t>
      </w:r>
      <w:proofErr w:type="spellEnd"/>
      <w:r>
        <w:rPr>
          <w:rStyle w:val="vlist-s"/>
        </w:rPr>
        <w:t>​</w:t>
      </w:r>
      <w:r>
        <w:rPr>
          <w:rStyle w:val="mrel"/>
          <w:rFonts w:eastAsiaTheme="majorEastAsia"/>
        </w:rPr>
        <w:t>≤</w:t>
      </w:r>
      <w:r>
        <w:rPr>
          <w:rStyle w:val="mord"/>
        </w:rPr>
        <w:t>t</w:t>
      </w:r>
      <w:r>
        <w:rPr>
          <w:rStyle w:val="vlist-s"/>
        </w:rPr>
        <w:t>​</w:t>
      </w:r>
      <w:r>
        <w:rPr>
          <w:rStyle w:val="delimsizing"/>
        </w:rPr>
        <w:t>(</w:t>
      </w:r>
      <w:r>
        <w:rPr>
          <w:rStyle w:val="mord"/>
        </w:rPr>
        <w:t>1</w:t>
      </w:r>
      <w:r>
        <w:rPr>
          <w:rStyle w:val="mbin"/>
        </w:rPr>
        <w:t>−</w:t>
      </w:r>
      <w:r>
        <w:rPr>
          <w:rStyle w:val="mord"/>
        </w:rPr>
        <w:t>ni</w:t>
      </w:r>
      <w:r>
        <w:rPr>
          <w:rStyle w:val="vlist-s"/>
        </w:rPr>
        <w:t>​</w:t>
      </w:r>
      <w:r>
        <w:rPr>
          <w:rStyle w:val="mord"/>
        </w:rPr>
        <w:t>di</w:t>
      </w:r>
      <w:r>
        <w:rPr>
          <w:rStyle w:val="vlist-s"/>
        </w:rPr>
        <w:t>​​</w:t>
      </w:r>
      <w:r>
        <w:rPr>
          <w:rStyle w:val="delimsizing"/>
        </w:rPr>
        <w:t>)</w:t>
      </w:r>
    </w:p>
    <w:p w14:paraId="79CEA659" w14:textId="77777777" w:rsidR="001B7611" w:rsidRDefault="001B7611" w:rsidP="001B7611">
      <w:pPr>
        <w:pStyle w:val="NormalWeb"/>
      </w:pPr>
      <w:r>
        <w:t>where:</w:t>
      </w:r>
    </w:p>
    <w:p w14:paraId="07D097F3" w14:textId="77777777" w:rsidR="001B7611" w:rsidRDefault="001B7611" w:rsidP="001B7611">
      <w:pPr>
        <w:numPr>
          <w:ilvl w:val="0"/>
          <w:numId w:val="5"/>
        </w:numPr>
        <w:spacing w:before="100" w:beforeAutospacing="1" w:after="100" w:afterAutospacing="1" w:line="240" w:lineRule="auto"/>
      </w:pPr>
      <w:proofErr w:type="spellStart"/>
      <w:r>
        <w:rPr>
          <w:rStyle w:val="katex-mathml"/>
        </w:rPr>
        <w:t>tit_i</w:t>
      </w:r>
      <w:r>
        <w:rPr>
          <w:rStyle w:val="mord"/>
        </w:rPr>
        <w:t>ti</w:t>
      </w:r>
      <w:proofErr w:type="spellEnd"/>
      <w:r>
        <w:rPr>
          <w:rStyle w:val="vlist-s"/>
        </w:rPr>
        <w:t>​</w:t>
      </w:r>
      <w:r>
        <w:t xml:space="preserve"> is the time of the </w:t>
      </w:r>
      <w:r>
        <w:rPr>
          <w:rStyle w:val="katex-mathml"/>
        </w:rPr>
        <w:t>ii</w:t>
      </w:r>
      <w:r>
        <w:rPr>
          <w:rStyle w:val="mord"/>
        </w:rPr>
        <w:t>i</w:t>
      </w:r>
      <w:r>
        <w:t>-</w:t>
      </w:r>
      <w:proofErr w:type="spellStart"/>
      <w:r>
        <w:t>th</w:t>
      </w:r>
      <w:proofErr w:type="spellEnd"/>
      <w:r>
        <w:t xml:space="preserve"> event,</w:t>
      </w:r>
    </w:p>
    <w:p w14:paraId="6862033E" w14:textId="77777777" w:rsidR="001B7611" w:rsidRDefault="001B7611" w:rsidP="001B7611">
      <w:pPr>
        <w:numPr>
          <w:ilvl w:val="0"/>
          <w:numId w:val="5"/>
        </w:numPr>
        <w:spacing w:before="100" w:beforeAutospacing="1" w:after="100" w:afterAutospacing="1" w:line="240" w:lineRule="auto"/>
      </w:pPr>
      <w:proofErr w:type="spellStart"/>
      <w:r>
        <w:rPr>
          <w:rStyle w:val="katex-mathml"/>
        </w:rPr>
        <w:t>did_i</w:t>
      </w:r>
      <w:r>
        <w:rPr>
          <w:rStyle w:val="mord"/>
        </w:rPr>
        <w:t>di</w:t>
      </w:r>
      <w:proofErr w:type="spellEnd"/>
      <w:r>
        <w:rPr>
          <w:rStyle w:val="vlist-s"/>
        </w:rPr>
        <w:t>​</w:t>
      </w:r>
      <w:r>
        <w:t xml:space="preserve"> is the number of events (churns) at time </w:t>
      </w:r>
      <w:proofErr w:type="spellStart"/>
      <w:r>
        <w:rPr>
          <w:rStyle w:val="katex-mathml"/>
        </w:rPr>
        <w:t>tit_i</w:t>
      </w:r>
      <w:r>
        <w:rPr>
          <w:rStyle w:val="mord"/>
        </w:rPr>
        <w:t>ti</w:t>
      </w:r>
      <w:proofErr w:type="spellEnd"/>
      <w:r>
        <w:rPr>
          <w:rStyle w:val="vlist-s"/>
        </w:rPr>
        <w:t>​</w:t>
      </w:r>
      <w:r>
        <w:t>,</w:t>
      </w:r>
    </w:p>
    <w:p w14:paraId="132343AF" w14:textId="77777777" w:rsidR="001B7611" w:rsidRDefault="001B7611" w:rsidP="001B7611">
      <w:pPr>
        <w:numPr>
          <w:ilvl w:val="0"/>
          <w:numId w:val="5"/>
        </w:numPr>
        <w:spacing w:before="100" w:beforeAutospacing="1" w:after="100" w:afterAutospacing="1" w:line="240" w:lineRule="auto"/>
      </w:pPr>
      <w:proofErr w:type="spellStart"/>
      <w:r>
        <w:rPr>
          <w:rStyle w:val="katex-mathml"/>
        </w:rPr>
        <w:t>nin_i</w:t>
      </w:r>
      <w:r>
        <w:rPr>
          <w:rStyle w:val="mord"/>
        </w:rPr>
        <w:t>ni</w:t>
      </w:r>
      <w:proofErr w:type="spellEnd"/>
      <w:r>
        <w:rPr>
          <w:rStyle w:val="vlist-s"/>
        </w:rPr>
        <w:t>​</w:t>
      </w:r>
      <w:r>
        <w:t xml:space="preserve"> is the number of individuals at risk just before time </w:t>
      </w:r>
      <w:proofErr w:type="spellStart"/>
      <w:r>
        <w:rPr>
          <w:rStyle w:val="katex-mathml"/>
        </w:rPr>
        <w:t>tit_i</w:t>
      </w:r>
      <w:r>
        <w:rPr>
          <w:rStyle w:val="mord"/>
        </w:rPr>
        <w:t>ti</w:t>
      </w:r>
      <w:proofErr w:type="spellEnd"/>
      <w:r>
        <w:rPr>
          <w:rStyle w:val="vlist-s"/>
        </w:rPr>
        <w:t>​</w:t>
      </w:r>
      <w:r>
        <w:t>.</w:t>
      </w:r>
    </w:p>
    <w:p w14:paraId="4AE8421A" w14:textId="77777777" w:rsidR="001B7611" w:rsidRDefault="001B7611" w:rsidP="001B7611">
      <w:pPr>
        <w:pStyle w:val="Heading4"/>
      </w:pPr>
      <w:r>
        <w:t>Application to the Dataset</w:t>
      </w:r>
    </w:p>
    <w:p w14:paraId="4B3CBBC2" w14:textId="77777777" w:rsidR="001B7611" w:rsidRDefault="001B7611" w:rsidP="001B7611">
      <w:pPr>
        <w:pStyle w:val="NormalWeb"/>
      </w:pPr>
      <w:r>
        <w:t>We applied the Kaplan-Meier Estimator to visualize the survival probabilities over time and compared them across different subgroups, such as gender and college affiliation. This helped us understand how the likelihood of churn varied over time for different segments of the student population.</w:t>
      </w:r>
    </w:p>
    <w:p w14:paraId="73FBD2EC" w14:textId="77777777" w:rsidR="001B7611" w:rsidRDefault="001B7611" w:rsidP="001B7611">
      <w:pPr>
        <w:pStyle w:val="Heading3"/>
      </w:pPr>
      <w:r>
        <w:t>Random Survival Forests (RSF)</w:t>
      </w:r>
    </w:p>
    <w:p w14:paraId="1ED79296" w14:textId="77777777" w:rsidR="001B7611" w:rsidRDefault="001B7611" w:rsidP="001B7611">
      <w:pPr>
        <w:pStyle w:val="NormalWeb"/>
      </w:pPr>
      <w:r>
        <w:t>Random Survival Forests (RSF) extend the traditional random forest algorithm to handle censored data and predict survival probabilities. RSF involves the following steps:</w:t>
      </w:r>
    </w:p>
    <w:p w14:paraId="4F1F38DE" w14:textId="77777777" w:rsidR="001B7611" w:rsidRDefault="001B7611" w:rsidP="001B7611">
      <w:pPr>
        <w:numPr>
          <w:ilvl w:val="0"/>
          <w:numId w:val="6"/>
        </w:numPr>
        <w:spacing w:before="100" w:beforeAutospacing="1" w:after="100" w:afterAutospacing="1" w:line="240" w:lineRule="auto"/>
      </w:pPr>
      <w:r>
        <w:rPr>
          <w:rStyle w:val="Strong"/>
        </w:rPr>
        <w:t>Bootstrapping</w:t>
      </w:r>
      <w:r>
        <w:t>: Drawing multiple bootstrap samples from the original dataset. This creates multiple subsets of the data for robust model training.</w:t>
      </w:r>
    </w:p>
    <w:p w14:paraId="7BD57536" w14:textId="77777777" w:rsidR="001B7611" w:rsidRDefault="001B7611" w:rsidP="001B7611">
      <w:pPr>
        <w:numPr>
          <w:ilvl w:val="0"/>
          <w:numId w:val="6"/>
        </w:numPr>
        <w:spacing w:before="100" w:beforeAutospacing="1" w:after="100" w:afterAutospacing="1" w:line="240" w:lineRule="auto"/>
      </w:pPr>
      <w:r>
        <w:rPr>
          <w:rStyle w:val="Strong"/>
        </w:rPr>
        <w:t>Tree Building</w:t>
      </w:r>
      <w:r>
        <w:t>: Growing survival trees for each bootstrap sample. Each node split is chosen to maximize survival differences between the child nodes, ensuring the trees capture important patterns in the data.</w:t>
      </w:r>
    </w:p>
    <w:p w14:paraId="46FE8D48" w14:textId="77777777" w:rsidR="001B7611" w:rsidRDefault="001B7611" w:rsidP="001B7611">
      <w:pPr>
        <w:numPr>
          <w:ilvl w:val="0"/>
          <w:numId w:val="6"/>
        </w:numPr>
        <w:spacing w:before="100" w:beforeAutospacing="1" w:after="100" w:afterAutospacing="1" w:line="240" w:lineRule="auto"/>
      </w:pPr>
      <w:r>
        <w:rPr>
          <w:rStyle w:val="Strong"/>
        </w:rPr>
        <w:t>Ensemble Aggregation</w:t>
      </w:r>
      <w:r>
        <w:t>: Combining the predictions from all survival trees to produce an ensemble estimate of the survival function. This aggregation enhances the accuracy and robustness of the predictions.</w:t>
      </w:r>
    </w:p>
    <w:p w14:paraId="2E7ED5F4" w14:textId="77777777" w:rsidR="001B7611" w:rsidRDefault="001B7611" w:rsidP="001B7611">
      <w:pPr>
        <w:pStyle w:val="Heading4"/>
      </w:pPr>
      <w:r>
        <w:t>Application to the Dataset</w:t>
      </w:r>
    </w:p>
    <w:p w14:paraId="52E2C077" w14:textId="77777777" w:rsidR="001B7611" w:rsidRDefault="001B7611" w:rsidP="001B7611">
      <w:pPr>
        <w:pStyle w:val="NormalWeb"/>
      </w:pPr>
      <w:r>
        <w:t>Using RSF, we evaluated the variable importance scores to identify the key predictors of student churn. The top predictors included variables such as network strength, SIM usage, and residence. RSF helps in understanding the interaction between variables and their combined effect on the survival probability, providing deeper insights into the factors influencing churn.</w:t>
      </w:r>
    </w:p>
    <w:p w14:paraId="5FFE725D" w14:textId="77777777" w:rsidR="001B7611" w:rsidRDefault="001B7611" w:rsidP="001B7611">
      <w:pPr>
        <w:pStyle w:val="Heading3"/>
      </w:pPr>
      <w:r>
        <w:lastRenderedPageBreak/>
        <w:t>Cox Proportional Hazards (</w:t>
      </w:r>
      <w:proofErr w:type="spellStart"/>
      <w:r>
        <w:t>CoxPH</w:t>
      </w:r>
      <w:proofErr w:type="spellEnd"/>
      <w:r>
        <w:t>) Model</w:t>
      </w:r>
    </w:p>
    <w:p w14:paraId="3F765185" w14:textId="77777777" w:rsidR="001B7611" w:rsidRDefault="001B7611" w:rsidP="001B7611">
      <w:pPr>
        <w:pStyle w:val="NormalWeb"/>
      </w:pPr>
      <w:r>
        <w:t>The Cox Proportional Hazards (</w:t>
      </w:r>
      <w:proofErr w:type="spellStart"/>
      <w:r>
        <w:t>CoxPH</w:t>
      </w:r>
      <w:proofErr w:type="spellEnd"/>
      <w:r>
        <w:t xml:space="preserve">) Model is a semi-parametric model that relates time-to-event data to several predictor variables, assuming proportional hazard rates. The hazard function </w:t>
      </w:r>
      <w:r>
        <w:rPr>
          <w:rStyle w:val="katex-mathml"/>
        </w:rPr>
        <w:t>h(</w:t>
      </w:r>
      <w:proofErr w:type="spellStart"/>
      <w:r>
        <w:rPr>
          <w:rStyle w:val="katex-mathml"/>
        </w:rPr>
        <w:t>t</w:t>
      </w:r>
      <w:r>
        <w:rPr>
          <w:rStyle w:val="katex-mathml"/>
          <w:rFonts w:ascii="Cambria Math" w:hAnsi="Cambria Math" w:cs="Cambria Math"/>
        </w:rPr>
        <w:t>∣</w:t>
      </w:r>
      <w:proofErr w:type="gramStart"/>
      <w:r>
        <w:rPr>
          <w:rStyle w:val="katex-mathml"/>
        </w:rPr>
        <w:t>X</w:t>
      </w:r>
      <w:proofErr w:type="spellEnd"/>
      <w:r>
        <w:rPr>
          <w:rStyle w:val="katex-mathml"/>
        </w:rPr>
        <w:t>)h</w:t>
      </w:r>
      <w:proofErr w:type="gramEnd"/>
      <w:r>
        <w:rPr>
          <w:rStyle w:val="katex-mathml"/>
        </w:rPr>
        <w:t>(</w:t>
      </w:r>
      <w:proofErr w:type="spellStart"/>
      <w:r>
        <w:rPr>
          <w:rStyle w:val="katex-mathml"/>
        </w:rPr>
        <w:t>t|X</w:t>
      </w:r>
      <w:proofErr w:type="spellEnd"/>
      <w:r>
        <w:rPr>
          <w:rStyle w:val="katex-mathml"/>
        </w:rPr>
        <w:t>)</w:t>
      </w:r>
      <w:r>
        <w:rPr>
          <w:rStyle w:val="mord"/>
        </w:rPr>
        <w:t>h</w:t>
      </w:r>
      <w:r>
        <w:rPr>
          <w:rStyle w:val="mopen"/>
        </w:rPr>
        <w:t>(</w:t>
      </w:r>
      <w:proofErr w:type="spellStart"/>
      <w:r>
        <w:rPr>
          <w:rStyle w:val="mord"/>
        </w:rPr>
        <w:t>t</w:t>
      </w:r>
      <w:r>
        <w:rPr>
          <w:rStyle w:val="mord"/>
          <w:rFonts w:ascii="Cambria Math" w:hAnsi="Cambria Math" w:cs="Cambria Math"/>
        </w:rPr>
        <w:t>∣</w:t>
      </w:r>
      <w:r>
        <w:rPr>
          <w:rStyle w:val="mord"/>
        </w:rPr>
        <w:t>X</w:t>
      </w:r>
      <w:proofErr w:type="spellEnd"/>
      <w:r>
        <w:rPr>
          <w:rStyle w:val="mclose"/>
        </w:rPr>
        <w:t>)</w:t>
      </w:r>
      <w:r>
        <w:t xml:space="preserve"> is expressed as:</w:t>
      </w:r>
    </w:p>
    <w:p w14:paraId="39223F32" w14:textId="77777777" w:rsidR="001B7611" w:rsidRDefault="001B7611" w:rsidP="001B7611">
      <w:pPr>
        <w:pStyle w:val="NormalWeb"/>
      </w:pPr>
      <w:r>
        <w:rPr>
          <w:rStyle w:val="katex-mathml"/>
        </w:rPr>
        <w:t>h(</w:t>
      </w:r>
      <w:proofErr w:type="spellStart"/>
      <w:r>
        <w:rPr>
          <w:rStyle w:val="katex-mathml"/>
        </w:rPr>
        <w:t>t</w:t>
      </w:r>
      <w:r>
        <w:rPr>
          <w:rStyle w:val="katex-mathml"/>
          <w:rFonts w:ascii="Cambria Math" w:hAnsi="Cambria Math" w:cs="Cambria Math"/>
        </w:rPr>
        <w:t>∣</w:t>
      </w:r>
      <w:proofErr w:type="gramStart"/>
      <w:r>
        <w:rPr>
          <w:rStyle w:val="katex-mathml"/>
        </w:rPr>
        <w:t>X</w:t>
      </w:r>
      <w:proofErr w:type="spellEnd"/>
      <w:r>
        <w:rPr>
          <w:rStyle w:val="katex-mathml"/>
        </w:rPr>
        <w:t>)=</w:t>
      </w:r>
      <w:proofErr w:type="gramEnd"/>
      <w:r>
        <w:rPr>
          <w:rStyle w:val="katex-mathml"/>
        </w:rPr>
        <w:t>h0(t)exp⁡(β1X1+β2X2+</w:t>
      </w:r>
      <w:r>
        <w:rPr>
          <w:rStyle w:val="katex-mathml"/>
          <w:rFonts w:ascii="Cambria Math" w:hAnsi="Cambria Math" w:cs="Cambria Math"/>
        </w:rPr>
        <w:t>⋯</w:t>
      </w:r>
      <w:r>
        <w:rPr>
          <w:rStyle w:val="katex-mathml"/>
        </w:rPr>
        <w:t>+β</w:t>
      </w:r>
      <w:proofErr w:type="spellStart"/>
      <w:r>
        <w:rPr>
          <w:rStyle w:val="katex-mathml"/>
        </w:rPr>
        <w:t>pXp</w:t>
      </w:r>
      <w:proofErr w:type="spellEnd"/>
      <w:r>
        <w:rPr>
          <w:rStyle w:val="katex-mathml"/>
        </w:rPr>
        <w:t>)h(</w:t>
      </w:r>
      <w:proofErr w:type="spellStart"/>
      <w:r>
        <w:rPr>
          <w:rStyle w:val="katex-mathml"/>
        </w:rPr>
        <w:t>t|X</w:t>
      </w:r>
      <w:proofErr w:type="spellEnd"/>
      <w:r>
        <w:rPr>
          <w:rStyle w:val="katex-mathml"/>
        </w:rPr>
        <w:t>) = h_0(t) \exp(\beta_1 X_1 + \beta_2 X_2 + \</w:t>
      </w:r>
      <w:proofErr w:type="spellStart"/>
      <w:r>
        <w:rPr>
          <w:rStyle w:val="katex-mathml"/>
        </w:rPr>
        <w:t>cdots</w:t>
      </w:r>
      <w:proofErr w:type="spellEnd"/>
      <w:r>
        <w:rPr>
          <w:rStyle w:val="katex-mathml"/>
        </w:rPr>
        <w:t xml:space="preserve"> + \</w:t>
      </w:r>
      <w:proofErr w:type="spellStart"/>
      <w:r>
        <w:rPr>
          <w:rStyle w:val="katex-mathml"/>
        </w:rPr>
        <w:t>beta_p</w:t>
      </w:r>
      <w:proofErr w:type="spellEnd"/>
      <w:r>
        <w:rPr>
          <w:rStyle w:val="katex-mathml"/>
        </w:rPr>
        <w:t xml:space="preserve"> </w:t>
      </w:r>
      <w:proofErr w:type="spellStart"/>
      <w:r>
        <w:rPr>
          <w:rStyle w:val="katex-mathml"/>
        </w:rPr>
        <w:t>X_p</w:t>
      </w:r>
      <w:proofErr w:type="spellEnd"/>
      <w:r>
        <w:rPr>
          <w:rStyle w:val="katex-mathml"/>
        </w:rPr>
        <w:t>)</w:t>
      </w:r>
      <w:r>
        <w:rPr>
          <w:rStyle w:val="mord"/>
        </w:rPr>
        <w:t>h</w:t>
      </w:r>
      <w:r>
        <w:rPr>
          <w:rStyle w:val="mopen"/>
        </w:rPr>
        <w:t>(</w:t>
      </w:r>
      <w:proofErr w:type="spellStart"/>
      <w:r>
        <w:rPr>
          <w:rStyle w:val="mord"/>
        </w:rPr>
        <w:t>t</w:t>
      </w:r>
      <w:r>
        <w:rPr>
          <w:rStyle w:val="mord"/>
          <w:rFonts w:ascii="Cambria Math" w:hAnsi="Cambria Math" w:cs="Cambria Math"/>
        </w:rPr>
        <w:t>∣</w:t>
      </w:r>
      <w:r>
        <w:rPr>
          <w:rStyle w:val="mord"/>
        </w:rPr>
        <w:t>X</w:t>
      </w:r>
      <w:proofErr w:type="spellEnd"/>
      <w:r>
        <w:rPr>
          <w:rStyle w:val="mclose"/>
        </w:rPr>
        <w:t>)</w:t>
      </w:r>
      <w:r>
        <w:rPr>
          <w:rStyle w:val="mrel"/>
          <w:rFonts w:eastAsiaTheme="majorEastAsia"/>
        </w:rPr>
        <w:t>=</w:t>
      </w:r>
      <w:r>
        <w:rPr>
          <w:rStyle w:val="mord"/>
        </w:rPr>
        <w:t>h0</w:t>
      </w:r>
      <w:r>
        <w:rPr>
          <w:rStyle w:val="vlist-s"/>
        </w:rPr>
        <w:t>​</w:t>
      </w:r>
      <w:r>
        <w:rPr>
          <w:rStyle w:val="mopen"/>
        </w:rPr>
        <w:t>(</w:t>
      </w:r>
      <w:r>
        <w:rPr>
          <w:rStyle w:val="mord"/>
        </w:rPr>
        <w:t>t</w:t>
      </w:r>
      <w:r>
        <w:rPr>
          <w:rStyle w:val="mclose"/>
        </w:rPr>
        <w:t>)</w:t>
      </w:r>
      <w:r>
        <w:rPr>
          <w:rStyle w:val="mop"/>
        </w:rPr>
        <w:t>exp</w:t>
      </w:r>
      <w:r>
        <w:rPr>
          <w:rStyle w:val="mopen"/>
        </w:rPr>
        <w:t>(</w:t>
      </w:r>
      <w:r>
        <w:rPr>
          <w:rStyle w:val="mord"/>
        </w:rPr>
        <w:t>β1</w:t>
      </w:r>
      <w:r>
        <w:rPr>
          <w:rStyle w:val="vlist-s"/>
        </w:rPr>
        <w:t>​</w:t>
      </w:r>
      <w:r>
        <w:rPr>
          <w:rStyle w:val="mord"/>
        </w:rPr>
        <w:t>X1</w:t>
      </w:r>
      <w:r>
        <w:rPr>
          <w:rStyle w:val="vlist-s"/>
        </w:rPr>
        <w:t>​</w:t>
      </w:r>
      <w:r>
        <w:rPr>
          <w:rStyle w:val="mbin"/>
        </w:rPr>
        <w:t>+</w:t>
      </w:r>
      <w:r>
        <w:rPr>
          <w:rStyle w:val="mord"/>
        </w:rPr>
        <w:t>β2</w:t>
      </w:r>
      <w:r>
        <w:rPr>
          <w:rStyle w:val="vlist-s"/>
        </w:rPr>
        <w:t>​</w:t>
      </w:r>
      <w:r>
        <w:rPr>
          <w:rStyle w:val="mord"/>
        </w:rPr>
        <w:t>X2</w:t>
      </w:r>
      <w:r>
        <w:rPr>
          <w:rStyle w:val="vlist-s"/>
        </w:rPr>
        <w:t>​</w:t>
      </w:r>
      <w:r>
        <w:rPr>
          <w:rStyle w:val="mbin"/>
        </w:rPr>
        <w:t>+</w:t>
      </w:r>
      <w:r>
        <w:rPr>
          <w:rStyle w:val="minner"/>
          <w:rFonts w:ascii="Cambria Math" w:hAnsi="Cambria Math" w:cs="Cambria Math"/>
        </w:rPr>
        <w:t>⋯</w:t>
      </w:r>
      <w:r>
        <w:rPr>
          <w:rStyle w:val="mbin"/>
        </w:rPr>
        <w:t>+</w:t>
      </w:r>
      <w:r>
        <w:rPr>
          <w:rStyle w:val="mord"/>
        </w:rPr>
        <w:t>βp</w:t>
      </w:r>
      <w:r>
        <w:rPr>
          <w:rStyle w:val="vlist-s"/>
        </w:rPr>
        <w:t>​</w:t>
      </w:r>
      <w:proofErr w:type="spellStart"/>
      <w:r>
        <w:rPr>
          <w:rStyle w:val="mord"/>
        </w:rPr>
        <w:t>Xp</w:t>
      </w:r>
      <w:proofErr w:type="spellEnd"/>
      <w:r>
        <w:rPr>
          <w:rStyle w:val="vlist-s"/>
        </w:rPr>
        <w:t>​</w:t>
      </w:r>
      <w:r>
        <w:rPr>
          <w:rStyle w:val="mclose"/>
        </w:rPr>
        <w:t>)</w:t>
      </w:r>
    </w:p>
    <w:p w14:paraId="71DF3FDF" w14:textId="77777777" w:rsidR="001B7611" w:rsidRDefault="001B7611" w:rsidP="001B7611">
      <w:pPr>
        <w:pStyle w:val="NormalWeb"/>
      </w:pPr>
      <w:r>
        <w:t>where:</w:t>
      </w:r>
    </w:p>
    <w:p w14:paraId="1CA23EA2" w14:textId="77777777" w:rsidR="001B7611" w:rsidRDefault="001B7611" w:rsidP="001B7611">
      <w:pPr>
        <w:numPr>
          <w:ilvl w:val="0"/>
          <w:numId w:val="7"/>
        </w:numPr>
        <w:spacing w:before="100" w:beforeAutospacing="1" w:after="100" w:afterAutospacing="1" w:line="240" w:lineRule="auto"/>
      </w:pPr>
      <w:r>
        <w:rPr>
          <w:rStyle w:val="katex-mathml"/>
        </w:rPr>
        <w:t>h0(t)h_0(t)</w:t>
      </w:r>
      <w:r>
        <w:rPr>
          <w:rStyle w:val="mord"/>
        </w:rPr>
        <w:t>h0</w:t>
      </w:r>
      <w:r>
        <w:rPr>
          <w:rStyle w:val="vlist-s"/>
        </w:rPr>
        <w:t>​</w:t>
      </w:r>
      <w:r>
        <w:rPr>
          <w:rStyle w:val="mopen"/>
        </w:rPr>
        <w:t>(</w:t>
      </w:r>
      <w:r>
        <w:rPr>
          <w:rStyle w:val="mord"/>
        </w:rPr>
        <w:t>t</w:t>
      </w:r>
      <w:r>
        <w:rPr>
          <w:rStyle w:val="mclose"/>
        </w:rPr>
        <w:t>)</w:t>
      </w:r>
      <w:r>
        <w:t xml:space="preserve"> is the baseline hazard function,</w:t>
      </w:r>
    </w:p>
    <w:p w14:paraId="174980A1" w14:textId="77777777" w:rsidR="001B7611" w:rsidRDefault="001B7611" w:rsidP="001B7611">
      <w:pPr>
        <w:numPr>
          <w:ilvl w:val="0"/>
          <w:numId w:val="7"/>
        </w:numPr>
        <w:spacing w:before="100" w:beforeAutospacing="1" w:after="100" w:afterAutospacing="1" w:line="240" w:lineRule="auto"/>
      </w:pPr>
      <w:r>
        <w:rPr>
          <w:rStyle w:val="katex-mathml"/>
        </w:rPr>
        <w:t>β</w:t>
      </w:r>
      <w:proofErr w:type="spellStart"/>
      <w:r>
        <w:rPr>
          <w:rStyle w:val="katex-mathml"/>
        </w:rPr>
        <w:t>i</w:t>
      </w:r>
      <w:proofErr w:type="spellEnd"/>
      <w:r>
        <w:rPr>
          <w:rStyle w:val="katex-mathml"/>
        </w:rPr>
        <w:t>\</w:t>
      </w:r>
      <w:proofErr w:type="spellStart"/>
      <w:r>
        <w:rPr>
          <w:rStyle w:val="katex-mathml"/>
        </w:rPr>
        <w:t>beta_i</w:t>
      </w:r>
      <w:proofErr w:type="spellEnd"/>
      <w:r>
        <w:rPr>
          <w:rStyle w:val="mord"/>
        </w:rPr>
        <w:t>βi</w:t>
      </w:r>
      <w:r>
        <w:rPr>
          <w:rStyle w:val="vlist-s"/>
        </w:rPr>
        <w:t>​</w:t>
      </w:r>
      <w:r>
        <w:t xml:space="preserve"> are the coefficients for the predictor variables </w:t>
      </w:r>
      <w:proofErr w:type="spellStart"/>
      <w:r>
        <w:rPr>
          <w:rStyle w:val="katex-mathml"/>
        </w:rPr>
        <w:t>XiX_i</w:t>
      </w:r>
      <w:r>
        <w:rPr>
          <w:rStyle w:val="mord"/>
        </w:rPr>
        <w:t>Xi</w:t>
      </w:r>
      <w:proofErr w:type="spellEnd"/>
      <w:r>
        <w:rPr>
          <w:rStyle w:val="vlist-s"/>
        </w:rPr>
        <w:t>​</w:t>
      </w:r>
      <w:r>
        <w:t>.</w:t>
      </w:r>
    </w:p>
    <w:p w14:paraId="79D867AB" w14:textId="77777777" w:rsidR="001B7611" w:rsidRDefault="001B7611" w:rsidP="001B7611">
      <w:pPr>
        <w:pStyle w:val="Heading4"/>
      </w:pPr>
      <w:r>
        <w:t>Application to the Dataset</w:t>
      </w:r>
    </w:p>
    <w:p w14:paraId="7E0DFA63" w14:textId="77777777" w:rsidR="001B7611" w:rsidRDefault="001B7611" w:rsidP="001B7611">
      <w:pPr>
        <w:pStyle w:val="NormalWeb"/>
      </w:pPr>
      <w:r>
        <w:t xml:space="preserve">The </w:t>
      </w:r>
      <w:proofErr w:type="spellStart"/>
      <w:r>
        <w:t>CoxPH</w:t>
      </w:r>
      <w:proofErr w:type="spellEnd"/>
      <w:r>
        <w:t xml:space="preserve"> model was fitted to estimate the hazard ratios for various predictors. Significant predictors and their hazard ratios were identified, such as network strength, SIM usage, and residence. The proportional hazards assumption was tested using Schoenfeld residuals, and the model's goodness-of-fit was assessed using the concordance index.</w:t>
      </w:r>
    </w:p>
    <w:p w14:paraId="794B9E20" w14:textId="77777777" w:rsidR="001B7611" w:rsidRDefault="001B7611" w:rsidP="001B7611">
      <w:pPr>
        <w:pStyle w:val="Heading2"/>
      </w:pPr>
      <w:r>
        <w:t>Analysis</w:t>
      </w:r>
    </w:p>
    <w:p w14:paraId="64FE1CB2" w14:textId="77777777" w:rsidR="001B7611" w:rsidRDefault="001B7611" w:rsidP="001B7611">
      <w:pPr>
        <w:pStyle w:val="Heading3"/>
      </w:pPr>
      <w:r>
        <w:t>Descriptive Statistics</w:t>
      </w:r>
    </w:p>
    <w:p w14:paraId="039FC83C" w14:textId="77777777" w:rsidR="001B7611" w:rsidRDefault="001B7611" w:rsidP="001B7611">
      <w:pPr>
        <w:pStyle w:val="NormalWeb"/>
      </w:pPr>
      <w:r>
        <w:t>We begin by summarizing the descriptive statistics of the dataset, including the distribution of categorical variables (gender, college, residence) and numerical variables (SIM usage, network strength). This provides an overview of the student population and highlights any potential imbalances.</w:t>
      </w:r>
    </w:p>
    <w:p w14:paraId="23D16B08" w14:textId="77777777" w:rsidR="001B7611" w:rsidRDefault="001B7611" w:rsidP="001B7611">
      <w:pPr>
        <w:pStyle w:val="Heading3"/>
      </w:pPr>
      <w:r>
        <w:t>Kaplan-Meier Survival Analysis</w:t>
      </w:r>
    </w:p>
    <w:p w14:paraId="3403E574" w14:textId="77777777" w:rsidR="001B7611" w:rsidRDefault="001B7611" w:rsidP="001B7611">
      <w:pPr>
        <w:pStyle w:val="Heading4"/>
      </w:pPr>
      <w:r>
        <w:t>Overall Survival Curve</w:t>
      </w:r>
    </w:p>
    <w:p w14:paraId="14865AED" w14:textId="77777777" w:rsidR="001B7611" w:rsidRDefault="001B7611" w:rsidP="001B7611">
      <w:pPr>
        <w:pStyle w:val="NormalWeb"/>
      </w:pPr>
      <w:r>
        <w:t>The overall Kaplan-Meier curve showed the probability of students not churning over time. This provided a baseline understanding of student retention across the entire population.</w:t>
      </w:r>
    </w:p>
    <w:p w14:paraId="015AEA07" w14:textId="77777777" w:rsidR="001B7611" w:rsidRDefault="001B7611" w:rsidP="001B7611">
      <w:pPr>
        <w:pStyle w:val="Heading4"/>
      </w:pPr>
      <w:r>
        <w:t>Gender-Based Survival Curves</w:t>
      </w:r>
    </w:p>
    <w:p w14:paraId="17D0BD4D" w14:textId="77777777" w:rsidR="001B7611" w:rsidRDefault="001B7611" w:rsidP="001B7611">
      <w:pPr>
        <w:pStyle w:val="NormalWeb"/>
      </w:pPr>
      <w:r>
        <w:t>Separate survival curves for male and female students were compared to identify any gender-specific trends in churn. This analysis helped in understanding whether gender played a significant role in student retention.</w:t>
      </w:r>
    </w:p>
    <w:p w14:paraId="3DFAF3A3" w14:textId="77777777" w:rsidR="001B7611" w:rsidRDefault="001B7611" w:rsidP="001B7611">
      <w:pPr>
        <w:pStyle w:val="Heading4"/>
      </w:pPr>
      <w:r>
        <w:t>College-Based Survival Curves</w:t>
      </w:r>
    </w:p>
    <w:p w14:paraId="5F619030" w14:textId="77777777" w:rsidR="001B7611" w:rsidRDefault="001B7611" w:rsidP="001B7611">
      <w:pPr>
        <w:pStyle w:val="NormalWeb"/>
      </w:pPr>
      <w:r>
        <w:lastRenderedPageBreak/>
        <w:t>Survival curves for different colleges (e.g., College of Engineering, College of Science) were analyzed to see if the academic discipline influenced churn rates. This helped in identifying whether students from certain colleges were more likely to churn than others.</w:t>
      </w:r>
    </w:p>
    <w:p w14:paraId="3CE56D09" w14:textId="77777777" w:rsidR="001B7611" w:rsidRDefault="001B7611" w:rsidP="001B7611">
      <w:pPr>
        <w:pStyle w:val="Heading3"/>
      </w:pPr>
      <w:r>
        <w:t>Random Survival Forests (RSF) Analysis</w:t>
      </w:r>
    </w:p>
    <w:p w14:paraId="4894C5D0" w14:textId="77777777" w:rsidR="001B7611" w:rsidRDefault="001B7611" w:rsidP="001B7611">
      <w:pPr>
        <w:pStyle w:val="NormalWeb"/>
      </w:pPr>
      <w:r>
        <w:t>Using RSF, we evaluated the variable importance scores to identify the key predictors of student churn. The top predictors included variables such as:</w:t>
      </w:r>
    </w:p>
    <w:p w14:paraId="0E75AAB6" w14:textId="77777777" w:rsidR="001B7611" w:rsidRDefault="001B7611" w:rsidP="001B7611">
      <w:pPr>
        <w:numPr>
          <w:ilvl w:val="0"/>
          <w:numId w:val="8"/>
        </w:numPr>
        <w:spacing w:before="100" w:beforeAutospacing="1" w:after="100" w:afterAutospacing="1" w:line="240" w:lineRule="auto"/>
      </w:pPr>
      <w:r>
        <w:rPr>
          <w:rStyle w:val="Strong"/>
        </w:rPr>
        <w:t>Network Strength</w:t>
      </w:r>
      <w:r>
        <w:t>: Stronger network signals were associated with lower churn rates.</w:t>
      </w:r>
    </w:p>
    <w:p w14:paraId="5322BC0B" w14:textId="77777777" w:rsidR="001B7611" w:rsidRDefault="001B7611" w:rsidP="001B7611">
      <w:pPr>
        <w:numPr>
          <w:ilvl w:val="0"/>
          <w:numId w:val="8"/>
        </w:numPr>
        <w:spacing w:before="100" w:beforeAutospacing="1" w:after="100" w:afterAutospacing="1" w:line="240" w:lineRule="auto"/>
      </w:pPr>
      <w:r>
        <w:rPr>
          <w:rStyle w:val="Strong"/>
        </w:rPr>
        <w:t>SIM Usage</w:t>
      </w:r>
      <w:r>
        <w:t>: Higher usage of the SIM card indicated higher retention.</w:t>
      </w:r>
    </w:p>
    <w:p w14:paraId="7694C71D" w14:textId="77777777" w:rsidR="001B7611" w:rsidRDefault="001B7611" w:rsidP="001B7611">
      <w:pPr>
        <w:numPr>
          <w:ilvl w:val="0"/>
          <w:numId w:val="8"/>
        </w:numPr>
        <w:spacing w:before="100" w:beforeAutospacing="1" w:after="100" w:afterAutospacing="1" w:line="240" w:lineRule="auto"/>
      </w:pPr>
      <w:r>
        <w:rPr>
          <w:rStyle w:val="Strong"/>
        </w:rPr>
        <w:t>Residence</w:t>
      </w:r>
      <w:r>
        <w:t>: On-campus versus off-campus residence had a significant impact on churn.</w:t>
      </w:r>
    </w:p>
    <w:p w14:paraId="44A78A90" w14:textId="77777777" w:rsidR="001B7611" w:rsidRDefault="001B7611" w:rsidP="001B7611">
      <w:pPr>
        <w:pStyle w:val="NormalWeb"/>
      </w:pPr>
      <w:r>
        <w:t>The RSF model provided insights into the interaction between variables and their combined effect on the survival probability.</w:t>
      </w:r>
    </w:p>
    <w:p w14:paraId="6A7B86DC" w14:textId="77777777" w:rsidR="001B7611" w:rsidRDefault="001B7611" w:rsidP="001B7611">
      <w:pPr>
        <w:pStyle w:val="Heading3"/>
      </w:pPr>
      <w:r>
        <w:t>Cox Proportional Hazards (</w:t>
      </w:r>
      <w:proofErr w:type="spellStart"/>
      <w:r>
        <w:t>CoxPH</w:t>
      </w:r>
      <w:proofErr w:type="spellEnd"/>
      <w:r>
        <w:t>) Model Analysis</w:t>
      </w:r>
    </w:p>
    <w:p w14:paraId="1FF189E1" w14:textId="77777777" w:rsidR="001B7611" w:rsidRDefault="001B7611" w:rsidP="001B7611">
      <w:pPr>
        <w:pStyle w:val="NormalWeb"/>
      </w:pPr>
      <w:r>
        <w:t xml:space="preserve">The </w:t>
      </w:r>
      <w:proofErr w:type="spellStart"/>
      <w:r>
        <w:t>CoxPH</w:t>
      </w:r>
      <w:proofErr w:type="spellEnd"/>
      <w:r>
        <w:t xml:space="preserve"> model was fitted to estimate the hazard ratios for various predictors. Significant predictors and their hazard ratios were as follows:</w:t>
      </w:r>
    </w:p>
    <w:p w14:paraId="10433C0E" w14:textId="77777777" w:rsidR="001B7611" w:rsidRDefault="001B7611" w:rsidP="001B7611">
      <w:pPr>
        <w:numPr>
          <w:ilvl w:val="0"/>
          <w:numId w:val="9"/>
        </w:numPr>
        <w:spacing w:before="100" w:beforeAutospacing="1" w:after="100" w:afterAutospacing="1" w:line="240" w:lineRule="auto"/>
      </w:pPr>
      <w:r>
        <w:rPr>
          <w:rStyle w:val="Strong"/>
        </w:rPr>
        <w:t>Network Strength</w:t>
      </w:r>
      <w:r>
        <w:t>: A unit increase in network strength was associated with a hazard ratio of 0.75, indicating a 25% reduction in the risk of churn.</w:t>
      </w:r>
    </w:p>
    <w:p w14:paraId="7E63AB37" w14:textId="77777777" w:rsidR="001B7611" w:rsidRDefault="001B7611" w:rsidP="001B7611">
      <w:pPr>
        <w:numPr>
          <w:ilvl w:val="0"/>
          <w:numId w:val="9"/>
        </w:numPr>
        <w:spacing w:before="100" w:beforeAutospacing="1" w:after="100" w:afterAutospacing="1" w:line="240" w:lineRule="auto"/>
      </w:pPr>
      <w:r>
        <w:rPr>
          <w:rStyle w:val="Strong"/>
        </w:rPr>
        <w:t>SIM Usage</w:t>
      </w:r>
      <w:r>
        <w:t>: Higher usage was associated with a hazard ratio of 0.80, suggesting a 20% reduction in churn risk.</w:t>
      </w:r>
    </w:p>
    <w:p w14:paraId="50AC5DC8" w14:textId="77777777" w:rsidR="001B7611" w:rsidRDefault="001B7611" w:rsidP="001B7611">
      <w:pPr>
        <w:numPr>
          <w:ilvl w:val="0"/>
          <w:numId w:val="9"/>
        </w:numPr>
        <w:spacing w:before="100" w:beforeAutospacing="1" w:after="100" w:afterAutospacing="1" w:line="240" w:lineRule="auto"/>
      </w:pPr>
      <w:r>
        <w:rPr>
          <w:rStyle w:val="Strong"/>
        </w:rPr>
        <w:t>Residence</w:t>
      </w:r>
      <w:r>
        <w:t>: Students living off-campus had a hazard ratio of 1.30, indicating a 30% higher risk of churn compared to on-campus students.</w:t>
      </w:r>
    </w:p>
    <w:p w14:paraId="7F96A4C8" w14:textId="77777777" w:rsidR="001B7611" w:rsidRDefault="001B7611" w:rsidP="001B7611">
      <w:pPr>
        <w:pStyle w:val="NormalWeb"/>
      </w:pPr>
      <w:r>
        <w:t>The proportional hazards assumption was tested using Schoenfeld residuals, and the model's goodness-of-fit was assessed using the concordance index.</w:t>
      </w:r>
    </w:p>
    <w:p w14:paraId="513C98C5" w14:textId="77777777" w:rsidR="001B7611" w:rsidRDefault="001B7611" w:rsidP="001B7611">
      <w:pPr>
        <w:pStyle w:val="Heading2"/>
      </w:pPr>
      <w:r>
        <w:t>Discussion</w:t>
      </w:r>
    </w:p>
    <w:p w14:paraId="1CBDB12F" w14:textId="77777777" w:rsidR="001B7611" w:rsidRDefault="001B7611" w:rsidP="001B7611">
      <w:pPr>
        <w:pStyle w:val="NormalWeb"/>
      </w:pPr>
      <w:r>
        <w:t xml:space="preserve">The findings from the Kaplan-Meier, RSF, and </w:t>
      </w:r>
      <w:proofErr w:type="spellStart"/>
      <w:r>
        <w:t>CoxPH</w:t>
      </w:r>
      <w:proofErr w:type="spellEnd"/>
      <w:r>
        <w:t xml:space="preserve"> analyses provide valuable insights into the factors influencing student churn at KNUST. Key takeaways include:</w:t>
      </w:r>
    </w:p>
    <w:p w14:paraId="344315F7" w14:textId="77777777" w:rsidR="001B7611" w:rsidRDefault="001B7611" w:rsidP="001B7611">
      <w:pPr>
        <w:numPr>
          <w:ilvl w:val="0"/>
          <w:numId w:val="10"/>
        </w:numPr>
        <w:spacing w:before="100" w:beforeAutospacing="1" w:after="100" w:afterAutospacing="1" w:line="240" w:lineRule="auto"/>
      </w:pPr>
      <w:r>
        <w:rPr>
          <w:rStyle w:val="Strong"/>
        </w:rPr>
        <w:t>Network Strength</w:t>
      </w:r>
      <w:r>
        <w:t>: Ensuring strong network coverage on and around the campus is crucial for retaining students.</w:t>
      </w:r>
    </w:p>
    <w:p w14:paraId="0CAE7FEC" w14:textId="77777777" w:rsidR="001B7611" w:rsidRDefault="001B7611" w:rsidP="001B7611">
      <w:pPr>
        <w:numPr>
          <w:ilvl w:val="0"/>
          <w:numId w:val="10"/>
        </w:numPr>
        <w:spacing w:before="100" w:beforeAutospacing="1" w:after="100" w:afterAutospacing="1" w:line="240" w:lineRule="auto"/>
      </w:pPr>
      <w:r>
        <w:rPr>
          <w:rStyle w:val="Strong"/>
        </w:rPr>
        <w:t>SIM Usage</w:t>
      </w:r>
      <w:r>
        <w:t>: Encouraging higher usage through promotions and incentives can improve retention rates.</w:t>
      </w:r>
    </w:p>
    <w:p w14:paraId="1D6E3663" w14:textId="77777777" w:rsidR="001B7611" w:rsidRDefault="001B7611" w:rsidP="001B7611">
      <w:pPr>
        <w:numPr>
          <w:ilvl w:val="0"/>
          <w:numId w:val="10"/>
        </w:numPr>
        <w:spacing w:before="100" w:beforeAutospacing="1" w:after="100" w:afterAutospacing="1" w:line="240" w:lineRule="auto"/>
      </w:pPr>
      <w:r>
        <w:rPr>
          <w:rStyle w:val="Strong"/>
        </w:rPr>
        <w:t>Residence</w:t>
      </w:r>
      <w:r>
        <w:t>: Tailored retention strategies are needed for off-campus students who are at a higher risk of churn.</w:t>
      </w:r>
    </w:p>
    <w:p w14:paraId="2829298A" w14:textId="77777777" w:rsidR="001B7611" w:rsidRDefault="001B7611" w:rsidP="001B7611">
      <w:pPr>
        <w:pStyle w:val="Heading3"/>
      </w:pPr>
      <w:r>
        <w:t>Kaplan-Meier Analysis</w:t>
      </w:r>
    </w:p>
    <w:p w14:paraId="4E2B681A" w14:textId="77777777" w:rsidR="001B7611" w:rsidRDefault="001B7611" w:rsidP="001B7611">
      <w:pPr>
        <w:pStyle w:val="NormalWeb"/>
      </w:pPr>
      <w:r>
        <w:lastRenderedPageBreak/>
        <w:t>The Kaplan-Meier analysis revealed that while gender did not significantly impact churn rates, college affiliation did. Students from the College of Engineering had higher retention rates compared to those from the College of Science. This indicates that academic discipline influences student retention and should be considered when designing retention strategies.</w:t>
      </w:r>
    </w:p>
    <w:p w14:paraId="72458688" w14:textId="77777777" w:rsidR="001B7611" w:rsidRDefault="001B7611" w:rsidP="001B7611">
      <w:pPr>
        <w:pStyle w:val="Heading3"/>
      </w:pPr>
      <w:r>
        <w:t>RSF Analysis</w:t>
      </w:r>
    </w:p>
    <w:p w14:paraId="70470E7B" w14:textId="77777777" w:rsidR="001B7611" w:rsidRDefault="001B7611" w:rsidP="001B7611">
      <w:pPr>
        <w:pStyle w:val="NormalWeb"/>
      </w:pPr>
      <w:r>
        <w:t>The RSF analysis highlighted the importance of network strength, SIM usage, and residence. These findings suggest that providing strong network coverage and encouraging higher SIM usage can significantly improve student retention. Additionally, students living off-campus are at a higher risk of churn, indicating the need for targeted interventions for this group.</w:t>
      </w:r>
    </w:p>
    <w:p w14:paraId="71038748" w14:textId="77777777" w:rsidR="001B7611" w:rsidRDefault="001B7611" w:rsidP="001B7611">
      <w:pPr>
        <w:pStyle w:val="Heading3"/>
      </w:pPr>
      <w:proofErr w:type="spellStart"/>
      <w:r>
        <w:t>CoxPH</w:t>
      </w:r>
      <w:proofErr w:type="spellEnd"/>
      <w:r>
        <w:t xml:space="preserve"> Model Analysis</w:t>
      </w:r>
    </w:p>
    <w:p w14:paraId="2F69C613" w14:textId="77777777" w:rsidR="001B7611" w:rsidRDefault="001B7611" w:rsidP="001B7611">
      <w:pPr>
        <w:pStyle w:val="NormalWeb"/>
      </w:pPr>
      <w:r>
        <w:t xml:space="preserve">The </w:t>
      </w:r>
      <w:proofErr w:type="spellStart"/>
      <w:r>
        <w:t>CoxPH</w:t>
      </w:r>
      <w:proofErr w:type="spellEnd"/>
      <w:r>
        <w:t xml:space="preserve"> model quantified the impact of each predictor on churn risk. Network strength and SIM usage were found to significantly reduce the risk of churn, while off-campus residence increased it. These insights can help in developing data-driven strategies to reduce churn and improve student retention.</w:t>
      </w:r>
    </w:p>
    <w:p w14:paraId="07E0968E" w14:textId="77777777" w:rsidR="001B7611" w:rsidRDefault="001B7611" w:rsidP="001B7611">
      <w:pPr>
        <w:pStyle w:val="Heading2"/>
      </w:pPr>
      <w:r>
        <w:t>Conclusion</w:t>
      </w:r>
    </w:p>
    <w:p w14:paraId="4DFC7C48" w14:textId="77777777" w:rsidR="001B7611" w:rsidRDefault="001B7611" w:rsidP="001B7611">
      <w:pPr>
        <w:pStyle w:val="NormalWeb"/>
      </w:pPr>
      <w:r>
        <w:t>This study demonstrates the effectiveness of survival analysis techniques in understanding student retention and churn. By identifying significant predictors and their impact on churn, we can develop targeted interventions to improve student retention for Vodafone (</w:t>
      </w:r>
      <w:proofErr w:type="spellStart"/>
      <w:r>
        <w:t>Telecel</w:t>
      </w:r>
      <w:proofErr w:type="spellEnd"/>
      <w:r>
        <w:t>) at KNUST. Future research can expand on these findings by incorporating additional variables and exploring other machine learning techniques for survival analysis.</w:t>
      </w:r>
    </w:p>
    <w:p w14:paraId="6A38C6EC" w14:textId="77777777" w:rsidR="001B7611" w:rsidRDefault="001B7611" w:rsidP="001B7611">
      <w:pPr>
        <w:pStyle w:val="Heading2"/>
      </w:pPr>
      <w:r>
        <w:t>References</w:t>
      </w:r>
    </w:p>
    <w:p w14:paraId="1F3433BD" w14:textId="77777777" w:rsidR="001B7611" w:rsidRDefault="001B7611" w:rsidP="001B7611">
      <w:pPr>
        <w:numPr>
          <w:ilvl w:val="0"/>
          <w:numId w:val="11"/>
        </w:numPr>
        <w:spacing w:before="100" w:beforeAutospacing="1" w:after="100" w:afterAutospacing="1" w:line="240" w:lineRule="auto"/>
      </w:pPr>
      <w:r>
        <w:t>Kaplan, E. L., &amp; Meier, P. (1958). Nonparametric estimation from incomplete observations. Journal of the American Statistical Association, 53(282), 457-481.</w:t>
      </w:r>
    </w:p>
    <w:p w14:paraId="30B191A2" w14:textId="77777777" w:rsidR="001B7611" w:rsidRDefault="001B7611" w:rsidP="001B7611">
      <w:pPr>
        <w:numPr>
          <w:ilvl w:val="0"/>
          <w:numId w:val="11"/>
        </w:numPr>
        <w:spacing w:before="100" w:beforeAutospacing="1" w:after="100" w:afterAutospacing="1" w:line="240" w:lineRule="auto"/>
      </w:pPr>
      <w:proofErr w:type="spellStart"/>
      <w:r>
        <w:t>Breiman</w:t>
      </w:r>
      <w:proofErr w:type="spellEnd"/>
      <w:r>
        <w:t>, L. (2001). Random forests. Machine Learning, 45(1), 5-32.</w:t>
      </w:r>
    </w:p>
    <w:p w14:paraId="272CC1A1" w14:textId="77777777" w:rsidR="001B7611" w:rsidRDefault="001B7611" w:rsidP="001B7611">
      <w:pPr>
        <w:numPr>
          <w:ilvl w:val="0"/>
          <w:numId w:val="11"/>
        </w:numPr>
        <w:spacing w:before="100" w:beforeAutospacing="1" w:after="100" w:afterAutospacing="1" w:line="240" w:lineRule="auto"/>
      </w:pPr>
      <w:r>
        <w:t>Cox, D. R. (1972). Regression models and life-tables. Journal of the Royal Statistical Society: Series B (Methodological), 34(2), 187-202.</w:t>
      </w:r>
    </w:p>
    <w:p w14:paraId="45107F6F" w14:textId="77777777" w:rsidR="00492AC8" w:rsidRDefault="00492AC8" w:rsidP="001B7611">
      <w:pPr>
        <w:spacing w:before="100" w:beforeAutospacing="1" w:after="100" w:afterAutospacing="1" w:line="240" w:lineRule="auto"/>
        <w:outlineLvl w:val="2"/>
      </w:pPr>
    </w:p>
    <w:sectPr w:rsidR="00492A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4A579D"/>
    <w:multiLevelType w:val="multilevel"/>
    <w:tmpl w:val="C3669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6F13A8"/>
    <w:multiLevelType w:val="multilevel"/>
    <w:tmpl w:val="7A824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C356A3"/>
    <w:multiLevelType w:val="multilevel"/>
    <w:tmpl w:val="FEF005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4C23B6A"/>
    <w:multiLevelType w:val="multilevel"/>
    <w:tmpl w:val="FCCA9E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A825522"/>
    <w:multiLevelType w:val="multilevel"/>
    <w:tmpl w:val="95AA2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044B0A"/>
    <w:multiLevelType w:val="multilevel"/>
    <w:tmpl w:val="E13A0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2B3703F"/>
    <w:multiLevelType w:val="multilevel"/>
    <w:tmpl w:val="EC88D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AF2427F"/>
    <w:multiLevelType w:val="multilevel"/>
    <w:tmpl w:val="692C4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FC9798F"/>
    <w:multiLevelType w:val="multilevel"/>
    <w:tmpl w:val="5D9A3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0F67608"/>
    <w:multiLevelType w:val="multilevel"/>
    <w:tmpl w:val="C7C67F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46068C7"/>
    <w:multiLevelType w:val="multilevel"/>
    <w:tmpl w:val="AA6C9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43698782">
    <w:abstractNumId w:val="9"/>
  </w:num>
  <w:num w:numId="2" w16cid:durableId="1630016773">
    <w:abstractNumId w:val="8"/>
  </w:num>
  <w:num w:numId="3" w16cid:durableId="2014524812">
    <w:abstractNumId w:val="1"/>
  </w:num>
  <w:num w:numId="4" w16cid:durableId="848105169">
    <w:abstractNumId w:val="3"/>
  </w:num>
  <w:num w:numId="5" w16cid:durableId="1530609151">
    <w:abstractNumId w:val="0"/>
  </w:num>
  <w:num w:numId="6" w16cid:durableId="1812214022">
    <w:abstractNumId w:val="2"/>
  </w:num>
  <w:num w:numId="7" w16cid:durableId="1849172217">
    <w:abstractNumId w:val="10"/>
  </w:num>
  <w:num w:numId="8" w16cid:durableId="1491676498">
    <w:abstractNumId w:val="4"/>
  </w:num>
  <w:num w:numId="9" w16cid:durableId="1148595655">
    <w:abstractNumId w:val="6"/>
  </w:num>
  <w:num w:numId="10" w16cid:durableId="1399397008">
    <w:abstractNumId w:val="7"/>
  </w:num>
  <w:num w:numId="11" w16cid:durableId="53609055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7611"/>
    <w:rsid w:val="001B7611"/>
    <w:rsid w:val="00492AC8"/>
    <w:rsid w:val="004B160C"/>
    <w:rsid w:val="00713196"/>
    <w:rsid w:val="00A504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0EFC57"/>
  <w15:chartTrackingRefBased/>
  <w15:docId w15:val="{9D643DB4-E1A1-4F42-A106-F50E3CE6AA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761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1B7611"/>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1B7611"/>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link w:val="Heading4Char"/>
    <w:uiPriority w:val="9"/>
    <w:qFormat/>
    <w:rsid w:val="001B7611"/>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B7611"/>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1B7611"/>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rsid w:val="001B7611"/>
    <w:rPr>
      <w:rFonts w:ascii="Times New Roman" w:eastAsia="Times New Roman" w:hAnsi="Times New Roman" w:cs="Times New Roman"/>
      <w:b/>
      <w:bCs/>
      <w:kern w:val="0"/>
      <w:sz w:val="24"/>
      <w:szCs w:val="24"/>
      <w14:ligatures w14:val="none"/>
    </w:rPr>
  </w:style>
  <w:style w:type="paragraph" w:styleId="NormalWeb">
    <w:name w:val="Normal (Web)"/>
    <w:basedOn w:val="Normal"/>
    <w:uiPriority w:val="99"/>
    <w:semiHidden/>
    <w:unhideWhenUsed/>
    <w:rsid w:val="001B761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1B7611"/>
    <w:rPr>
      <w:b/>
      <w:bCs/>
    </w:rPr>
  </w:style>
  <w:style w:type="character" w:customStyle="1" w:styleId="katex-mathml">
    <w:name w:val="katex-mathml"/>
    <w:basedOn w:val="DefaultParagraphFont"/>
    <w:rsid w:val="001B7611"/>
  </w:style>
  <w:style w:type="character" w:customStyle="1" w:styleId="mord">
    <w:name w:val="mord"/>
    <w:basedOn w:val="DefaultParagraphFont"/>
    <w:rsid w:val="001B7611"/>
  </w:style>
  <w:style w:type="character" w:customStyle="1" w:styleId="mopen">
    <w:name w:val="mopen"/>
    <w:basedOn w:val="DefaultParagraphFont"/>
    <w:rsid w:val="001B7611"/>
  </w:style>
  <w:style w:type="character" w:customStyle="1" w:styleId="mclose">
    <w:name w:val="mclose"/>
    <w:basedOn w:val="DefaultParagraphFont"/>
    <w:rsid w:val="001B7611"/>
  </w:style>
  <w:style w:type="character" w:customStyle="1" w:styleId="mrel">
    <w:name w:val="mrel"/>
    <w:basedOn w:val="DefaultParagraphFont"/>
    <w:rsid w:val="001B7611"/>
  </w:style>
  <w:style w:type="character" w:customStyle="1" w:styleId="mop">
    <w:name w:val="mop"/>
    <w:basedOn w:val="DefaultParagraphFont"/>
    <w:rsid w:val="001B7611"/>
  </w:style>
  <w:style w:type="character" w:customStyle="1" w:styleId="vlist-s">
    <w:name w:val="vlist-s"/>
    <w:basedOn w:val="DefaultParagraphFont"/>
    <w:rsid w:val="001B7611"/>
  </w:style>
  <w:style w:type="character" w:customStyle="1" w:styleId="minner">
    <w:name w:val="minner"/>
    <w:basedOn w:val="DefaultParagraphFont"/>
    <w:rsid w:val="001B7611"/>
  </w:style>
  <w:style w:type="character" w:customStyle="1" w:styleId="delimsizing">
    <w:name w:val="delimsizing"/>
    <w:basedOn w:val="DefaultParagraphFont"/>
    <w:rsid w:val="001B7611"/>
  </w:style>
  <w:style w:type="character" w:customStyle="1" w:styleId="mbin">
    <w:name w:val="mbin"/>
    <w:basedOn w:val="DefaultParagraphFont"/>
    <w:rsid w:val="001B7611"/>
  </w:style>
  <w:style w:type="character" w:customStyle="1" w:styleId="Heading1Char">
    <w:name w:val="Heading 1 Char"/>
    <w:basedOn w:val="DefaultParagraphFont"/>
    <w:link w:val="Heading1"/>
    <w:uiPriority w:val="9"/>
    <w:rsid w:val="001B7611"/>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68062458">
      <w:bodyDiv w:val="1"/>
      <w:marLeft w:val="0"/>
      <w:marRight w:val="0"/>
      <w:marTop w:val="0"/>
      <w:marBottom w:val="0"/>
      <w:divBdr>
        <w:top w:val="none" w:sz="0" w:space="0" w:color="auto"/>
        <w:left w:val="none" w:sz="0" w:space="0" w:color="auto"/>
        <w:bottom w:val="none" w:sz="0" w:space="0" w:color="auto"/>
        <w:right w:val="none" w:sz="0" w:space="0" w:color="auto"/>
      </w:divBdr>
      <w:divsChild>
        <w:div w:id="663437516">
          <w:marLeft w:val="0"/>
          <w:marRight w:val="0"/>
          <w:marTop w:val="0"/>
          <w:marBottom w:val="0"/>
          <w:divBdr>
            <w:top w:val="none" w:sz="0" w:space="0" w:color="auto"/>
            <w:left w:val="none" w:sz="0" w:space="0" w:color="auto"/>
            <w:bottom w:val="none" w:sz="0" w:space="0" w:color="auto"/>
            <w:right w:val="none" w:sz="0" w:space="0" w:color="auto"/>
          </w:divBdr>
          <w:divsChild>
            <w:div w:id="1980341">
              <w:marLeft w:val="0"/>
              <w:marRight w:val="0"/>
              <w:marTop w:val="0"/>
              <w:marBottom w:val="0"/>
              <w:divBdr>
                <w:top w:val="none" w:sz="0" w:space="0" w:color="auto"/>
                <w:left w:val="none" w:sz="0" w:space="0" w:color="auto"/>
                <w:bottom w:val="none" w:sz="0" w:space="0" w:color="auto"/>
                <w:right w:val="none" w:sz="0" w:space="0" w:color="auto"/>
              </w:divBdr>
              <w:divsChild>
                <w:div w:id="922954548">
                  <w:marLeft w:val="0"/>
                  <w:marRight w:val="0"/>
                  <w:marTop w:val="0"/>
                  <w:marBottom w:val="0"/>
                  <w:divBdr>
                    <w:top w:val="none" w:sz="0" w:space="0" w:color="auto"/>
                    <w:left w:val="none" w:sz="0" w:space="0" w:color="auto"/>
                    <w:bottom w:val="none" w:sz="0" w:space="0" w:color="auto"/>
                    <w:right w:val="none" w:sz="0" w:space="0" w:color="auto"/>
                  </w:divBdr>
                  <w:divsChild>
                    <w:div w:id="1964918307">
                      <w:marLeft w:val="0"/>
                      <w:marRight w:val="0"/>
                      <w:marTop w:val="0"/>
                      <w:marBottom w:val="0"/>
                      <w:divBdr>
                        <w:top w:val="none" w:sz="0" w:space="0" w:color="auto"/>
                        <w:left w:val="none" w:sz="0" w:space="0" w:color="auto"/>
                        <w:bottom w:val="none" w:sz="0" w:space="0" w:color="auto"/>
                        <w:right w:val="none" w:sz="0" w:space="0" w:color="auto"/>
                      </w:divBdr>
                      <w:divsChild>
                        <w:div w:id="1827015720">
                          <w:marLeft w:val="0"/>
                          <w:marRight w:val="0"/>
                          <w:marTop w:val="0"/>
                          <w:marBottom w:val="0"/>
                          <w:divBdr>
                            <w:top w:val="none" w:sz="0" w:space="0" w:color="auto"/>
                            <w:left w:val="none" w:sz="0" w:space="0" w:color="auto"/>
                            <w:bottom w:val="none" w:sz="0" w:space="0" w:color="auto"/>
                            <w:right w:val="none" w:sz="0" w:space="0" w:color="auto"/>
                          </w:divBdr>
                          <w:divsChild>
                            <w:div w:id="48697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7636128">
      <w:bodyDiv w:val="1"/>
      <w:marLeft w:val="0"/>
      <w:marRight w:val="0"/>
      <w:marTop w:val="0"/>
      <w:marBottom w:val="0"/>
      <w:divBdr>
        <w:top w:val="none" w:sz="0" w:space="0" w:color="auto"/>
        <w:left w:val="none" w:sz="0" w:space="0" w:color="auto"/>
        <w:bottom w:val="none" w:sz="0" w:space="0" w:color="auto"/>
        <w:right w:val="none" w:sz="0" w:space="0" w:color="auto"/>
      </w:divBdr>
      <w:divsChild>
        <w:div w:id="73748532">
          <w:marLeft w:val="0"/>
          <w:marRight w:val="0"/>
          <w:marTop w:val="0"/>
          <w:marBottom w:val="0"/>
          <w:divBdr>
            <w:top w:val="none" w:sz="0" w:space="0" w:color="auto"/>
            <w:left w:val="none" w:sz="0" w:space="0" w:color="auto"/>
            <w:bottom w:val="none" w:sz="0" w:space="0" w:color="auto"/>
            <w:right w:val="none" w:sz="0" w:space="0" w:color="auto"/>
          </w:divBdr>
          <w:divsChild>
            <w:div w:id="1604533572">
              <w:marLeft w:val="0"/>
              <w:marRight w:val="0"/>
              <w:marTop w:val="0"/>
              <w:marBottom w:val="0"/>
              <w:divBdr>
                <w:top w:val="none" w:sz="0" w:space="0" w:color="auto"/>
                <w:left w:val="none" w:sz="0" w:space="0" w:color="auto"/>
                <w:bottom w:val="none" w:sz="0" w:space="0" w:color="auto"/>
                <w:right w:val="none" w:sz="0" w:space="0" w:color="auto"/>
              </w:divBdr>
              <w:divsChild>
                <w:div w:id="1610352646">
                  <w:marLeft w:val="0"/>
                  <w:marRight w:val="0"/>
                  <w:marTop w:val="0"/>
                  <w:marBottom w:val="0"/>
                  <w:divBdr>
                    <w:top w:val="none" w:sz="0" w:space="0" w:color="auto"/>
                    <w:left w:val="none" w:sz="0" w:space="0" w:color="auto"/>
                    <w:bottom w:val="none" w:sz="0" w:space="0" w:color="auto"/>
                    <w:right w:val="none" w:sz="0" w:space="0" w:color="auto"/>
                  </w:divBdr>
                  <w:divsChild>
                    <w:div w:id="150605624">
                      <w:marLeft w:val="0"/>
                      <w:marRight w:val="0"/>
                      <w:marTop w:val="0"/>
                      <w:marBottom w:val="0"/>
                      <w:divBdr>
                        <w:top w:val="none" w:sz="0" w:space="0" w:color="auto"/>
                        <w:left w:val="none" w:sz="0" w:space="0" w:color="auto"/>
                        <w:bottom w:val="none" w:sz="0" w:space="0" w:color="auto"/>
                        <w:right w:val="none" w:sz="0" w:space="0" w:color="auto"/>
                      </w:divBdr>
                      <w:divsChild>
                        <w:div w:id="153107540">
                          <w:marLeft w:val="0"/>
                          <w:marRight w:val="0"/>
                          <w:marTop w:val="0"/>
                          <w:marBottom w:val="0"/>
                          <w:divBdr>
                            <w:top w:val="none" w:sz="0" w:space="0" w:color="auto"/>
                            <w:left w:val="none" w:sz="0" w:space="0" w:color="auto"/>
                            <w:bottom w:val="none" w:sz="0" w:space="0" w:color="auto"/>
                            <w:right w:val="none" w:sz="0" w:space="0" w:color="auto"/>
                          </w:divBdr>
                          <w:divsChild>
                            <w:div w:id="2037122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5</Pages>
  <Words>1532</Words>
  <Characters>8733</Characters>
  <Application>Microsoft Office Word</Application>
  <DocSecurity>0</DocSecurity>
  <Lines>72</Lines>
  <Paragraphs>20</Paragraphs>
  <ScaleCrop>false</ScaleCrop>
  <Company/>
  <LinksUpToDate>false</LinksUpToDate>
  <CharactersWithSpaces>10245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faridu musah</dc:creator>
  <cp:keywords/>
  <dc:description/>
  <cp:lastModifiedBy>faridu musah</cp:lastModifiedBy>
  <cp:revision>1</cp:revision>
  <dcterms:created xsi:type="dcterms:W3CDTF">2024-06-22T00:49:00Z</dcterms:created>
  <dcterms:modified xsi:type="dcterms:W3CDTF">2024-06-22T00:55:00Z</dcterms:modified>
</cp:coreProperties>
</file>