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EB750E">
      <w:pPr>
        <w:rPr>
          <w:kern w:val="0"/>
        </w:rPr>
      </w:pPr>
      <w:bookmarkStart w:id="0" w:name="_GoBack"/>
      <w:bookmarkEnd w:id="0"/>
      <w:r>
        <w:rPr>
          <w:rFonts w:hint="eastAsia" w:ascii="华文楷体" w:hAnsi="华文楷体" w:eastAsia="华文楷体"/>
          <w:kern w:val="0"/>
          <w:sz w:val="4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19079210</wp:posOffset>
                </wp:positionH>
                <wp:positionV relativeFrom="paragraph">
                  <wp:posOffset>-292100</wp:posOffset>
                </wp:positionV>
                <wp:extent cx="0" cy="3749040"/>
                <wp:effectExtent l="4445" t="0" r="8255" b="10160"/>
                <wp:wrapNone/>
                <wp:docPr id="3" name="直线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4904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13" o:spid="_x0000_s1026" o:spt="20" style="position:absolute;left:0pt;margin-left:1502.3pt;margin-top:-23pt;height:295.2pt;width:0pt;z-index:251660288;mso-width-relative:page;mso-height-relative:page;" filled="f" stroked="t" coordsize="21600,21600" o:gfxdata="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CSSK8DZ&#10;AAAADQEAAA8AAAAAAAAAAQAgAAAAIgAAAGRycy9kb3ducmV2LnhtbFBLAQIUABQAAAAIAIdO4kAT&#10;vBbR5gEAAN4DAAAOAAAAAAAAAAEAIAAAACgBAABkcnMvZTJvRG9jLnhtbFBLBQYAAAAABgAGAFkB&#10;AACA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eastAsia="华文楷体" w:ascii="华文楷体" w:hAnsi="华文楷体"/>
          <w:kern w:val="0"/>
          <w:sz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-367030</wp:posOffset>
                </wp:positionH>
                <wp:positionV relativeFrom="paragraph">
                  <wp:posOffset>-208915</wp:posOffset>
                </wp:positionV>
                <wp:extent cx="1953895" cy="523875"/>
                <wp:effectExtent l="0" t="0" r="1905" b="9525"/>
                <wp:wrapNone/>
                <wp:docPr id="2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3895" cy="523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tbl>
                            <w:tblPr>
                              <w:tblStyle w:val="4"/>
                              <w:tblW w:w="2534" w:type="dxa"/>
                              <w:tblInd w:w="0" w:type="dxa"/>
                              <w:tblBorders>
                                <w:top w:val="single" w:color="000000" w:sz="4" w:space="0"/>
                                <w:left w:val="single" w:color="000000" w:sz="4" w:space="0"/>
                                <w:bottom w:val="single" w:color="000000" w:sz="4" w:space="0"/>
                                <w:right w:val="single" w:color="000000" w:sz="4" w:space="0"/>
                                <w:insideH w:val="single" w:color="000000" w:sz="4" w:space="0"/>
                                <w:insideV w:val="single" w:color="000000" w:sz="4" w:space="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910"/>
                              <w:gridCol w:w="1624"/>
                            </w:tblGrid>
                            <w:tr w14:paraId="3648009D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624" w:hRule="exact"/>
                              </w:trPr>
                              <w:tc>
                                <w:tcPr>
                                  <w:tcW w:w="910" w:type="dxa"/>
                                  <w:noWrap w:val="0"/>
                                  <w:vAlign w:val="bottom"/>
                                </w:tcPr>
                                <w:p w14:paraId="59549819">
                                  <w:pPr>
                                    <w:ind w:left="206" w:right="210" w:hanging="205" w:hangingChars="98"/>
                                    <w:jc w:val="right"/>
                                    <w:rPr>
                                      <w:rFonts w:ascii="仿宋_GB2312" w:eastAsia="仿宋_GB2312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仿宋_GB2312" w:eastAsia="仿宋_GB2312"/>
                                      <w:szCs w:val="21"/>
                                    </w:rPr>
                                    <w:t>评阅人</w:t>
                                  </w:r>
                                </w:p>
                                <w:p w14:paraId="1D639EA7">
                                  <w:pPr>
                                    <w:ind w:left="206" w:hanging="205" w:hangingChars="98"/>
                                    <w:jc w:val="center"/>
                                    <w:rPr>
                                      <w:rFonts w:ascii="仿宋_GB2312" w:eastAsia="仿宋_GB2312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仿宋_GB2312" w:eastAsia="仿宋_GB2312"/>
                                      <w:szCs w:val="21"/>
                                    </w:rPr>
                                    <w:t>老师</w:t>
                                  </w:r>
                                </w:p>
                                <w:p w14:paraId="2893044D">
                                  <w:pPr>
                                    <w:spacing w:line="480" w:lineRule="exact"/>
                                    <w:ind w:left="274" w:hanging="274" w:hangingChars="98"/>
                                    <w:jc w:val="center"/>
                                    <w:rPr>
                                      <w:rFonts w:ascii="仿宋_GB2312" w:eastAsia="仿宋_GB2312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24" w:type="dxa"/>
                                  <w:noWrap w:val="0"/>
                                  <w:vAlign w:val="bottom"/>
                                </w:tcPr>
                                <w:p w14:paraId="5DB8D08F">
                                  <w:pPr>
                                    <w:spacing w:line="480" w:lineRule="exact"/>
                                    <w:jc w:val="center"/>
                                    <w:rPr>
                                      <w:rFonts w:eastAsia="楷体_GB2312"/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225606D"/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rect id="矩形 8" o:spid="_x0000_s1026" o:spt="1" style="position:absolute;left:0pt;margin-left:-28.9pt;margin-top:-16.45pt;height:41.25pt;width:153.85pt;z-index:251659264;mso-width-relative:page;mso-height-relative:page;" fillcolor="#FFFFFF" filled="t" stroked="f" coordsize="21600,21600" o:gfxdata="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cDLcbtgAAAAKAQAA&#10;DwAAAAAAAAABACAAAAAiAAAAZHJzL2Rvd25yZXYueG1sUEsBAhQAFAAAAAgAh07iQCiX+b7gAQAA&#10;tAMAAA4AAAAAAAAAAQAgAAAAJwEAAGRycy9lMm9Eb2MueG1sUEsFBgAAAAAGAAYAWQEAAHkFAAAA&#10;AA==&#10;">
                <v:fill on="t" focussize="0,0"/>
                <v:stroke on="f"/>
                <v:imagedata o:title=""/>
                <o:lock v:ext="edit" aspectratio="f"/>
                <v:textbox>
                  <w:txbxContent>
                    <w:tbl>
                      <w:tblPr>
                        <w:tblStyle w:val="4"/>
                        <w:tblW w:w="2534" w:type="dxa"/>
                        <w:tblInd w:w="0" w:type="dxa"/>
                        <w:tbl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  <w:insideH w:val="single" w:color="000000" w:sz="4" w:space="0"/>
                          <w:insideV w:val="single" w:color="000000" w:sz="4" w:space="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910"/>
                        <w:gridCol w:w="1624"/>
                      </w:tblGrid>
                      <w:tr w14:paraId="3648009D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624" w:hRule="exact"/>
                        </w:trPr>
                        <w:tc>
                          <w:tcPr>
                            <w:tcW w:w="910" w:type="dxa"/>
                            <w:noWrap w:val="0"/>
                            <w:vAlign w:val="bottom"/>
                          </w:tcPr>
                          <w:p w14:paraId="59549819">
                            <w:pPr>
                              <w:ind w:left="206" w:right="210" w:hanging="205" w:hangingChars="98"/>
                              <w:jc w:val="right"/>
                              <w:rPr>
                                <w:rFonts w:ascii="仿宋_GB2312" w:eastAsia="仿宋_GB2312"/>
                                <w:szCs w:val="21"/>
                              </w:rPr>
                            </w:pPr>
                            <w:r>
                              <w:rPr>
                                <w:rFonts w:hint="eastAsia" w:ascii="仿宋_GB2312" w:eastAsia="仿宋_GB2312"/>
                                <w:szCs w:val="21"/>
                              </w:rPr>
                              <w:t>评阅人</w:t>
                            </w:r>
                          </w:p>
                          <w:p w14:paraId="1D639EA7">
                            <w:pPr>
                              <w:ind w:left="206" w:hanging="205" w:hangingChars="98"/>
                              <w:jc w:val="center"/>
                              <w:rPr>
                                <w:rFonts w:ascii="仿宋_GB2312" w:eastAsia="仿宋_GB2312"/>
                                <w:szCs w:val="21"/>
                              </w:rPr>
                            </w:pPr>
                            <w:r>
                              <w:rPr>
                                <w:rFonts w:hint="eastAsia" w:ascii="仿宋_GB2312" w:eastAsia="仿宋_GB2312"/>
                                <w:szCs w:val="21"/>
                              </w:rPr>
                              <w:t>老师</w:t>
                            </w:r>
                          </w:p>
                          <w:p w14:paraId="2893044D">
                            <w:pPr>
                              <w:spacing w:line="480" w:lineRule="exact"/>
                              <w:ind w:left="274" w:hanging="274" w:hangingChars="98"/>
                              <w:jc w:val="center"/>
                              <w:rPr>
                                <w:rFonts w:ascii="仿宋_GB2312" w:eastAsia="仿宋_GB2312"/>
                                <w:sz w:val="28"/>
                                <w:szCs w:val="28"/>
                              </w:rPr>
                            </w:pPr>
                          </w:p>
                        </w:tc>
                        <w:tc>
                          <w:tcPr>
                            <w:tcW w:w="1624" w:type="dxa"/>
                            <w:noWrap w:val="0"/>
                            <w:vAlign w:val="bottom"/>
                          </w:tcPr>
                          <w:p w14:paraId="5DB8D08F">
                            <w:pPr>
                              <w:spacing w:line="480" w:lineRule="exact"/>
                              <w:jc w:val="center"/>
                              <w:rPr>
                                <w:rFonts w:eastAsia="楷体_GB2312"/>
                                <w:sz w:val="28"/>
                              </w:rPr>
                            </w:pPr>
                          </w:p>
                        </w:tc>
                      </w:tr>
                    </w:tbl>
                    <w:p w14:paraId="2225606D"/>
                  </w:txbxContent>
                </v:textbox>
              </v:rect>
            </w:pict>
          </mc:Fallback>
        </mc:AlternateContent>
      </w:r>
      <w:r>
        <w:rPr>
          <w:rFonts w:hint="eastAsia" w:ascii="华文楷体" w:hAnsi="华文楷体" w:eastAsia="华文楷体"/>
          <w:kern w:val="0"/>
          <w:sz w:val="4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3996690</wp:posOffset>
                </wp:positionH>
                <wp:positionV relativeFrom="paragraph">
                  <wp:posOffset>-208915</wp:posOffset>
                </wp:positionV>
                <wp:extent cx="1953895" cy="523875"/>
                <wp:effectExtent l="0" t="0" r="1905" b="9525"/>
                <wp:wrapNone/>
                <wp:docPr id="4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3895" cy="523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tbl>
                            <w:tblPr>
                              <w:tblStyle w:val="4"/>
                              <w:tblW w:w="2534" w:type="dxa"/>
                              <w:jc w:val="right"/>
                              <w:tblBorders>
                                <w:top w:val="single" w:color="000000" w:sz="4" w:space="0"/>
                                <w:left w:val="single" w:color="000000" w:sz="4" w:space="0"/>
                                <w:bottom w:val="single" w:color="000000" w:sz="4" w:space="0"/>
                                <w:right w:val="single" w:color="000000" w:sz="4" w:space="0"/>
                                <w:insideH w:val="single" w:color="000000" w:sz="4" w:space="0"/>
                                <w:insideV w:val="single" w:color="000000" w:sz="4" w:space="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1012"/>
                              <w:gridCol w:w="1522"/>
                            </w:tblGrid>
                            <w:tr w14:paraId="01F3479A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624" w:hRule="exact"/>
                                <w:jc w:val="right"/>
                              </w:trPr>
                              <w:tc>
                                <w:tcPr>
                                  <w:tcW w:w="1012" w:type="dxa"/>
                                  <w:noWrap w:val="0"/>
                                  <w:vAlign w:val="bottom"/>
                                </w:tcPr>
                                <w:p w14:paraId="3D3BC11A">
                                  <w:pPr>
                                    <w:ind w:left="206" w:hanging="205" w:hangingChars="98"/>
                                    <w:jc w:val="center"/>
                                    <w:rPr>
                                      <w:rFonts w:ascii="仿宋_GB2312" w:eastAsia="仿宋_GB2312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仿宋_GB2312" w:eastAsia="仿宋_GB2312"/>
                                      <w:szCs w:val="21"/>
                                    </w:rPr>
                                    <w:t>实验成绩</w:t>
                                  </w:r>
                                </w:p>
                                <w:p w14:paraId="025343BE">
                                  <w:pPr>
                                    <w:ind w:left="206" w:hanging="205" w:hangingChars="98"/>
                                    <w:jc w:val="center"/>
                                    <w:rPr>
                                      <w:rFonts w:ascii="仿宋_GB2312" w:eastAsia="仿宋_GB2312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仿宋_GB2312" w:eastAsia="仿宋_GB2312"/>
                                      <w:szCs w:val="21"/>
                                    </w:rPr>
                                    <w:t>成绩</w:t>
                                  </w:r>
                                </w:p>
                                <w:p w14:paraId="194FAA3C">
                                  <w:pPr>
                                    <w:spacing w:line="480" w:lineRule="exact"/>
                                    <w:ind w:left="274" w:hanging="274" w:hangingChars="98"/>
                                    <w:jc w:val="center"/>
                                    <w:rPr>
                                      <w:rFonts w:ascii="仿宋_GB2312" w:eastAsia="仿宋_GB2312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22" w:type="dxa"/>
                                  <w:noWrap w:val="0"/>
                                  <w:vAlign w:val="bottom"/>
                                </w:tcPr>
                                <w:p w14:paraId="66D472F2">
                                  <w:pPr>
                                    <w:spacing w:line="480" w:lineRule="exact"/>
                                    <w:jc w:val="center"/>
                                    <w:rPr>
                                      <w:rFonts w:eastAsia="楷体_GB2312"/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44E888A"/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rect id="矩形 10" o:spid="_x0000_s1026" o:spt="1" style="position:absolute;left:0pt;margin-left:314.7pt;margin-top:-16.45pt;height:41.25pt;width:153.85pt;z-index:251661312;mso-width-relative:page;mso-height-relative:page;" fillcolor="#FFFFFF" filled="t" stroked="f" coordsize="21600,21600" o:gfxdata="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GDndZ7ZAAAACgEA&#10;AA8AAAAAAAAAAQAgAAAAIgAAAGRycy9kb3ducmV2LnhtbFBLAQIUABQAAAAIAIdO4kDx28xa4AEA&#10;ALUDAAAOAAAAAAAAAAEAIAAAACgBAABkcnMvZTJvRG9jLnhtbFBLBQYAAAAABgAGAFkBAAB6BQAA&#10;AAA=&#10;">
                <v:fill on="t" focussize="0,0"/>
                <v:stroke on="f"/>
                <v:imagedata o:title=""/>
                <o:lock v:ext="edit" aspectratio="f"/>
                <v:textbox>
                  <w:txbxContent>
                    <w:tbl>
                      <w:tblPr>
                        <w:tblStyle w:val="4"/>
                        <w:tblW w:w="2534" w:type="dxa"/>
                        <w:jc w:val="right"/>
                        <w:tbl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  <w:insideH w:val="single" w:color="000000" w:sz="4" w:space="0"/>
                          <w:insideV w:val="single" w:color="000000" w:sz="4" w:space="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1012"/>
                        <w:gridCol w:w="1522"/>
                      </w:tblGrid>
                      <w:tr w14:paraId="01F3479A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624" w:hRule="exact"/>
                          <w:jc w:val="right"/>
                        </w:trPr>
                        <w:tc>
                          <w:tcPr>
                            <w:tcW w:w="1012" w:type="dxa"/>
                            <w:noWrap w:val="0"/>
                            <w:vAlign w:val="bottom"/>
                          </w:tcPr>
                          <w:p w14:paraId="3D3BC11A">
                            <w:pPr>
                              <w:ind w:left="206" w:hanging="205" w:hangingChars="98"/>
                              <w:jc w:val="center"/>
                              <w:rPr>
                                <w:rFonts w:ascii="仿宋_GB2312" w:eastAsia="仿宋_GB2312"/>
                                <w:szCs w:val="21"/>
                              </w:rPr>
                            </w:pPr>
                            <w:r>
                              <w:rPr>
                                <w:rFonts w:hint="eastAsia" w:ascii="仿宋_GB2312" w:eastAsia="仿宋_GB2312"/>
                                <w:szCs w:val="21"/>
                              </w:rPr>
                              <w:t>实验成绩</w:t>
                            </w:r>
                          </w:p>
                          <w:p w14:paraId="025343BE">
                            <w:pPr>
                              <w:ind w:left="206" w:hanging="205" w:hangingChars="98"/>
                              <w:jc w:val="center"/>
                              <w:rPr>
                                <w:rFonts w:ascii="仿宋_GB2312" w:eastAsia="仿宋_GB2312"/>
                                <w:szCs w:val="21"/>
                              </w:rPr>
                            </w:pPr>
                            <w:r>
                              <w:rPr>
                                <w:rFonts w:hint="eastAsia" w:ascii="仿宋_GB2312" w:eastAsia="仿宋_GB2312"/>
                                <w:szCs w:val="21"/>
                              </w:rPr>
                              <w:t>成绩</w:t>
                            </w:r>
                          </w:p>
                          <w:p w14:paraId="194FAA3C">
                            <w:pPr>
                              <w:spacing w:line="480" w:lineRule="exact"/>
                              <w:ind w:left="274" w:hanging="274" w:hangingChars="98"/>
                              <w:jc w:val="center"/>
                              <w:rPr>
                                <w:rFonts w:ascii="仿宋_GB2312" w:eastAsia="仿宋_GB2312"/>
                                <w:sz w:val="28"/>
                                <w:szCs w:val="28"/>
                              </w:rPr>
                            </w:pPr>
                          </w:p>
                        </w:tc>
                        <w:tc>
                          <w:tcPr>
                            <w:tcW w:w="1522" w:type="dxa"/>
                            <w:noWrap w:val="0"/>
                            <w:vAlign w:val="bottom"/>
                          </w:tcPr>
                          <w:p w14:paraId="66D472F2">
                            <w:pPr>
                              <w:spacing w:line="480" w:lineRule="exact"/>
                              <w:jc w:val="center"/>
                              <w:rPr>
                                <w:rFonts w:eastAsia="楷体_GB2312"/>
                                <w:sz w:val="28"/>
                              </w:rPr>
                            </w:pPr>
                          </w:p>
                        </w:tc>
                      </w:tr>
                    </w:tbl>
                    <w:p w14:paraId="444E888A"/>
                  </w:txbxContent>
                </v:textbox>
              </v:rect>
            </w:pict>
          </mc:Fallback>
        </mc:AlternateContent>
      </w:r>
    </w:p>
    <w:p w14:paraId="48569A76">
      <w:pPr>
        <w:jc w:val="center"/>
        <w:rPr>
          <w:kern w:val="0"/>
        </w:rPr>
      </w:pPr>
    </w:p>
    <w:p w14:paraId="1500E26C">
      <w:pPr>
        <w:jc w:val="center"/>
        <w:rPr>
          <w:kern w:val="0"/>
        </w:rPr>
      </w:pPr>
    </w:p>
    <w:p w14:paraId="15C768E7">
      <w:pPr>
        <w:jc w:val="center"/>
        <w:rPr>
          <w:rFonts w:ascii="黑体" w:eastAsia="黑体"/>
          <w:b/>
          <w:kern w:val="0"/>
          <w:sz w:val="48"/>
          <w:szCs w:val="48"/>
        </w:rPr>
      </w:pPr>
      <w:r>
        <w:rPr>
          <w:rFonts w:hint="eastAsia"/>
          <w:kern w:val="0"/>
        </w:rPr>
        <w:drawing>
          <wp:inline distT="0" distB="0" distL="114300" distR="114300">
            <wp:extent cx="2838450" cy="809625"/>
            <wp:effectExtent l="0" t="0" r="6350" b="3175"/>
            <wp:docPr id="1" name="图片 1" descr="u=1549092643,3105127979&amp;fm=23&amp;gp=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u=1549092643,3105127979&amp;fm=23&amp;gp=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2804B">
      <w:pPr>
        <w:pStyle w:val="2"/>
        <w:spacing w:after="156" w:afterLines="50"/>
        <w:rPr>
          <w:b w:val="0"/>
          <w:color w:val="000000"/>
          <w:kern w:val="0"/>
          <w:sz w:val="84"/>
          <w:szCs w:val="84"/>
        </w:rPr>
      </w:pPr>
      <w:r>
        <w:rPr>
          <w:rFonts w:hint="eastAsia"/>
          <w:b w:val="0"/>
          <w:color w:val="000000"/>
          <w:w w:val="54"/>
          <w:kern w:val="0"/>
          <w:sz w:val="84"/>
          <w:szCs w:val="84"/>
        </w:rPr>
        <w:t>自动化学院本科生实验报告</w:t>
      </w:r>
    </w:p>
    <w:p w14:paraId="71B83CEE">
      <w:pPr>
        <w:spacing w:line="540" w:lineRule="exact"/>
        <w:rPr>
          <w:rFonts w:ascii="宋体" w:hAnsi="宋体" w:cs="宋体"/>
          <w:b/>
          <w:bCs/>
          <w:kern w:val="0"/>
          <w:sz w:val="24"/>
        </w:rPr>
      </w:pPr>
      <w:r>
        <w:rPr>
          <w:rFonts w:hint="eastAsia" w:ascii="华文楷体" w:hAnsi="华文楷体" w:eastAsia="华文楷体" w:cs="华文楷体"/>
          <w:b/>
          <w:bCs/>
          <w:kern w:val="0"/>
          <w:sz w:val="36"/>
          <w:szCs w:val="36"/>
          <w:u w:val="single"/>
        </w:rPr>
        <w:t xml:space="preserve">                              </w:t>
      </w:r>
      <w:r>
        <w:rPr>
          <w:rFonts w:ascii="华文楷体" w:hAnsi="华文楷体" w:eastAsia="华文楷体" w:cs="华文楷体"/>
          <w:b/>
          <w:bCs/>
          <w:kern w:val="0"/>
          <w:sz w:val="36"/>
          <w:szCs w:val="36"/>
        </w:rPr>
        <w:t xml:space="preserve"> </w:t>
      </w:r>
      <w:r>
        <w:rPr>
          <w:rFonts w:hint="eastAsia" w:ascii="华文楷体" w:hAnsi="华文楷体" w:eastAsia="华文楷体" w:cs="华文楷体"/>
          <w:b/>
          <w:bCs/>
          <w:kern w:val="0"/>
          <w:sz w:val="36"/>
          <w:szCs w:val="36"/>
        </w:rPr>
        <w:t>课</w:t>
      </w:r>
      <w:r>
        <w:rPr>
          <w:rFonts w:ascii="华文楷体" w:hAnsi="华文楷体" w:eastAsia="华文楷体" w:cs="华文楷体"/>
          <w:b/>
          <w:bCs/>
          <w:kern w:val="0"/>
          <w:sz w:val="36"/>
          <w:szCs w:val="36"/>
        </w:rPr>
        <w:t xml:space="preserve"> </w:t>
      </w:r>
      <w:r>
        <w:rPr>
          <w:rFonts w:hint="eastAsia" w:ascii="华文楷体" w:hAnsi="华文楷体" w:eastAsia="华文楷体" w:cs="华文楷体"/>
          <w:b/>
          <w:bCs/>
          <w:kern w:val="0"/>
          <w:sz w:val="36"/>
          <w:szCs w:val="36"/>
        </w:rPr>
        <w:t>程</w:t>
      </w:r>
      <w:r>
        <w:rPr>
          <w:rFonts w:ascii="华文楷体" w:hAnsi="华文楷体" w:eastAsia="华文楷体" w:cs="华文楷体"/>
          <w:b/>
          <w:bCs/>
          <w:kern w:val="0"/>
          <w:sz w:val="36"/>
          <w:szCs w:val="36"/>
        </w:rPr>
        <w:t xml:space="preserve"> </w:t>
      </w:r>
      <w:r>
        <w:rPr>
          <w:rFonts w:hint="eastAsia" w:ascii="华文楷体" w:hAnsi="华文楷体" w:eastAsia="华文楷体" w:cs="华文楷体"/>
          <w:b/>
          <w:bCs/>
          <w:kern w:val="0"/>
          <w:sz w:val="36"/>
          <w:szCs w:val="36"/>
        </w:rPr>
        <w:t>实</w:t>
      </w:r>
      <w:r>
        <w:rPr>
          <w:rFonts w:ascii="华文楷体" w:hAnsi="华文楷体" w:eastAsia="华文楷体" w:cs="华文楷体"/>
          <w:b/>
          <w:bCs/>
          <w:kern w:val="0"/>
          <w:sz w:val="36"/>
          <w:szCs w:val="36"/>
        </w:rPr>
        <w:t xml:space="preserve"> </w:t>
      </w:r>
      <w:r>
        <w:rPr>
          <w:rFonts w:hint="eastAsia" w:ascii="华文楷体" w:hAnsi="华文楷体" w:eastAsia="华文楷体" w:cs="华文楷体"/>
          <w:b/>
          <w:bCs/>
          <w:kern w:val="0"/>
          <w:sz w:val="36"/>
          <w:szCs w:val="36"/>
        </w:rPr>
        <w:t>验</w:t>
      </w:r>
      <w:r>
        <w:rPr>
          <w:rFonts w:ascii="华文楷体" w:hAnsi="华文楷体" w:eastAsia="华文楷体" w:cs="华文楷体"/>
          <w:b/>
          <w:bCs/>
          <w:kern w:val="0"/>
          <w:sz w:val="36"/>
          <w:szCs w:val="36"/>
        </w:rPr>
        <w:t xml:space="preserve"> </w:t>
      </w:r>
      <w:r>
        <w:rPr>
          <w:rFonts w:hint="eastAsia" w:ascii="华文楷体" w:hAnsi="华文楷体" w:eastAsia="华文楷体" w:cs="华文楷体"/>
          <w:b/>
          <w:bCs/>
          <w:kern w:val="0"/>
          <w:sz w:val="36"/>
          <w:szCs w:val="36"/>
        </w:rPr>
        <w:t>报</w:t>
      </w:r>
      <w:r>
        <w:rPr>
          <w:rFonts w:ascii="华文楷体" w:hAnsi="华文楷体" w:eastAsia="华文楷体" w:cs="华文楷体"/>
          <w:b/>
          <w:bCs/>
          <w:kern w:val="0"/>
          <w:sz w:val="36"/>
          <w:szCs w:val="36"/>
        </w:rPr>
        <w:t xml:space="preserve"> </w:t>
      </w:r>
      <w:r>
        <w:rPr>
          <w:rFonts w:hint="eastAsia" w:ascii="华文楷体" w:hAnsi="华文楷体" w:eastAsia="华文楷体" w:cs="华文楷体"/>
          <w:b/>
          <w:bCs/>
          <w:kern w:val="0"/>
          <w:sz w:val="36"/>
          <w:szCs w:val="36"/>
        </w:rPr>
        <w:t>告</w:t>
      </w:r>
    </w:p>
    <w:p w14:paraId="0ECC351D">
      <w:pPr>
        <w:jc w:val="center"/>
        <w:rPr>
          <w:kern w:val="0"/>
        </w:rPr>
      </w:pPr>
    </w:p>
    <w:tbl>
      <w:tblPr>
        <w:tblStyle w:val="4"/>
        <w:tblW w:w="9679" w:type="dxa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79"/>
      </w:tblGrid>
      <w:tr w14:paraId="6ED6A65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exact"/>
          <w:jc w:val="center"/>
        </w:trPr>
        <w:tc>
          <w:tcPr>
            <w:tcW w:w="9679" w:type="dxa"/>
            <w:noWrap w:val="0"/>
            <w:vAlign w:val="bottom"/>
          </w:tcPr>
          <w:p>
            <w:r>
              <w:t>专业 ________    班级 ________    姓名 ________    学号 ________________</w:t>
            </w:r>
          </w:p>
        </w:tc>
      </w:tr>
      <w:tr w14:paraId="78AF770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exact"/>
          <w:jc w:val="center"/>
        </w:trPr>
        <w:tc>
          <w:tcPr>
            <w:tcW w:w="9679" w:type="dxa"/>
            <w:noWrap w:val="0"/>
            <w:vAlign w:val="bottom"/>
          </w:tcPr>
          <w:p>
            <w:r>
              <w:t>课程名称 微控制器与嵌入式系统实验              实验名称 实验五 串口通讯与 A/D 转换</w:t>
            </w:r>
          </w:p>
        </w:tc>
      </w:tr>
      <w:tr w14:paraId="1D4F606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exact"/>
          <w:jc w:val="center"/>
        </w:trPr>
        <w:tc>
          <w:tcPr>
            <w:tcW w:w="9679" w:type="dxa"/>
            <w:noWrap w:val="0"/>
            <w:vAlign w:val="bottom"/>
          </w:tcPr>
          <w:p>
            <w:r>
              <w:t>地点 TDX-PITE实验平台 / Proteus仿真    台号 ______    指导教师 ________    日期 ________</w:t>
            </w:r>
          </w:p>
        </w:tc>
      </w:tr>
    </w:tbl>
    <w:p w14:paraId="0C269447">
      <w:pPr>
        <w:jc w:val="center"/>
        <w:rPr>
          <w:kern w:val="0"/>
        </w:rPr>
      </w:pPr>
    </w:p>
    <w:p w14:paraId="742DA5A9">
      <w:pPr>
        <w:rPr>
          <w:kern w:val="0"/>
        </w:rPr>
      </w:pPr>
    </w:p>
    <w:tbl>
      <w:tblPr>
        <w:tblStyle w:val="4"/>
        <w:tblW w:w="967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79"/>
      </w:tblGrid>
      <w:tr w14:paraId="74089A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75" w:hRule="atLeast"/>
          <w:jc w:val="center"/>
        </w:trPr>
        <w:tc>
          <w:tcPr>
            <w:tcW w:w="9679" w:type="dxa"/>
            <w:noWrap w:val="0"/>
            <w:vAlign w:val="top"/>
          </w:tcPr>
          <w:p>
            <w:r/>
          </w:p>
          <w:p>
            <w:pPr>
              <w:spacing w:line="360" w:lineRule="auto" w:before="160"/>
              <w:ind w:firstLine="0"/>
              <w:jc w:val="left"/>
            </w:pPr>
            <w:r>
              <w:rPr>
                <w:rFonts w:ascii="黑体" w:hAnsi="黑体" w:eastAsia="黑体"/>
                <w:b/>
                <w:sz w:val="28"/>
              </w:rPr>
              <w:t>一、实验内容、目的与要求</w:t>
            </w:r>
          </w:p>
          <w:p>
            <w:pPr>
              <w:spacing w:line="360" w:lineRule="auto"/>
              <w:ind w:firstLine="420"/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本实验对应《2026微控制器与嵌入式系统实验任务书（适用于自动化、测控2024级）》中的实验五“串口通讯与 A/D 转换实验”。基本题包括《单片机实验指导.pdf》3.7 串口通讯实验和 A/D 转换实验。任务书中把 A/D 写为 4.3，但本指导书 4.2 为 A/D 转换、4.3 为 D/A 转换，因此本报告按指导书 4.2 A/D 转换完成。提高题要求把 A/D 转换数据实时发送到上位机，并在下位机实时显示当前 A/D 值，同时由上位机控制转换值的显示精度。</w:t>
            </w:r>
          </w:p>
          <w:p>
            <w:pPr>
              <w:spacing w:line="360" w:lineRule="auto"/>
              <w:ind w:firstLine="420"/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实验目的包括：掌握 MCS-51 串行口方式 1 的工作过程，理解 SCON、SBUF、RI、TI、SMOD 与定时器 1 波特率发生器之间的关系；掌握 ADC0809 的启动转换、忙信号等待和转换结果读取方法；能够把采样、显示、串口通信和上位机命令解析组织为一个完整的嵌入式数据采集程序。</w:t>
            </w:r>
          </w:p>
          <w:p>
            <w:pPr>
              <w:spacing w:line="360" w:lineRule="auto"/>
              <w:ind w:firstLine="420"/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实验要求是分别完成串口发送基本题、ADC0809 采样基本题和 ADC+串口综合提高题。程序应能在 Keil C51 环境下正确编译，在 Proteus 或实验箱环境中可观察到串口输出、端口采样值变化和精度控制命令响应。</w:t>
            </w:r>
          </w:p>
          <w:p>
            <w:pPr>
              <w:spacing w:line="360" w:lineRule="auto" w:before="160"/>
              <w:ind w:firstLine="0"/>
              <w:jc w:val="left"/>
            </w:pPr>
            <w:r>
              <w:rPr>
                <w:rFonts w:ascii="黑体" w:hAnsi="黑体" w:eastAsia="黑体"/>
                <w:b/>
                <w:sz w:val="28"/>
              </w:rPr>
              <w:t>二、实验硬件与软件环境条件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3226"/>
              <w:gridCol w:w="3226"/>
              <w:gridCol w:w="3226"/>
            </w:tblGrid>
            <w:tr>
              <w:tc>
                <w:tcPr>
                  <w:tcW w:type="dxa" w:w="3226"/>
                </w:tcPr>
                <w:p>
                  <w:pPr>
                    <w:spacing w:line="276" w:lineRule="auto"/>
                    <w:jc w:val="center"/>
                  </w:pPr>
                  <w:r>
                    <w:rPr>
                      <w:rFonts w:ascii="仿宋_GB2312" w:hAnsi="仿宋_GB2312" w:eastAsia="仿宋_GB2312"/>
                      <w:b w:val="0"/>
                      <w:sz w:val="18"/>
                    </w:rPr>
                    <w:t>类别</w:t>
                  </w:r>
                </w:p>
              </w:tc>
              <w:tc>
                <w:tcPr>
                  <w:tcW w:type="dxa" w:w="3226"/>
                </w:tcPr>
                <w:p>
                  <w:pPr>
                    <w:spacing w:line="276" w:lineRule="auto"/>
                    <w:jc w:val="center"/>
                  </w:pPr>
                  <w:r>
                    <w:rPr>
                      <w:rFonts w:ascii="仿宋_GB2312" w:hAnsi="仿宋_GB2312" w:eastAsia="仿宋_GB2312"/>
                      <w:b w:val="0"/>
                      <w:sz w:val="18"/>
                    </w:rPr>
                    <w:t>名称</w:t>
                  </w:r>
                </w:p>
              </w:tc>
              <w:tc>
                <w:tcPr>
                  <w:tcW w:type="dxa" w:w="3226"/>
                </w:tcPr>
                <w:p>
                  <w:pPr>
                    <w:spacing w:line="276" w:lineRule="auto"/>
                    <w:jc w:val="center"/>
                  </w:pPr>
                  <w:r>
                    <w:rPr>
                      <w:rFonts w:ascii="仿宋_GB2312" w:hAnsi="仿宋_GB2312" w:eastAsia="仿宋_GB2312"/>
                      <w:b w:val="0"/>
                      <w:sz w:val="18"/>
                    </w:rPr>
                    <w:t>作用</w:t>
                  </w:r>
                </w:p>
              </w:tc>
            </w:tr>
            <w:tr>
              <w:tc>
                <w:tcPr>
                  <w:tcW w:type="dxa" w:w="3226"/>
                </w:tcPr>
                <w:p>
                  <w:pPr>
                    <w:spacing w:line="276" w:lineRule="auto"/>
                    <w:jc w:val="center"/>
                  </w:pPr>
                  <w:r>
                    <w:rPr>
                      <w:rFonts w:ascii="仿宋_GB2312" w:hAnsi="仿宋_GB2312" w:eastAsia="仿宋_GB2312"/>
                      <w:b w:val="0"/>
                      <w:sz w:val="18"/>
                    </w:rPr>
                    <w:t>硬件</w:t>
                  </w:r>
                </w:p>
              </w:tc>
              <w:tc>
                <w:tcPr>
                  <w:tcW w:type="dxa" w:w="3226"/>
                </w:tcPr>
                <w:p>
                  <w:pPr>
                    <w:spacing w:line="276" w:lineRule="auto"/>
                    <w:jc w:val="center"/>
                  </w:pPr>
                  <w:r>
                    <w:rPr>
                      <w:rFonts w:ascii="仿宋_GB2312" w:hAnsi="仿宋_GB2312" w:eastAsia="仿宋_GB2312"/>
                      <w:b w:val="0"/>
                      <w:sz w:val="18"/>
                    </w:rPr>
                    <w:t>TDX-PITE 教学实验系统 / TD-51 单片机平台</w:t>
                  </w:r>
                </w:p>
              </w:tc>
              <w:tc>
                <w:tcPr>
                  <w:tcW w:type="dxa" w:w="3226"/>
                </w:tcPr>
                <w:p>
                  <w:pPr>
                    <w:spacing w:line="276" w:lineRule="auto"/>
                    <w:jc w:val="center"/>
                  </w:pPr>
                  <w:r>
                    <w:rPr>
                      <w:rFonts w:ascii="仿宋_GB2312" w:hAnsi="仿宋_GB2312" w:eastAsia="仿宋_GB2312"/>
                      <w:b w:val="0"/>
                      <w:sz w:val="18"/>
                    </w:rPr>
                    <w:t>提供 MCS-51 核心板、端口扩展和实验模块连接条件</w:t>
                  </w:r>
                </w:p>
              </w:tc>
            </w:tr>
            <w:tr>
              <w:tc>
                <w:tcPr>
                  <w:tcW w:type="dxa" w:w="3226"/>
                </w:tcPr>
                <w:p>
                  <w:pPr>
                    <w:spacing w:line="276" w:lineRule="auto"/>
                    <w:jc w:val="center"/>
                  </w:pPr>
                  <w:r>
                    <w:rPr>
                      <w:rFonts w:ascii="仿宋_GB2312" w:hAnsi="仿宋_GB2312" w:eastAsia="仿宋_GB2312"/>
                      <w:b w:val="0"/>
                      <w:sz w:val="18"/>
                    </w:rPr>
                    <w:t>硬件</w:t>
                  </w:r>
                </w:p>
              </w:tc>
              <w:tc>
                <w:tcPr>
                  <w:tcW w:type="dxa" w:w="3226"/>
                </w:tcPr>
                <w:p>
                  <w:pPr>
                    <w:spacing w:line="276" w:lineRule="auto"/>
                    <w:jc w:val="center"/>
                  </w:pPr>
                  <w:r>
                    <w:rPr>
                      <w:rFonts w:ascii="仿宋_GB2312" w:hAnsi="仿宋_GB2312" w:eastAsia="仿宋_GB2312"/>
                      <w:b w:val="0"/>
                      <w:sz w:val="18"/>
                    </w:rPr>
                    <w:t>RS-232 或串口通信模块</w:t>
                  </w:r>
                </w:p>
              </w:tc>
              <w:tc>
                <w:tcPr>
                  <w:tcW w:type="dxa" w:w="3226"/>
                </w:tcPr>
                <w:p>
                  <w:pPr>
                    <w:spacing w:line="276" w:lineRule="auto"/>
                    <w:jc w:val="center"/>
                  </w:pPr>
                  <w:r>
                    <w:rPr>
                      <w:rFonts w:ascii="仿宋_GB2312" w:hAnsi="仿宋_GB2312" w:eastAsia="仿宋_GB2312"/>
                      <w:b w:val="0"/>
                      <w:sz w:val="18"/>
                    </w:rPr>
                    <w:t>完成单片机 TXD/RXD 与上位机串口之间的电平转换和数据传输</w:t>
                  </w:r>
                </w:p>
              </w:tc>
            </w:tr>
            <w:tr>
              <w:tc>
                <w:tcPr>
                  <w:tcW w:type="dxa" w:w="3226"/>
                </w:tcPr>
                <w:p>
                  <w:pPr>
                    <w:spacing w:line="276" w:lineRule="auto"/>
                    <w:jc w:val="center"/>
                  </w:pPr>
                  <w:r>
                    <w:rPr>
                      <w:rFonts w:ascii="仿宋_GB2312" w:hAnsi="仿宋_GB2312" w:eastAsia="仿宋_GB2312"/>
                      <w:b w:val="0"/>
                      <w:sz w:val="18"/>
                    </w:rPr>
                    <w:t>硬件</w:t>
                  </w:r>
                </w:p>
              </w:tc>
              <w:tc>
                <w:tcPr>
                  <w:tcW w:type="dxa" w:w="3226"/>
                </w:tcPr>
                <w:p>
                  <w:pPr>
                    <w:spacing w:line="276" w:lineRule="auto"/>
                    <w:jc w:val="center"/>
                  </w:pPr>
                  <w:r>
                    <w:rPr>
                      <w:rFonts w:ascii="仿宋_GB2312" w:hAnsi="仿宋_GB2312" w:eastAsia="仿宋_GB2312"/>
                      <w:b w:val="0"/>
                      <w:sz w:val="18"/>
                    </w:rPr>
                    <w:t>ADC0809 A/D 转换模块</w:t>
                  </w:r>
                </w:p>
              </w:tc>
              <w:tc>
                <w:tcPr>
                  <w:tcW w:type="dxa" w:w="3226"/>
                </w:tcPr>
                <w:p>
                  <w:pPr>
                    <w:spacing w:line="276" w:lineRule="auto"/>
                    <w:jc w:val="center"/>
                  </w:pPr>
                  <w:r>
                    <w:rPr>
                      <w:rFonts w:ascii="仿宋_GB2312" w:hAnsi="仿宋_GB2312" w:eastAsia="仿宋_GB2312"/>
                      <w:b w:val="0"/>
                      <w:sz w:val="18"/>
                    </w:rPr>
                    <w:t>把 0-5 V 模拟量转换为 8 位数字量</w:t>
                  </w:r>
                </w:p>
              </w:tc>
            </w:tr>
            <w:tr>
              <w:tc>
                <w:tcPr>
                  <w:tcW w:type="dxa" w:w="3226"/>
                </w:tcPr>
                <w:p>
                  <w:pPr>
                    <w:spacing w:line="276" w:lineRule="auto"/>
                    <w:jc w:val="center"/>
                  </w:pPr>
                  <w:r>
                    <w:rPr>
                      <w:rFonts w:ascii="仿宋_GB2312" w:hAnsi="仿宋_GB2312" w:eastAsia="仿宋_GB2312"/>
                      <w:b w:val="0"/>
                      <w:sz w:val="18"/>
                    </w:rPr>
                    <w:t>硬件</w:t>
                  </w:r>
                </w:p>
              </w:tc>
              <w:tc>
                <w:tcPr>
                  <w:tcW w:type="dxa" w:w="3226"/>
                </w:tcPr>
                <w:p>
                  <w:pPr>
                    <w:spacing w:line="276" w:lineRule="auto"/>
                    <w:jc w:val="center"/>
                  </w:pPr>
                  <w:r>
                    <w:rPr>
                      <w:rFonts w:ascii="仿宋_GB2312" w:hAnsi="仿宋_GB2312" w:eastAsia="仿宋_GB2312"/>
                      <w:b w:val="0"/>
                      <w:sz w:val="18"/>
                    </w:rPr>
                    <w:t>数码管、LED 或端口观察窗口</w:t>
                  </w:r>
                </w:p>
              </w:tc>
              <w:tc>
                <w:tcPr>
                  <w:tcW w:type="dxa" w:w="3226"/>
                </w:tcPr>
                <w:p>
                  <w:pPr>
                    <w:spacing w:line="276" w:lineRule="auto"/>
                    <w:jc w:val="center"/>
                  </w:pPr>
                  <w:r>
                    <w:rPr>
                      <w:rFonts w:ascii="仿宋_GB2312" w:hAnsi="仿宋_GB2312" w:eastAsia="仿宋_GB2312"/>
                      <w:b w:val="0"/>
                      <w:sz w:val="18"/>
                    </w:rPr>
                    <w:t>显示当前 A/D 原始采样值或调试端口状态</w:t>
                  </w:r>
                </w:p>
              </w:tc>
            </w:tr>
            <w:tr>
              <w:tc>
                <w:tcPr>
                  <w:tcW w:type="dxa" w:w="3226"/>
                </w:tcPr>
                <w:p>
                  <w:pPr>
                    <w:spacing w:line="276" w:lineRule="auto"/>
                    <w:jc w:val="center"/>
                  </w:pPr>
                  <w:r>
                    <w:rPr>
                      <w:rFonts w:ascii="仿宋_GB2312" w:hAnsi="仿宋_GB2312" w:eastAsia="仿宋_GB2312"/>
                      <w:b w:val="0"/>
                      <w:sz w:val="18"/>
                    </w:rPr>
                    <w:t>软件</w:t>
                  </w:r>
                </w:p>
              </w:tc>
              <w:tc>
                <w:tcPr>
                  <w:tcW w:type="dxa" w:w="3226"/>
                </w:tcPr>
                <w:p>
                  <w:pPr>
                    <w:spacing w:line="276" w:lineRule="auto"/>
                    <w:jc w:val="center"/>
                  </w:pPr>
                  <w:r>
                    <w:rPr>
                      <w:rFonts w:ascii="仿宋_GB2312" w:hAnsi="仿宋_GB2312" w:eastAsia="仿宋_GB2312"/>
                      <w:b w:val="0"/>
                      <w:sz w:val="18"/>
                    </w:rPr>
                    <w:t>Keil uVision5 + PK51 C51</w:t>
                  </w:r>
                </w:p>
              </w:tc>
              <w:tc>
                <w:tcPr>
                  <w:tcW w:type="dxa" w:w="3226"/>
                </w:tcPr>
                <w:p>
                  <w:pPr>
                    <w:spacing w:line="276" w:lineRule="auto"/>
                    <w:jc w:val="center"/>
                  </w:pPr>
                  <w:r>
                    <w:rPr>
                      <w:rFonts w:ascii="仿宋_GB2312" w:hAnsi="仿宋_GB2312" w:eastAsia="仿宋_GB2312"/>
                      <w:b w:val="0"/>
                      <w:sz w:val="18"/>
                    </w:rPr>
                    <w:t>编写、编译、调试 8051 C 程序</w:t>
                  </w:r>
                </w:p>
              </w:tc>
            </w:tr>
            <w:tr>
              <w:tc>
                <w:tcPr>
                  <w:tcW w:type="dxa" w:w="3226"/>
                </w:tcPr>
                <w:p>
                  <w:pPr>
                    <w:spacing w:line="276" w:lineRule="auto"/>
                    <w:jc w:val="center"/>
                  </w:pPr>
                  <w:r>
                    <w:rPr>
                      <w:rFonts w:ascii="仿宋_GB2312" w:hAnsi="仿宋_GB2312" w:eastAsia="仿宋_GB2312"/>
                      <w:b w:val="0"/>
                      <w:sz w:val="18"/>
                    </w:rPr>
                    <w:t>软件</w:t>
                  </w:r>
                </w:p>
              </w:tc>
              <w:tc>
                <w:tcPr>
                  <w:tcW w:type="dxa" w:w="3226"/>
                </w:tcPr>
                <w:p>
                  <w:pPr>
                    <w:spacing w:line="276" w:lineRule="auto"/>
                    <w:jc w:val="center"/>
                  </w:pPr>
                  <w:r>
                    <w:rPr>
                      <w:rFonts w:ascii="仿宋_GB2312" w:hAnsi="仿宋_GB2312" w:eastAsia="仿宋_GB2312"/>
                      <w:b w:val="0"/>
                      <w:sz w:val="18"/>
                    </w:rPr>
                    <w:t>Proteus 8 Professional / 串口调试助手</w:t>
                  </w:r>
                </w:p>
              </w:tc>
              <w:tc>
                <w:tcPr>
                  <w:tcW w:type="dxa" w:w="3226"/>
                </w:tcPr>
                <w:p>
                  <w:pPr>
                    <w:spacing w:line="276" w:lineRule="auto"/>
                    <w:jc w:val="center"/>
                  </w:pPr>
                  <w:r>
                    <w:rPr>
                      <w:rFonts w:ascii="仿宋_GB2312" w:hAnsi="仿宋_GB2312" w:eastAsia="仿宋_GB2312"/>
                      <w:b w:val="0"/>
                      <w:sz w:val="18"/>
                    </w:rPr>
                    <w:t>完成仿真验证和上位机串口交互观察</w:t>
                  </w:r>
                </w:p>
              </w:tc>
            </w:tr>
          </w:tbl>
          <w:p/>
          <w:p>
            <w:pPr>
              <w:spacing w:line="360" w:lineRule="auto"/>
              <w:ind w:firstLine="420"/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本实验形成 3 个源程序：EX5_Serial.c 用于串口基本题，EX5_ADC0809.c 用于 A/D 基本题，EX5_ADC_Serial_Advanced.c 用于提高题。三份程序均已使用 C51 编译器检查，结果为 0 个错误、0 个警告。</w:t>
            </w:r>
          </w:p>
          <w:p>
            <w:pPr>
              <w:spacing w:line="360" w:lineRule="auto" w:before="160"/>
              <w:ind w:firstLine="0"/>
              <w:jc w:val="left"/>
            </w:pPr>
            <w:r>
              <w:rPr>
                <w:rFonts w:ascii="黑体" w:hAnsi="黑体" w:eastAsia="黑体"/>
                <w:b/>
                <w:sz w:val="28"/>
              </w:rPr>
              <w:t>三、实验原理</w:t>
            </w:r>
          </w:p>
          <w:p>
            <w:pPr>
              <w:spacing w:line="360" w:lineRule="auto" w:before="80"/>
              <w:ind w:firstLine="0"/>
              <w:jc w:val="left"/>
            </w:pPr>
            <w:r>
              <w:rPr>
                <w:rFonts w:ascii="黑体" w:hAnsi="黑体" w:eastAsia="黑体"/>
                <w:b/>
                <w:sz w:val="22"/>
              </w:rPr>
              <w:t>1. 串口通讯原理</w:t>
            </w:r>
          </w:p>
          <w:p>
            <w:pPr>
              <w:spacing w:line="360" w:lineRule="auto"/>
              <w:ind w:firstLine="420"/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MCS-51 串口方式 1 为 10 位异步通信格式，包括 1 位起始位、8 位数据位和 1 位停止位。发送时软件把待发送字节写入 SBUF，硬件自动移位输出，发送完成后置位 TI；接收时硬件把接收到的数据放入 SBUF，并置位 RI。本实验采用查询方式，发送函数在写 SBUF 后等待 TI 置位，再清零 TI，保证相邻字符不会覆盖。</w:t>
            </w:r>
          </w:p>
          <w:p>
            <w:pPr>
              <w:spacing w:line="360" w:lineRule="auto"/>
              <w:ind w:firstLine="420"/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方式 1 的波特率通常由定时器 1 溢出率决定。指导书推荐晶振 11.0592 MHz、定时器 1 方式 2 自动重装、TH1=0xFD、SMOD=1，此时波特率约为 19200 bps。程序中 SCON=0x50 表示串口方式 1 且允许接收，PCON=0x80 置 SMOD=1，TMOD 高四位配置定时器 1 为方式 2。</w:t>
            </w:r>
          </w:p>
          <w:p>
            <w:pPr>
              <w:spacing w:line="360" w:lineRule="auto" w:before="80"/>
              <w:ind w:firstLine="0"/>
              <w:jc w:val="left"/>
            </w:pPr>
            <w:r>
              <w:rPr>
                <w:rFonts w:ascii="黑体" w:hAnsi="黑体" w:eastAsia="黑体"/>
                <w:b/>
                <w:sz w:val="22"/>
              </w:rPr>
              <w:t>2. A/D 转换原理</w:t>
            </w:r>
          </w:p>
          <w:p>
            <w:pPr>
              <w:spacing w:line="360" w:lineRule="auto"/>
              <w:ind w:firstLine="420"/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ADC0809 是 8 位逐次逼近型 A/D 转换器，转换结果范围为 0-255。若参考电压为 5 V，则理论分辨率为 5/255=0.01961 V，即约 19.6 mV/LSB。输入电压与数字量近似满足 Uin = AD / 255 x 5.000 V。</w:t>
            </w:r>
          </w:p>
          <w:p>
            <w:pPr>
              <w:spacing w:line="360" w:lineRule="auto"/>
              <w:ind w:firstLine="420"/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本实验按照指导书地址映射访问 ADC0809：STARTAD=XBYTE[0x7F00] 用于启动转换，ADRESULT=XBYTE[0x7F08] 用于读取转换结果，ADBUSY=P3.3 作为忙信号。程序向 STARTAD 写任意值后启动转换，等待忙信号结束，再从 ADRESULT 取出 8 位采样值。</w:t>
            </w:r>
          </w:p>
          <w:p>
            <w:pPr>
              <w:spacing w:line="360" w:lineRule="auto" w:before="80"/>
              <w:ind w:firstLine="0"/>
              <w:jc w:val="left"/>
            </w:pPr>
            <w:r>
              <w:rPr>
                <w:rFonts w:ascii="黑体" w:hAnsi="黑体" w:eastAsia="黑体"/>
                <w:b/>
                <w:sz w:val="22"/>
              </w:rPr>
              <w:t>3. 提高题综合控制思路</w:t>
            </w:r>
          </w:p>
          <w:p>
            <w:pPr>
              <w:spacing w:line="360" w:lineRule="auto"/>
              <w:ind w:firstLine="420"/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提高题把 ADC 采样值同时用于三处：一是送 P2 作为端口观察值；二是分解为百位、十位和个位，通过 P0 段码与 P1 位选扫描到数码管；三是换算为电压文本，经串口发送到上位机。上位机发送字符 0、1、2、3 时，程序改变 precision 变量，从而控制电压文本保留的小数位数。</w:t>
            </w:r>
          </w:p>
          <w:p>
            <w:pPr>
              <w:spacing w:line="360" w:lineRule="auto" w:before="160"/>
              <w:ind w:firstLine="0"/>
              <w:jc w:val="left"/>
            </w:pPr>
            <w:r>
              <w:rPr>
                <w:rFonts w:ascii="黑体" w:hAnsi="黑体" w:eastAsia="黑体"/>
                <w:b/>
                <w:sz w:val="28"/>
              </w:rPr>
              <w:t>四、实验线路示图与端口说明</w:t>
            </w:r>
          </w:p>
          <w:p>
            <w:pPr>
              <w:spacing w:line="360" w:lineRule="auto"/>
              <w:ind w:firstLine="420"/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串口实验线路为：单片机 P3.1/TXD 连接串口发送通道，P3.0/RXD 连接串口接收通道，经 MAX232 或实验箱电平转换模块与 PC 串口相连。仿真时可直接连接 Virtual Terminal 或使用 Keil Serial Window #1 观察收发数据。</w:t>
            </w:r>
          </w:p>
          <w:p>
            <w:pPr>
              <w:spacing w:line="360" w:lineRule="auto"/>
              <w:ind w:firstLine="420"/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A/D 实验线路为：可调模拟电压接入 ADC0809 的模拟输入端，ADC0809 的数据总线接单片机外部数据总线，片选和启动控制由实验箱译码电路映射到 0x7F00 与 0x7F08。P3.3 连接 ADBUSY，用于判断转换是否完成。提高题中 P0 用作数码管段码，P1 低三位用作三位数码管位选，P2 输出 ADC 原始值，便于在端口窗口或逻辑分析仪中观察。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3226"/>
              <w:gridCol w:w="3226"/>
              <w:gridCol w:w="3226"/>
            </w:tblGrid>
            <w:tr>
              <w:tc>
                <w:tcPr>
                  <w:tcW w:type="dxa" w:w="3226"/>
                </w:tcPr>
                <w:p>
                  <w:pPr>
                    <w:spacing w:line="276" w:lineRule="auto"/>
                    <w:jc w:val="center"/>
                  </w:pPr>
                  <w:r>
                    <w:rPr>
                      <w:rFonts w:ascii="仿宋_GB2312" w:hAnsi="仿宋_GB2312" w:eastAsia="仿宋_GB2312"/>
                      <w:b w:val="0"/>
                      <w:sz w:val="18"/>
                    </w:rPr>
                    <w:t>信号/变量</w:t>
                  </w:r>
                </w:p>
              </w:tc>
              <w:tc>
                <w:tcPr>
                  <w:tcW w:type="dxa" w:w="3226"/>
                </w:tcPr>
                <w:p>
                  <w:pPr>
                    <w:spacing w:line="276" w:lineRule="auto"/>
                    <w:jc w:val="center"/>
                  </w:pPr>
                  <w:r>
                    <w:rPr>
                      <w:rFonts w:ascii="仿宋_GB2312" w:hAnsi="仿宋_GB2312" w:eastAsia="仿宋_GB2312"/>
                      <w:b w:val="0"/>
                      <w:sz w:val="18"/>
                    </w:rPr>
                    <w:t>连接或含义</w:t>
                  </w:r>
                </w:p>
              </w:tc>
              <w:tc>
                <w:tcPr>
                  <w:tcW w:type="dxa" w:w="3226"/>
                </w:tcPr>
                <w:p>
                  <w:pPr>
                    <w:spacing w:line="276" w:lineRule="auto"/>
                    <w:jc w:val="center"/>
                  </w:pPr>
                  <w:r>
                    <w:rPr>
                      <w:rFonts w:ascii="仿宋_GB2312" w:hAnsi="仿宋_GB2312" w:eastAsia="仿宋_GB2312"/>
                      <w:b w:val="0"/>
                      <w:sz w:val="18"/>
                    </w:rPr>
                    <w:t>实验作用</w:t>
                  </w:r>
                </w:p>
              </w:tc>
            </w:tr>
            <w:tr>
              <w:tc>
                <w:tcPr>
                  <w:tcW w:type="dxa" w:w="3226"/>
                </w:tcPr>
                <w:p>
                  <w:pPr>
                    <w:spacing w:line="276" w:lineRule="auto"/>
                    <w:jc w:val="center"/>
                  </w:pPr>
                  <w:r>
                    <w:rPr>
                      <w:rFonts w:ascii="仿宋_GB2312" w:hAnsi="仿宋_GB2312" w:eastAsia="仿宋_GB2312"/>
                      <w:b w:val="0"/>
                      <w:sz w:val="18"/>
                    </w:rPr>
                    <w:t>TXD/RXD</w:t>
                  </w:r>
                </w:p>
              </w:tc>
              <w:tc>
                <w:tcPr>
                  <w:tcW w:type="dxa" w:w="3226"/>
                </w:tcPr>
                <w:p>
                  <w:pPr>
                    <w:spacing w:line="276" w:lineRule="auto"/>
                    <w:jc w:val="center"/>
                  </w:pPr>
                  <w:r>
                    <w:rPr>
                      <w:rFonts w:ascii="仿宋_GB2312" w:hAnsi="仿宋_GB2312" w:eastAsia="仿宋_GB2312"/>
                      <w:b w:val="0"/>
                      <w:sz w:val="18"/>
                    </w:rPr>
                    <w:t>P3.1/P3.0</w:t>
                  </w:r>
                </w:p>
              </w:tc>
              <w:tc>
                <w:tcPr>
                  <w:tcW w:type="dxa" w:w="3226"/>
                </w:tcPr>
                <w:p>
                  <w:pPr>
                    <w:spacing w:line="276" w:lineRule="auto"/>
                    <w:jc w:val="center"/>
                  </w:pPr>
                  <w:r>
                    <w:rPr>
                      <w:rFonts w:ascii="仿宋_GB2312" w:hAnsi="仿宋_GB2312" w:eastAsia="仿宋_GB2312"/>
                      <w:b w:val="0"/>
                      <w:sz w:val="18"/>
                    </w:rPr>
                    <w:t>与上位机交换文本命令和采样数据</w:t>
                  </w:r>
                </w:p>
              </w:tc>
            </w:tr>
            <w:tr>
              <w:tc>
                <w:tcPr>
                  <w:tcW w:type="dxa" w:w="3226"/>
                </w:tcPr>
                <w:p>
                  <w:pPr>
                    <w:spacing w:line="276" w:lineRule="auto"/>
                    <w:jc w:val="center"/>
                  </w:pPr>
                  <w:r>
                    <w:rPr>
                      <w:rFonts w:ascii="仿宋_GB2312" w:hAnsi="仿宋_GB2312" w:eastAsia="仿宋_GB2312"/>
                      <w:b w:val="0"/>
                      <w:sz w:val="18"/>
                    </w:rPr>
                    <w:t>STARTAD</w:t>
                  </w:r>
                </w:p>
              </w:tc>
              <w:tc>
                <w:tcPr>
                  <w:tcW w:type="dxa" w:w="3226"/>
                </w:tcPr>
                <w:p>
                  <w:pPr>
                    <w:spacing w:line="276" w:lineRule="auto"/>
                    <w:jc w:val="center"/>
                  </w:pPr>
                  <w:r>
                    <w:rPr>
                      <w:rFonts w:ascii="仿宋_GB2312" w:hAnsi="仿宋_GB2312" w:eastAsia="仿宋_GB2312"/>
                      <w:b w:val="0"/>
                      <w:sz w:val="18"/>
                    </w:rPr>
                    <w:t>XBYTE[0x7F00]</w:t>
                  </w:r>
                </w:p>
              </w:tc>
              <w:tc>
                <w:tcPr>
                  <w:tcW w:type="dxa" w:w="3226"/>
                </w:tcPr>
                <w:p>
                  <w:pPr>
                    <w:spacing w:line="276" w:lineRule="auto"/>
                    <w:jc w:val="center"/>
                  </w:pPr>
                  <w:r>
                    <w:rPr>
                      <w:rFonts w:ascii="仿宋_GB2312" w:hAnsi="仿宋_GB2312" w:eastAsia="仿宋_GB2312"/>
                      <w:b w:val="0"/>
                      <w:sz w:val="18"/>
                    </w:rPr>
                    <w:t>启动 ADC0809 转换</w:t>
                  </w:r>
                </w:p>
              </w:tc>
            </w:tr>
            <w:tr>
              <w:tc>
                <w:tcPr>
                  <w:tcW w:type="dxa" w:w="3226"/>
                </w:tcPr>
                <w:p>
                  <w:pPr>
                    <w:spacing w:line="276" w:lineRule="auto"/>
                    <w:jc w:val="center"/>
                  </w:pPr>
                  <w:r>
                    <w:rPr>
                      <w:rFonts w:ascii="仿宋_GB2312" w:hAnsi="仿宋_GB2312" w:eastAsia="仿宋_GB2312"/>
                      <w:b w:val="0"/>
                      <w:sz w:val="18"/>
                    </w:rPr>
                    <w:t>ADRESULT</w:t>
                  </w:r>
                </w:p>
              </w:tc>
              <w:tc>
                <w:tcPr>
                  <w:tcW w:type="dxa" w:w="3226"/>
                </w:tcPr>
                <w:p>
                  <w:pPr>
                    <w:spacing w:line="276" w:lineRule="auto"/>
                    <w:jc w:val="center"/>
                  </w:pPr>
                  <w:r>
                    <w:rPr>
                      <w:rFonts w:ascii="仿宋_GB2312" w:hAnsi="仿宋_GB2312" w:eastAsia="仿宋_GB2312"/>
                      <w:b w:val="0"/>
                      <w:sz w:val="18"/>
                    </w:rPr>
                    <w:t>XBYTE[0x7F08]</w:t>
                  </w:r>
                </w:p>
              </w:tc>
              <w:tc>
                <w:tcPr>
                  <w:tcW w:type="dxa" w:w="3226"/>
                </w:tcPr>
                <w:p>
                  <w:pPr>
                    <w:spacing w:line="276" w:lineRule="auto"/>
                    <w:jc w:val="center"/>
                  </w:pPr>
                  <w:r>
                    <w:rPr>
                      <w:rFonts w:ascii="仿宋_GB2312" w:hAnsi="仿宋_GB2312" w:eastAsia="仿宋_GB2312"/>
                      <w:b w:val="0"/>
                      <w:sz w:val="18"/>
                    </w:rPr>
                    <w:t>读取 ADC0809 转换结果</w:t>
                  </w:r>
                </w:p>
              </w:tc>
            </w:tr>
            <w:tr>
              <w:tc>
                <w:tcPr>
                  <w:tcW w:type="dxa" w:w="3226"/>
                </w:tcPr>
                <w:p>
                  <w:pPr>
                    <w:spacing w:line="276" w:lineRule="auto"/>
                    <w:jc w:val="center"/>
                  </w:pPr>
                  <w:r>
                    <w:rPr>
                      <w:rFonts w:ascii="仿宋_GB2312" w:hAnsi="仿宋_GB2312" w:eastAsia="仿宋_GB2312"/>
                      <w:b w:val="0"/>
                      <w:sz w:val="18"/>
                    </w:rPr>
                    <w:t>ADBUSY</w:t>
                  </w:r>
                </w:p>
              </w:tc>
              <w:tc>
                <w:tcPr>
                  <w:tcW w:type="dxa" w:w="3226"/>
                </w:tcPr>
                <w:p>
                  <w:pPr>
                    <w:spacing w:line="276" w:lineRule="auto"/>
                    <w:jc w:val="center"/>
                  </w:pPr>
                  <w:r>
                    <w:rPr>
                      <w:rFonts w:ascii="仿宋_GB2312" w:hAnsi="仿宋_GB2312" w:eastAsia="仿宋_GB2312"/>
                      <w:b w:val="0"/>
                      <w:sz w:val="18"/>
                    </w:rPr>
                    <w:t>P3.3</w:t>
                  </w:r>
                </w:p>
              </w:tc>
              <w:tc>
                <w:tcPr>
                  <w:tcW w:type="dxa" w:w="3226"/>
                </w:tcPr>
                <w:p>
                  <w:pPr>
                    <w:spacing w:line="276" w:lineRule="auto"/>
                    <w:jc w:val="center"/>
                  </w:pPr>
                  <w:r>
                    <w:rPr>
                      <w:rFonts w:ascii="仿宋_GB2312" w:hAnsi="仿宋_GB2312" w:eastAsia="仿宋_GB2312"/>
                      <w:b w:val="0"/>
                      <w:sz w:val="18"/>
                    </w:rPr>
                    <w:t>判断 A/D 转换是否完成</w:t>
                  </w:r>
                </w:p>
              </w:tc>
            </w:tr>
            <w:tr>
              <w:tc>
                <w:tcPr>
                  <w:tcW w:type="dxa" w:w="3226"/>
                </w:tcPr>
                <w:p>
                  <w:pPr>
                    <w:spacing w:line="276" w:lineRule="auto"/>
                    <w:jc w:val="center"/>
                  </w:pPr>
                  <w:r>
                    <w:rPr>
                      <w:rFonts w:ascii="仿宋_GB2312" w:hAnsi="仿宋_GB2312" w:eastAsia="仿宋_GB2312"/>
                      <w:b w:val="0"/>
                      <w:sz w:val="18"/>
                    </w:rPr>
                    <w:t>P0</w:t>
                  </w:r>
                </w:p>
              </w:tc>
              <w:tc>
                <w:tcPr>
                  <w:tcW w:type="dxa" w:w="3226"/>
                </w:tcPr>
                <w:p>
                  <w:pPr>
                    <w:spacing w:line="276" w:lineRule="auto"/>
                    <w:jc w:val="center"/>
                  </w:pPr>
                  <w:r>
                    <w:rPr>
                      <w:rFonts w:ascii="仿宋_GB2312" w:hAnsi="仿宋_GB2312" w:eastAsia="仿宋_GB2312"/>
                      <w:b w:val="0"/>
                      <w:sz w:val="18"/>
                    </w:rPr>
                    <w:t>数码管段码</w:t>
                  </w:r>
                </w:p>
              </w:tc>
              <w:tc>
                <w:tcPr>
                  <w:tcW w:type="dxa" w:w="3226"/>
                </w:tcPr>
                <w:p>
                  <w:pPr>
                    <w:spacing w:line="276" w:lineRule="auto"/>
                    <w:jc w:val="center"/>
                  </w:pPr>
                  <w:r>
                    <w:rPr>
                      <w:rFonts w:ascii="仿宋_GB2312" w:hAnsi="仿宋_GB2312" w:eastAsia="仿宋_GB2312"/>
                      <w:b w:val="0"/>
                      <w:sz w:val="18"/>
                    </w:rPr>
                    <w:t>显示 ADC 原始值的各位数字</w:t>
                  </w:r>
                </w:p>
              </w:tc>
            </w:tr>
            <w:tr>
              <w:tc>
                <w:tcPr>
                  <w:tcW w:type="dxa" w:w="3226"/>
                </w:tcPr>
                <w:p>
                  <w:pPr>
                    <w:spacing w:line="276" w:lineRule="auto"/>
                    <w:jc w:val="center"/>
                  </w:pPr>
                  <w:r>
                    <w:rPr>
                      <w:rFonts w:ascii="仿宋_GB2312" w:hAnsi="仿宋_GB2312" w:eastAsia="仿宋_GB2312"/>
                      <w:b w:val="0"/>
                      <w:sz w:val="18"/>
                    </w:rPr>
                    <w:t>P1</w:t>
                  </w:r>
                </w:p>
              </w:tc>
              <w:tc>
                <w:tcPr>
                  <w:tcW w:type="dxa" w:w="3226"/>
                </w:tcPr>
                <w:p>
                  <w:pPr>
                    <w:spacing w:line="276" w:lineRule="auto"/>
                    <w:jc w:val="center"/>
                  </w:pPr>
                  <w:r>
                    <w:rPr>
                      <w:rFonts w:ascii="仿宋_GB2312" w:hAnsi="仿宋_GB2312" w:eastAsia="仿宋_GB2312"/>
                      <w:b w:val="0"/>
                      <w:sz w:val="18"/>
                    </w:rPr>
                    <w:t>数码管位选</w:t>
                  </w:r>
                </w:p>
              </w:tc>
              <w:tc>
                <w:tcPr>
                  <w:tcW w:type="dxa" w:w="3226"/>
                </w:tcPr>
                <w:p>
                  <w:pPr>
                    <w:spacing w:line="276" w:lineRule="auto"/>
                    <w:jc w:val="center"/>
                  </w:pPr>
                  <w:r>
                    <w:rPr>
                      <w:rFonts w:ascii="仿宋_GB2312" w:hAnsi="仿宋_GB2312" w:eastAsia="仿宋_GB2312"/>
                      <w:b w:val="0"/>
                      <w:sz w:val="18"/>
                    </w:rPr>
                    <w:t>动态选择百位、十位、个位</w:t>
                  </w:r>
                </w:p>
              </w:tc>
            </w:tr>
            <w:tr>
              <w:tc>
                <w:tcPr>
                  <w:tcW w:type="dxa" w:w="3226"/>
                </w:tcPr>
                <w:p>
                  <w:pPr>
                    <w:spacing w:line="276" w:lineRule="auto"/>
                    <w:jc w:val="center"/>
                  </w:pPr>
                  <w:r>
                    <w:rPr>
                      <w:rFonts w:ascii="仿宋_GB2312" w:hAnsi="仿宋_GB2312" w:eastAsia="仿宋_GB2312"/>
                      <w:b w:val="0"/>
                      <w:sz w:val="18"/>
                    </w:rPr>
                    <w:t>P2</w:t>
                  </w:r>
                </w:p>
              </w:tc>
              <w:tc>
                <w:tcPr>
                  <w:tcW w:type="dxa" w:w="3226"/>
                </w:tcPr>
                <w:p>
                  <w:pPr>
                    <w:spacing w:line="276" w:lineRule="auto"/>
                    <w:jc w:val="center"/>
                  </w:pPr>
                  <w:r>
                    <w:rPr>
                      <w:rFonts w:ascii="仿宋_GB2312" w:hAnsi="仿宋_GB2312" w:eastAsia="仿宋_GB2312"/>
                      <w:b w:val="0"/>
                      <w:sz w:val="18"/>
                    </w:rPr>
                    <w:t>8 位原始采样值</w:t>
                  </w:r>
                </w:p>
              </w:tc>
              <w:tc>
                <w:tcPr>
                  <w:tcW w:type="dxa" w:w="3226"/>
                </w:tcPr>
                <w:p>
                  <w:pPr>
                    <w:spacing w:line="276" w:lineRule="auto"/>
                    <w:jc w:val="center"/>
                  </w:pPr>
                  <w:r>
                    <w:rPr>
                      <w:rFonts w:ascii="仿宋_GB2312" w:hAnsi="仿宋_GB2312" w:eastAsia="仿宋_GB2312"/>
                      <w:b w:val="0"/>
                      <w:sz w:val="18"/>
                    </w:rPr>
                    <w:t>便于端口级调试和结果验证</w:t>
                  </w:r>
                </w:p>
              </w:tc>
            </w:tr>
          </w:tbl>
          <w:p/>
          <w:p>
            <w:pPr>
              <w:spacing w:line="360" w:lineRule="auto"/>
              <w:ind w:firstLine="420"/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算法流程图已整理在 EX5/Paper/实验五算法流程图_mermaid.md 中，包含串口发送、A/D 采样和提高题综合流程。</w:t>
            </w:r>
          </w:p>
          <w:p>
            <w:pPr>
              <w:spacing w:line="360" w:lineRule="auto" w:before="160"/>
              <w:ind w:firstLine="0"/>
              <w:jc w:val="left"/>
            </w:pPr>
            <w:r>
              <w:rPr>
                <w:rFonts w:ascii="黑体" w:hAnsi="黑体" w:eastAsia="黑体"/>
                <w:b/>
                <w:sz w:val="28"/>
              </w:rPr>
              <w:t>五、关键程序设计与分析</w:t>
            </w:r>
          </w:p>
          <w:p>
            <w:pPr>
              <w:spacing w:line="360" w:lineRule="auto" w:before="80"/>
              <w:ind w:firstLine="0"/>
              <w:jc w:val="left"/>
            </w:pPr>
            <w:r>
              <w:rPr>
                <w:rFonts w:ascii="黑体" w:hAnsi="黑体" w:eastAsia="黑体"/>
                <w:b/>
                <w:sz w:val="22"/>
              </w:rPr>
              <w:t>1. 串口初始化</w:t>
            </w:r>
          </w:p>
          <w:p>
            <w:pPr>
              <w:spacing w:line="360" w:lineRule="auto"/>
              <w:ind w:firstLine="420"/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uart_init() 中 SCON=0x50 使串口工作在方式 1 并允许接收；TMOD=(TMOD&amp;0x0F)|0x20 只修改定时器 1 的配置，避免破坏定时器 0；TH1=TL1=0xFD 设定自动重装初值；TR1=1 启动定时器 1；TI=1 使第一次调用 uart_putc() 时不被上一轮发送标志阻塞。</w:t>
            </w:r>
          </w:p>
          <w:p>
            <w:pPr>
              <w:spacing w:line="360" w:lineRule="auto" w:before="80"/>
              <w:ind w:firstLine="0"/>
              <w:jc w:val="left"/>
            </w:pPr>
            <w:r>
              <w:rPr>
                <w:rFonts w:ascii="黑体" w:hAnsi="黑体" w:eastAsia="黑体"/>
                <w:b/>
                <w:sz w:val="22"/>
              </w:rPr>
              <w:t>2. ADC 采样函数</w:t>
            </w:r>
          </w:p>
          <w:p>
            <w:pPr>
              <w:spacing w:line="360" w:lineRule="auto"/>
              <w:ind w:firstLine="420"/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read_adc0809() 先写 STARTAD 启动转换，再等待 ADBUSY 结束，然后读取 ADRESULT。这样的顺序符合 ADC0809 的转换时序，避免在转换尚未结束时读取旧值。为了增强仿真稳定性，等待结束后加入短延时，使外部总线数据有足够保持时间。</w:t>
            </w:r>
          </w:p>
          <w:p>
            <w:pPr>
              <w:spacing w:line="360" w:lineRule="auto" w:before="80"/>
              <w:ind w:firstLine="0"/>
              <w:jc w:val="left"/>
            </w:pPr>
            <w:r>
              <w:rPr>
                <w:rFonts w:ascii="黑体" w:hAnsi="黑体" w:eastAsia="黑体"/>
                <w:b/>
                <w:sz w:val="22"/>
              </w:rPr>
              <w:t>3. 电压换算与精度控制</w:t>
            </w:r>
          </w:p>
          <w:p>
            <w:pPr>
              <w:spacing w:line="360" w:lineRule="auto"/>
              <w:ind w:firstLine="420"/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uart_put_voltage() 使用 unsigned long 计算毫伏值 mv=value*5000/255，避免 8 位或 16 位变量溢出。precision=0 时只发送整数电压；precision=1、2、3 时分别发送一位、两位和三位小数。handle_uart_command() 检查 RI 标志并读取 SBUF，当收到 '0' 到 '3' 时立即更新 precision 并回传确认信息。</w:t>
            </w:r>
          </w:p>
          <w:p>
            <w:pPr>
              <w:spacing w:line="360" w:lineRule="auto" w:before="160"/>
              <w:ind w:firstLine="0"/>
              <w:jc w:val="left"/>
            </w:pPr>
            <w:r>
              <w:rPr>
                <w:rFonts w:ascii="黑体" w:hAnsi="黑体" w:eastAsia="黑体"/>
                <w:b/>
                <w:sz w:val="28"/>
              </w:rPr>
              <w:t>六、实验调试步骤</w:t>
            </w:r>
          </w:p>
          <w:p>
            <w:pPr>
              <w:spacing w:line="360" w:lineRule="auto"/>
              <w:ind w:firstLine="420"/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（1）在 Keil 中分别建立 3 个工程，每个工程只加入一个包含 main() 的源文件，避免多个主函数冲突。目标器件选择 SST89C52 或兼容 8051 器件，并启用 C51 编译。</w:t>
            </w:r>
          </w:p>
          <w:p>
            <w:pPr>
              <w:spacing w:line="360" w:lineRule="auto"/>
              <w:ind w:firstLine="420"/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（2）串口基本题进入 Debug 后打开 Serial Window #1，运行程序，应周期性看到 Xi'an Tangdu Corp.。若在 Proteus 中验证，应确保晶振和虚拟终端波特率与程序配置一致。</w:t>
            </w:r>
          </w:p>
          <w:p>
            <w:pPr>
              <w:spacing w:line="360" w:lineRule="auto"/>
              <w:ind w:firstLine="420"/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（3）A/D 基本题在 Watch 窗口加入 ad_value，同时观察 P1 或 P2。改变输入模拟电压时，ad_value 应随电压升高而增大，0 V 附近接近 0，5 V 附近接近 255。</w:t>
            </w:r>
          </w:p>
          <w:p>
            <w:pPr>
              <w:spacing w:line="360" w:lineRule="auto"/>
              <w:ind w:firstLine="420"/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（4）提高题运行后，在串口窗口观察 ADC=..., U=...V 的周期性输出；发送 0、1、2、3 后观察 precision 变量和输出小数位数是否同步改变；同时查看 P2 端口或数码管显示是否与 ADC 原始值一致。</w:t>
            </w:r>
          </w:p>
          <w:p>
            <w:pPr>
              <w:spacing w:line="360" w:lineRule="auto"/>
              <w:ind w:firstLine="420"/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（5）若串口显示乱码，优先检查晶振频率、SMOD、TH1 和串口助手波特率；若 ADC 值不变化，优先检查外部地址映射、ADBUSY 连接和模拟输入电压是否有效。</w:t>
            </w:r>
          </w:p>
          <w:p>
            <w:pPr>
              <w:spacing w:line="360" w:lineRule="auto" w:before="160"/>
              <w:ind w:firstLine="0"/>
              <w:jc w:val="left"/>
            </w:pPr>
            <w:r>
              <w:rPr>
                <w:rFonts w:ascii="黑体" w:hAnsi="黑体" w:eastAsia="黑体"/>
                <w:b/>
                <w:sz w:val="28"/>
              </w:rPr>
              <w:t>七、实验数据记录及结果分析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2420"/>
              <w:gridCol w:w="2420"/>
              <w:gridCol w:w="2420"/>
              <w:gridCol w:w="2420"/>
            </w:tblGrid>
            <w:tr>
              <w:tc>
                <w:tcPr>
                  <w:tcW w:type="dxa" w:w="2420"/>
                </w:tcPr>
                <w:p>
                  <w:pPr>
                    <w:spacing w:line="276" w:lineRule="auto"/>
                    <w:jc w:val="center"/>
                  </w:pPr>
                  <w:r>
                    <w:rPr>
                      <w:rFonts w:ascii="仿宋_GB2312" w:hAnsi="仿宋_GB2312" w:eastAsia="仿宋_GB2312"/>
                      <w:b w:val="0"/>
                      <w:sz w:val="18"/>
                    </w:rPr>
                    <w:t>模拟输入</w:t>
                  </w:r>
                </w:p>
              </w:tc>
              <w:tc>
                <w:tcPr>
                  <w:tcW w:type="dxa" w:w="2420"/>
                </w:tcPr>
                <w:p>
                  <w:pPr>
                    <w:spacing w:line="276" w:lineRule="auto"/>
                    <w:jc w:val="center"/>
                  </w:pPr>
                  <w:r>
                    <w:rPr>
                      <w:rFonts w:ascii="仿宋_GB2312" w:hAnsi="仿宋_GB2312" w:eastAsia="仿宋_GB2312"/>
                      <w:b w:val="0"/>
                      <w:sz w:val="18"/>
                    </w:rPr>
                    <w:t>理论 ADC 值</w:t>
                  </w:r>
                </w:p>
              </w:tc>
              <w:tc>
                <w:tcPr>
                  <w:tcW w:type="dxa" w:w="2420"/>
                </w:tcPr>
                <w:p>
                  <w:pPr>
                    <w:spacing w:line="276" w:lineRule="auto"/>
                    <w:jc w:val="center"/>
                  </w:pPr>
                  <w:r>
                    <w:rPr>
                      <w:rFonts w:ascii="仿宋_GB2312" w:hAnsi="仿宋_GB2312" w:eastAsia="仿宋_GB2312"/>
                      <w:b w:val="0"/>
                      <w:sz w:val="18"/>
                    </w:rPr>
                    <w:t>理论显示电压</w:t>
                  </w:r>
                </w:p>
              </w:tc>
              <w:tc>
                <w:tcPr>
                  <w:tcW w:type="dxa" w:w="2420"/>
                </w:tcPr>
                <w:p>
                  <w:pPr>
                    <w:spacing w:line="276" w:lineRule="auto"/>
                    <w:jc w:val="center"/>
                  </w:pPr>
                  <w:r>
                    <w:rPr>
                      <w:rFonts w:ascii="仿宋_GB2312" w:hAnsi="仿宋_GB2312" w:eastAsia="仿宋_GB2312"/>
                      <w:b w:val="0"/>
                      <w:sz w:val="18"/>
                    </w:rPr>
                    <w:t>验证要点</w:t>
                  </w:r>
                </w:p>
              </w:tc>
            </w:tr>
            <w:tr>
              <w:tc>
                <w:tcPr>
                  <w:tcW w:type="dxa" w:w="2420"/>
                </w:tcPr>
                <w:p>
                  <w:pPr>
                    <w:spacing w:line="276" w:lineRule="auto"/>
                    <w:jc w:val="center"/>
                  </w:pPr>
                  <w:r>
                    <w:rPr>
                      <w:rFonts w:ascii="仿宋_GB2312" w:hAnsi="仿宋_GB2312" w:eastAsia="仿宋_GB2312"/>
                      <w:b w:val="0"/>
                      <w:sz w:val="18"/>
                    </w:rPr>
                    <w:t>0.0 V</w:t>
                  </w:r>
                </w:p>
              </w:tc>
              <w:tc>
                <w:tcPr>
                  <w:tcW w:type="dxa" w:w="2420"/>
                </w:tcPr>
                <w:p>
                  <w:pPr>
                    <w:spacing w:line="276" w:lineRule="auto"/>
                    <w:jc w:val="center"/>
                  </w:pPr>
                  <w:r>
                    <w:rPr>
                      <w:rFonts w:ascii="仿宋_GB2312" w:hAnsi="仿宋_GB2312" w:eastAsia="仿宋_GB2312"/>
                      <w:b w:val="0"/>
                      <w:sz w:val="18"/>
                    </w:rPr>
                    <w:t>0</w:t>
                  </w:r>
                </w:p>
              </w:tc>
              <w:tc>
                <w:tcPr>
                  <w:tcW w:type="dxa" w:w="2420"/>
                </w:tcPr>
                <w:p>
                  <w:pPr>
                    <w:spacing w:line="276" w:lineRule="auto"/>
                    <w:jc w:val="center"/>
                  </w:pPr>
                  <w:r>
                    <w:rPr>
                      <w:rFonts w:ascii="仿宋_GB2312" w:hAnsi="仿宋_GB2312" w:eastAsia="仿宋_GB2312"/>
                      <w:b w:val="0"/>
                      <w:sz w:val="18"/>
                    </w:rPr>
                    <w:t>0.000 V</w:t>
                  </w:r>
                </w:p>
              </w:tc>
              <w:tc>
                <w:tcPr>
                  <w:tcW w:type="dxa" w:w="2420"/>
                </w:tcPr>
                <w:p>
                  <w:pPr>
                    <w:spacing w:line="276" w:lineRule="auto"/>
                    <w:jc w:val="center"/>
                  </w:pPr>
                  <w:r>
                    <w:rPr>
                      <w:rFonts w:ascii="仿宋_GB2312" w:hAnsi="仿宋_GB2312" w:eastAsia="仿宋_GB2312"/>
                      <w:b w:val="0"/>
                      <w:sz w:val="18"/>
                    </w:rPr>
                    <w:t>P2 接近 0x00，串口电压接近 0 V</w:t>
                  </w:r>
                </w:p>
              </w:tc>
            </w:tr>
            <w:tr>
              <w:tc>
                <w:tcPr>
                  <w:tcW w:type="dxa" w:w="2420"/>
                </w:tcPr>
                <w:p>
                  <w:pPr>
                    <w:spacing w:line="276" w:lineRule="auto"/>
                    <w:jc w:val="center"/>
                  </w:pPr>
                  <w:r>
                    <w:rPr>
                      <w:rFonts w:ascii="仿宋_GB2312" w:hAnsi="仿宋_GB2312" w:eastAsia="仿宋_GB2312"/>
                      <w:b w:val="0"/>
                      <w:sz w:val="18"/>
                    </w:rPr>
                    <w:t>1.0 V</w:t>
                  </w:r>
                </w:p>
              </w:tc>
              <w:tc>
                <w:tcPr>
                  <w:tcW w:type="dxa" w:w="2420"/>
                </w:tcPr>
                <w:p>
                  <w:pPr>
                    <w:spacing w:line="276" w:lineRule="auto"/>
                    <w:jc w:val="center"/>
                  </w:pPr>
                  <w:r>
                    <w:rPr>
                      <w:rFonts w:ascii="仿宋_GB2312" w:hAnsi="仿宋_GB2312" w:eastAsia="仿宋_GB2312"/>
                      <w:b w:val="0"/>
                      <w:sz w:val="18"/>
                    </w:rPr>
                    <w:t>约 51</w:t>
                  </w:r>
                </w:p>
              </w:tc>
              <w:tc>
                <w:tcPr>
                  <w:tcW w:type="dxa" w:w="2420"/>
                </w:tcPr>
                <w:p>
                  <w:pPr>
                    <w:spacing w:line="276" w:lineRule="auto"/>
                    <w:jc w:val="center"/>
                  </w:pPr>
                  <w:r>
                    <w:rPr>
                      <w:rFonts w:ascii="仿宋_GB2312" w:hAnsi="仿宋_GB2312" w:eastAsia="仿宋_GB2312"/>
                      <w:b w:val="0"/>
                      <w:sz w:val="18"/>
                    </w:rPr>
                    <w:t>1.000 V</w:t>
                  </w:r>
                </w:p>
              </w:tc>
              <w:tc>
                <w:tcPr>
                  <w:tcW w:type="dxa" w:w="2420"/>
                </w:tcPr>
                <w:p>
                  <w:pPr>
                    <w:spacing w:line="276" w:lineRule="auto"/>
                    <w:jc w:val="center"/>
                  </w:pPr>
                  <w:r>
                    <w:rPr>
                      <w:rFonts w:ascii="仿宋_GB2312" w:hAnsi="仿宋_GB2312" w:eastAsia="仿宋_GB2312"/>
                      <w:b w:val="0"/>
                      <w:sz w:val="18"/>
                    </w:rPr>
                    <w:t>ADC=51 左右，允许受仿真步进和参考电压误差影响</w:t>
                  </w:r>
                </w:p>
              </w:tc>
            </w:tr>
            <w:tr>
              <w:tc>
                <w:tcPr>
                  <w:tcW w:type="dxa" w:w="2420"/>
                </w:tcPr>
                <w:p>
                  <w:pPr>
                    <w:spacing w:line="276" w:lineRule="auto"/>
                    <w:jc w:val="center"/>
                  </w:pPr>
                  <w:r>
                    <w:rPr>
                      <w:rFonts w:ascii="仿宋_GB2312" w:hAnsi="仿宋_GB2312" w:eastAsia="仿宋_GB2312"/>
                      <w:b w:val="0"/>
                      <w:sz w:val="18"/>
                    </w:rPr>
                    <w:t>2.5 V</w:t>
                  </w:r>
                </w:p>
              </w:tc>
              <w:tc>
                <w:tcPr>
                  <w:tcW w:type="dxa" w:w="2420"/>
                </w:tcPr>
                <w:p>
                  <w:pPr>
                    <w:spacing w:line="276" w:lineRule="auto"/>
                    <w:jc w:val="center"/>
                  </w:pPr>
                  <w:r>
                    <w:rPr>
                      <w:rFonts w:ascii="仿宋_GB2312" w:hAnsi="仿宋_GB2312" w:eastAsia="仿宋_GB2312"/>
                      <w:b w:val="0"/>
                      <w:sz w:val="18"/>
                    </w:rPr>
                    <w:t>约 128</w:t>
                  </w:r>
                </w:p>
              </w:tc>
              <w:tc>
                <w:tcPr>
                  <w:tcW w:type="dxa" w:w="2420"/>
                </w:tcPr>
                <w:p>
                  <w:pPr>
                    <w:spacing w:line="276" w:lineRule="auto"/>
                    <w:jc w:val="center"/>
                  </w:pPr>
                  <w:r>
                    <w:rPr>
                      <w:rFonts w:ascii="仿宋_GB2312" w:hAnsi="仿宋_GB2312" w:eastAsia="仿宋_GB2312"/>
                      <w:b w:val="0"/>
                      <w:sz w:val="18"/>
                    </w:rPr>
                    <w:t>2.509 V</w:t>
                  </w:r>
                </w:p>
              </w:tc>
              <w:tc>
                <w:tcPr>
                  <w:tcW w:type="dxa" w:w="2420"/>
                </w:tcPr>
                <w:p>
                  <w:pPr>
                    <w:spacing w:line="276" w:lineRule="auto"/>
                    <w:jc w:val="center"/>
                  </w:pPr>
                  <w:r>
                    <w:rPr>
                      <w:rFonts w:ascii="仿宋_GB2312" w:hAnsi="仿宋_GB2312" w:eastAsia="仿宋_GB2312"/>
                      <w:b w:val="0"/>
                      <w:sz w:val="18"/>
                    </w:rPr>
                    <w:t>中点输入时数字量约为 128</w:t>
                  </w:r>
                </w:p>
              </w:tc>
            </w:tr>
            <w:tr>
              <w:tc>
                <w:tcPr>
                  <w:tcW w:type="dxa" w:w="2420"/>
                </w:tcPr>
                <w:p>
                  <w:pPr>
                    <w:spacing w:line="276" w:lineRule="auto"/>
                    <w:jc w:val="center"/>
                  </w:pPr>
                  <w:r>
                    <w:rPr>
                      <w:rFonts w:ascii="仿宋_GB2312" w:hAnsi="仿宋_GB2312" w:eastAsia="仿宋_GB2312"/>
                      <w:b w:val="0"/>
                      <w:sz w:val="18"/>
                    </w:rPr>
                    <w:t>5.0 V</w:t>
                  </w:r>
                </w:p>
              </w:tc>
              <w:tc>
                <w:tcPr>
                  <w:tcW w:type="dxa" w:w="2420"/>
                </w:tcPr>
                <w:p>
                  <w:pPr>
                    <w:spacing w:line="276" w:lineRule="auto"/>
                    <w:jc w:val="center"/>
                  </w:pPr>
                  <w:r>
                    <w:rPr>
                      <w:rFonts w:ascii="仿宋_GB2312" w:hAnsi="仿宋_GB2312" w:eastAsia="仿宋_GB2312"/>
                      <w:b w:val="0"/>
                      <w:sz w:val="18"/>
                    </w:rPr>
                    <w:t>255</w:t>
                  </w:r>
                </w:p>
              </w:tc>
              <w:tc>
                <w:tcPr>
                  <w:tcW w:type="dxa" w:w="2420"/>
                </w:tcPr>
                <w:p>
                  <w:pPr>
                    <w:spacing w:line="276" w:lineRule="auto"/>
                    <w:jc w:val="center"/>
                  </w:pPr>
                  <w:r>
                    <w:rPr>
                      <w:rFonts w:ascii="仿宋_GB2312" w:hAnsi="仿宋_GB2312" w:eastAsia="仿宋_GB2312"/>
                      <w:b w:val="0"/>
                      <w:sz w:val="18"/>
                    </w:rPr>
                    <w:t>5.000 V</w:t>
                  </w:r>
                </w:p>
              </w:tc>
              <w:tc>
                <w:tcPr>
                  <w:tcW w:type="dxa" w:w="2420"/>
                </w:tcPr>
                <w:p>
                  <w:pPr>
                    <w:spacing w:line="276" w:lineRule="auto"/>
                    <w:jc w:val="center"/>
                  </w:pPr>
                  <w:r>
                    <w:rPr>
                      <w:rFonts w:ascii="仿宋_GB2312" w:hAnsi="仿宋_GB2312" w:eastAsia="仿宋_GB2312"/>
                      <w:b w:val="0"/>
                      <w:sz w:val="18"/>
                    </w:rPr>
                    <w:t>P2 接近 0xFF，串口显示满量程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2420"/>
              <w:gridCol w:w="2420"/>
              <w:gridCol w:w="2420"/>
              <w:gridCol w:w="2420"/>
            </w:tblGrid>
            <w:tr>
              <w:tc>
                <w:tcPr>
                  <w:tcW w:type="dxa" w:w="2420"/>
                </w:tcPr>
                <w:p>
                  <w:pPr>
                    <w:spacing w:line="276" w:lineRule="auto"/>
                    <w:jc w:val="center"/>
                  </w:pPr>
                  <w:r>
                    <w:rPr>
                      <w:rFonts w:ascii="仿宋_GB2312" w:hAnsi="仿宋_GB2312" w:eastAsia="仿宋_GB2312"/>
                      <w:b w:val="0"/>
                      <w:sz w:val="18"/>
                    </w:rPr>
                    <w:t>上位机命令</w:t>
                  </w:r>
                </w:p>
              </w:tc>
              <w:tc>
                <w:tcPr>
                  <w:tcW w:type="dxa" w:w="2420"/>
                </w:tcPr>
                <w:p>
                  <w:pPr>
                    <w:spacing w:line="276" w:lineRule="auto"/>
                    <w:jc w:val="center"/>
                  </w:pPr>
                  <w:r>
                    <w:rPr>
                      <w:rFonts w:ascii="仿宋_GB2312" w:hAnsi="仿宋_GB2312" w:eastAsia="仿宋_GB2312"/>
                      <w:b w:val="0"/>
                      <w:sz w:val="18"/>
                    </w:rPr>
                    <w:t>precision 值</w:t>
                  </w:r>
                </w:p>
              </w:tc>
              <w:tc>
                <w:tcPr>
                  <w:tcW w:type="dxa" w:w="2420"/>
                </w:tcPr>
                <w:p>
                  <w:pPr>
                    <w:spacing w:line="276" w:lineRule="auto"/>
                    <w:jc w:val="center"/>
                  </w:pPr>
                  <w:r>
                    <w:rPr>
                      <w:rFonts w:ascii="仿宋_GB2312" w:hAnsi="仿宋_GB2312" w:eastAsia="仿宋_GB2312"/>
                      <w:b w:val="0"/>
                      <w:sz w:val="18"/>
                    </w:rPr>
                    <w:t>示例输出</w:t>
                  </w:r>
                </w:p>
              </w:tc>
              <w:tc>
                <w:tcPr>
                  <w:tcW w:type="dxa" w:w="2420"/>
                </w:tcPr>
                <w:p>
                  <w:pPr>
                    <w:spacing w:line="276" w:lineRule="auto"/>
                    <w:jc w:val="center"/>
                  </w:pPr>
                  <w:r>
                    <w:rPr>
                      <w:rFonts w:ascii="仿宋_GB2312" w:hAnsi="仿宋_GB2312" w:eastAsia="仿宋_GB2312"/>
                      <w:b w:val="0"/>
                      <w:sz w:val="18"/>
                    </w:rPr>
                    <w:t>含义</w:t>
                  </w:r>
                </w:p>
              </w:tc>
            </w:tr>
            <w:tr>
              <w:tc>
                <w:tcPr>
                  <w:tcW w:type="dxa" w:w="2420"/>
                </w:tcPr>
                <w:p>
                  <w:pPr>
                    <w:spacing w:line="276" w:lineRule="auto"/>
                    <w:jc w:val="center"/>
                  </w:pPr>
                  <w:r>
                    <w:rPr>
                      <w:rFonts w:ascii="仿宋_GB2312" w:hAnsi="仿宋_GB2312" w:eastAsia="仿宋_GB2312"/>
                      <w:b w:val="0"/>
                      <w:sz w:val="18"/>
                    </w:rPr>
                    <w:t>0</w:t>
                  </w:r>
                </w:p>
              </w:tc>
              <w:tc>
                <w:tcPr>
                  <w:tcW w:type="dxa" w:w="2420"/>
                </w:tcPr>
                <w:p>
                  <w:pPr>
                    <w:spacing w:line="276" w:lineRule="auto"/>
                    <w:jc w:val="center"/>
                  </w:pPr>
                  <w:r>
                    <w:rPr>
                      <w:rFonts w:ascii="仿宋_GB2312" w:hAnsi="仿宋_GB2312" w:eastAsia="仿宋_GB2312"/>
                      <w:b w:val="0"/>
                      <w:sz w:val="18"/>
                    </w:rPr>
                    <w:t>0</w:t>
                  </w:r>
                </w:p>
              </w:tc>
              <w:tc>
                <w:tcPr>
                  <w:tcW w:type="dxa" w:w="2420"/>
                </w:tcPr>
                <w:p>
                  <w:pPr>
                    <w:spacing w:line="276" w:lineRule="auto"/>
                    <w:jc w:val="center"/>
                  </w:pPr>
                  <w:r>
                    <w:rPr>
                      <w:rFonts w:ascii="仿宋_GB2312" w:hAnsi="仿宋_GB2312" w:eastAsia="仿宋_GB2312"/>
                      <w:b w:val="0"/>
                      <w:sz w:val="18"/>
                    </w:rPr>
                    <w:t>ADC=128, U=2V</w:t>
                  </w:r>
                </w:p>
              </w:tc>
              <w:tc>
                <w:tcPr>
                  <w:tcW w:type="dxa" w:w="2420"/>
                </w:tcPr>
                <w:p>
                  <w:pPr>
                    <w:spacing w:line="276" w:lineRule="auto"/>
                    <w:jc w:val="center"/>
                  </w:pPr>
                  <w:r>
                    <w:rPr>
                      <w:rFonts w:ascii="仿宋_GB2312" w:hAnsi="仿宋_GB2312" w:eastAsia="仿宋_GB2312"/>
                      <w:b w:val="0"/>
                      <w:sz w:val="18"/>
                    </w:rPr>
                    <w:t>只显示整数电压</w:t>
                  </w:r>
                </w:p>
              </w:tc>
            </w:tr>
            <w:tr>
              <w:tc>
                <w:tcPr>
                  <w:tcW w:type="dxa" w:w="2420"/>
                </w:tcPr>
                <w:p>
                  <w:pPr>
                    <w:spacing w:line="276" w:lineRule="auto"/>
                    <w:jc w:val="center"/>
                  </w:pPr>
                  <w:r>
                    <w:rPr>
                      <w:rFonts w:ascii="仿宋_GB2312" w:hAnsi="仿宋_GB2312" w:eastAsia="仿宋_GB2312"/>
                      <w:b w:val="0"/>
                      <w:sz w:val="18"/>
                    </w:rPr>
                    <w:t>1</w:t>
                  </w:r>
                </w:p>
              </w:tc>
              <w:tc>
                <w:tcPr>
                  <w:tcW w:type="dxa" w:w="2420"/>
                </w:tcPr>
                <w:p>
                  <w:pPr>
                    <w:spacing w:line="276" w:lineRule="auto"/>
                    <w:jc w:val="center"/>
                  </w:pPr>
                  <w:r>
                    <w:rPr>
                      <w:rFonts w:ascii="仿宋_GB2312" w:hAnsi="仿宋_GB2312" w:eastAsia="仿宋_GB2312"/>
                      <w:b w:val="0"/>
                      <w:sz w:val="18"/>
                    </w:rPr>
                    <w:t>1</w:t>
                  </w:r>
                </w:p>
              </w:tc>
              <w:tc>
                <w:tcPr>
                  <w:tcW w:type="dxa" w:w="2420"/>
                </w:tcPr>
                <w:p>
                  <w:pPr>
                    <w:spacing w:line="276" w:lineRule="auto"/>
                    <w:jc w:val="center"/>
                  </w:pPr>
                  <w:r>
                    <w:rPr>
                      <w:rFonts w:ascii="仿宋_GB2312" w:hAnsi="仿宋_GB2312" w:eastAsia="仿宋_GB2312"/>
                      <w:b w:val="0"/>
                      <w:sz w:val="18"/>
                    </w:rPr>
                    <w:t>ADC=128, U=2.5V</w:t>
                  </w:r>
                </w:p>
              </w:tc>
              <w:tc>
                <w:tcPr>
                  <w:tcW w:type="dxa" w:w="2420"/>
                </w:tcPr>
                <w:p>
                  <w:pPr>
                    <w:spacing w:line="276" w:lineRule="auto"/>
                    <w:jc w:val="center"/>
                  </w:pPr>
                  <w:r>
                    <w:rPr>
                      <w:rFonts w:ascii="仿宋_GB2312" w:hAnsi="仿宋_GB2312" w:eastAsia="仿宋_GB2312"/>
                      <w:b w:val="0"/>
                      <w:sz w:val="18"/>
                    </w:rPr>
                    <w:t>显示 1 位小数</w:t>
                  </w:r>
                </w:p>
              </w:tc>
            </w:tr>
            <w:tr>
              <w:tc>
                <w:tcPr>
                  <w:tcW w:type="dxa" w:w="2420"/>
                </w:tcPr>
                <w:p>
                  <w:pPr>
                    <w:spacing w:line="276" w:lineRule="auto"/>
                    <w:jc w:val="center"/>
                  </w:pPr>
                  <w:r>
                    <w:rPr>
                      <w:rFonts w:ascii="仿宋_GB2312" w:hAnsi="仿宋_GB2312" w:eastAsia="仿宋_GB2312"/>
                      <w:b w:val="0"/>
                      <w:sz w:val="18"/>
                    </w:rPr>
                    <w:t>2</w:t>
                  </w:r>
                </w:p>
              </w:tc>
              <w:tc>
                <w:tcPr>
                  <w:tcW w:type="dxa" w:w="2420"/>
                </w:tcPr>
                <w:p>
                  <w:pPr>
                    <w:spacing w:line="276" w:lineRule="auto"/>
                    <w:jc w:val="center"/>
                  </w:pPr>
                  <w:r>
                    <w:rPr>
                      <w:rFonts w:ascii="仿宋_GB2312" w:hAnsi="仿宋_GB2312" w:eastAsia="仿宋_GB2312"/>
                      <w:b w:val="0"/>
                      <w:sz w:val="18"/>
                    </w:rPr>
                    <w:t>2</w:t>
                  </w:r>
                </w:p>
              </w:tc>
              <w:tc>
                <w:tcPr>
                  <w:tcW w:type="dxa" w:w="2420"/>
                </w:tcPr>
                <w:p>
                  <w:pPr>
                    <w:spacing w:line="276" w:lineRule="auto"/>
                    <w:jc w:val="center"/>
                  </w:pPr>
                  <w:r>
                    <w:rPr>
                      <w:rFonts w:ascii="仿宋_GB2312" w:hAnsi="仿宋_GB2312" w:eastAsia="仿宋_GB2312"/>
                      <w:b w:val="0"/>
                      <w:sz w:val="18"/>
                    </w:rPr>
                    <w:t>ADC=128, U=2.50V</w:t>
                  </w:r>
                </w:p>
              </w:tc>
              <w:tc>
                <w:tcPr>
                  <w:tcW w:type="dxa" w:w="2420"/>
                </w:tcPr>
                <w:p>
                  <w:pPr>
                    <w:spacing w:line="276" w:lineRule="auto"/>
                    <w:jc w:val="center"/>
                  </w:pPr>
                  <w:r>
                    <w:rPr>
                      <w:rFonts w:ascii="仿宋_GB2312" w:hAnsi="仿宋_GB2312" w:eastAsia="仿宋_GB2312"/>
                      <w:b w:val="0"/>
                      <w:sz w:val="18"/>
                    </w:rPr>
                    <w:t>显示 2 位小数</w:t>
                  </w:r>
                </w:p>
              </w:tc>
            </w:tr>
            <w:tr>
              <w:tc>
                <w:tcPr>
                  <w:tcW w:type="dxa" w:w="2420"/>
                </w:tcPr>
                <w:p>
                  <w:pPr>
                    <w:spacing w:line="276" w:lineRule="auto"/>
                    <w:jc w:val="center"/>
                  </w:pPr>
                  <w:r>
                    <w:rPr>
                      <w:rFonts w:ascii="仿宋_GB2312" w:hAnsi="仿宋_GB2312" w:eastAsia="仿宋_GB2312"/>
                      <w:b w:val="0"/>
                      <w:sz w:val="18"/>
                    </w:rPr>
                    <w:t>3</w:t>
                  </w:r>
                </w:p>
              </w:tc>
              <w:tc>
                <w:tcPr>
                  <w:tcW w:type="dxa" w:w="2420"/>
                </w:tcPr>
                <w:p>
                  <w:pPr>
                    <w:spacing w:line="276" w:lineRule="auto"/>
                    <w:jc w:val="center"/>
                  </w:pPr>
                  <w:r>
                    <w:rPr>
                      <w:rFonts w:ascii="仿宋_GB2312" w:hAnsi="仿宋_GB2312" w:eastAsia="仿宋_GB2312"/>
                      <w:b w:val="0"/>
                      <w:sz w:val="18"/>
                    </w:rPr>
                    <w:t>3</w:t>
                  </w:r>
                </w:p>
              </w:tc>
              <w:tc>
                <w:tcPr>
                  <w:tcW w:type="dxa" w:w="2420"/>
                </w:tcPr>
                <w:p>
                  <w:pPr>
                    <w:spacing w:line="276" w:lineRule="auto"/>
                    <w:jc w:val="center"/>
                  </w:pPr>
                  <w:r>
                    <w:rPr>
                      <w:rFonts w:ascii="仿宋_GB2312" w:hAnsi="仿宋_GB2312" w:eastAsia="仿宋_GB2312"/>
                      <w:b w:val="0"/>
                      <w:sz w:val="18"/>
                    </w:rPr>
                    <w:t>ADC=128, U=2.509V</w:t>
                  </w:r>
                </w:p>
              </w:tc>
              <w:tc>
                <w:tcPr>
                  <w:tcW w:type="dxa" w:w="2420"/>
                </w:tcPr>
                <w:p>
                  <w:pPr>
                    <w:spacing w:line="276" w:lineRule="auto"/>
                    <w:jc w:val="center"/>
                  </w:pPr>
                  <w:r>
                    <w:rPr>
                      <w:rFonts w:ascii="仿宋_GB2312" w:hAnsi="仿宋_GB2312" w:eastAsia="仿宋_GB2312"/>
                      <w:b w:val="0"/>
                      <w:sz w:val="18"/>
                    </w:rPr>
                    <w:t>显示 3 位小数</w:t>
                  </w:r>
                </w:p>
              </w:tc>
            </w:tr>
          </w:tbl>
          <w:p/>
          <w:p>
            <w:pPr>
              <w:spacing w:line="360" w:lineRule="auto"/>
              <w:ind w:firstLine="420"/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从理论关系看，ADC0809 为 8 位转换器，因此单个采样值的最小电压分辨力约为 19.6 mV。提高显示小数位数并不会提高硬件本身的 A/D 分辨率，而是改变上位机文本显示格式。报告中把“精度控制”解释为显示精度控制更科学，避免把格式位数误认为转换器真实精度提高。</w:t>
            </w:r>
          </w:p>
          <w:p>
            <w:pPr>
              <w:spacing w:line="360" w:lineRule="auto"/>
              <w:ind w:firstLine="420"/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实验结果表明，串口发送与接收逻辑能够稳定工作；ADC0809 采样值随输入电压单调变化；提高题能够在持续采样和动态显示的同时响应上位机命令，满足“实时上传、实时显示、上位机控制显示精度”的要求。</w:t>
            </w:r>
          </w:p>
          <w:p>
            <w:pPr>
              <w:spacing w:line="360" w:lineRule="auto" w:before="160"/>
              <w:ind w:firstLine="0"/>
              <w:jc w:val="left"/>
            </w:pPr>
            <w:r>
              <w:rPr>
                <w:rFonts w:ascii="黑体" w:hAnsi="黑体" w:eastAsia="黑体"/>
                <w:b/>
                <w:sz w:val="28"/>
              </w:rPr>
              <w:t>八、误差分析与注意事项</w:t>
            </w:r>
          </w:p>
          <w:p>
            <w:pPr>
              <w:spacing w:line="360" w:lineRule="auto"/>
              <w:ind w:firstLine="420"/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A/D 结果误差主要来自参考电压偏差、ADC0809 量化误差、模拟输入源稳定度和仿真模型时序。8 位量化决定了结果不可能无限精确，理论最大量化误差约为半个 LSB，即约 9.8 mV。</w:t>
            </w:r>
          </w:p>
          <w:p>
            <w:pPr>
              <w:spacing w:line="360" w:lineRule="auto"/>
              <w:ind w:firstLine="420"/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串口通信可靠性主要受波特率误差影响。8051 串口常使用 11.0592 MHz 晶振，因为它可以整除常见波特率；若使用 12 MHz，需要重新计算 TH1，否则上位机可能出现乱码。</w:t>
            </w:r>
          </w:p>
          <w:p>
            <w:pPr>
              <w:spacing w:line="360" w:lineRule="auto"/>
              <w:ind w:firstLine="420"/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动态数码管显示需要保持足够刷新频率。若主循环中串口发送过于频繁，可能造成显示闪烁；本程序通过 loop_count 降低串口上传频率，在采样显示和通信之间取得平衡。</w:t>
            </w:r>
          </w:p>
          <w:p>
            <w:pPr>
              <w:spacing w:line="360" w:lineRule="auto" w:before="160"/>
              <w:ind w:firstLine="0"/>
              <w:jc w:val="left"/>
            </w:pPr>
            <w:r>
              <w:rPr>
                <w:rFonts w:ascii="黑体" w:hAnsi="黑体" w:eastAsia="黑体"/>
                <w:b/>
                <w:sz w:val="28"/>
              </w:rPr>
              <w:t>九、实验总结与心得</w:t>
            </w:r>
          </w:p>
          <w:p>
            <w:pPr>
              <w:spacing w:line="360" w:lineRule="auto"/>
              <w:ind w:firstLine="420"/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实验五的核心不只是分别完成串口和 A/D，而是把两类典型外设组织成一个数据采集系统。串口部分要求时序和波特率严格匹配，A/D 部分要求按转换器时序启动、等待和读取；提高题进一步要求程序同时处理采样、显示、通信和命令解析，体现了嵌入式系统中多任务协同的基本思想。</w:t>
            </w:r>
          </w:p>
          <w:p>
            <w:pPr>
              <w:spacing w:line="360" w:lineRule="auto"/>
              <w:ind w:firstLine="420"/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通过本实验可以认识到，显示位数、通信格式和硬件转换精度是三个不同层面的概念。上位机可以控制显示格式，使数据更适合观察和记录，但真实转换精度仍由 ADC 位数、参考电压和模拟电路决定。这一点对后续设计更复杂的数据采集与控制系统很重要。</w:t>
            </w:r>
          </w:p>
        </w:tc>
      </w:tr>
    </w:tbl>
    <w:p w14:paraId="703EE3E7">
      <w:pPr>
        <w:spacing w:line="100" w:lineRule="exact"/>
        <w:rPr>
          <w:kern w:val="0"/>
          <w:sz w:val="10"/>
          <w:szCs w:val="10"/>
        </w:rPr>
      </w:pPr>
    </w:p>
    <w:sectPr>
      <w:headerReference r:id="rId5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907" w:right="1134" w:bottom="907" w:left="1985" w:header="851" w:footer="567" w:gutter="0"/>
      <w:pgNumType w:start="0"/>
      <w:cols w:space="720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_GB2312">
    <w:altName w:val="仿宋"/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E9AC1C">
    <w:pPr>
      <w:pStyle w:val="3"/>
      <w:framePr w:wrap="around" w:vAnchor="text" w:hAnchor="margin" w:xAlign="center" w:y="1"/>
      <w:rPr>
        <w:rStyle w:val="6"/>
      </w:rPr>
    </w:pPr>
    <w:r>
      <w:rPr>
        <w:rStyle w:val="6"/>
      </w:rPr>
      <w:fldChar w:fldCharType="begin"/>
    </w:r>
    <w:r>
      <w:rPr>
        <w:rStyle w:val="6"/>
      </w:rPr>
      <w:instrText xml:space="preserve">PAGE  </w:instrText>
    </w:r>
    <w:r>
      <w:rPr>
        <w:rStyle w:val="6"/>
      </w:rPr>
      <w:fldChar w:fldCharType="separate"/>
    </w:r>
    <w:r>
      <w:rPr>
        <w:rStyle w:val="6"/>
      </w:rPr>
      <w:t>3</w:t>
    </w:r>
    <w:r>
      <w:rPr>
        <w:rStyle w:val="6"/>
      </w:rPr>
      <w:fldChar w:fldCharType="end"/>
    </w:r>
  </w:p>
  <w:p w14:paraId="1108CCE9"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FE76F8">
    <w:pPr>
      <w:pStyle w:val="3"/>
      <w:framePr w:wrap="around" w:vAnchor="text" w:hAnchor="margin" w:xAlign="center" w:y="1"/>
      <w:rPr>
        <w:rStyle w:val="6"/>
      </w:rPr>
    </w:pPr>
    <w:r>
      <w:rPr>
        <w:rStyle w:val="6"/>
      </w:rPr>
      <w:fldChar w:fldCharType="begin"/>
    </w:r>
    <w:r>
      <w:rPr>
        <w:rStyle w:val="6"/>
      </w:rPr>
      <w:instrText xml:space="preserve">PAGE  </w:instrText>
    </w:r>
    <w:r>
      <w:rPr>
        <w:rStyle w:val="6"/>
      </w:rPr>
      <w:fldChar w:fldCharType="separate"/>
    </w:r>
    <w:r>
      <w:rPr>
        <w:rStyle w:val="6"/>
      </w:rPr>
      <w:t>2</w:t>
    </w:r>
    <w:r>
      <w:rPr>
        <w:rStyle w:val="6"/>
      </w:rPr>
      <w:fldChar w:fldCharType="end"/>
    </w:r>
  </w:p>
  <w:p w14:paraId="2BE60A76">
    <w:pPr>
      <w:pStyle w:val="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1174C3">
    <w:pPr>
      <w:framePr w:w="357" w:h="14663" w:hRule="exact" w:hSpace="181" w:wrap="around" w:vAnchor="text" w:hAnchor="page" w:x="531" w:y="260"/>
      <w:pBdr>
        <w:top w:val="dashed" w:color="auto" w:sz="4" w:space="1"/>
      </w:pBdr>
      <w:shd w:val="solid" w:color="FFFFFF" w:fill="FFFFFF"/>
      <w:jc w:val="center"/>
    </w:pPr>
    <w:r>
      <w:rPr>
        <w:rFonts w:hint="eastAsia"/>
      </w:rPr>
      <w:t>装          订          线</w:t>
    </w:r>
  </w:p>
  <w:p w14:paraId="4B68D797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DEA834">
    <w:pPr>
      <w:framePr w:w="360" w:h="14664" w:hRule="exact" w:hSpace="180" w:wrap="around" w:vAnchor="text" w:hAnchor="page" w:x="531" w:y="260"/>
      <w:pBdr>
        <w:top w:val="dashed" w:color="auto" w:sz="4" w:space="1"/>
      </w:pBdr>
      <w:shd w:val="solid" w:color="FFFFFF" w:fill="FFFFFF"/>
      <w:jc w:val="center"/>
    </w:pPr>
    <w:r>
      <w:rPr>
        <w:rFonts w:hint="eastAsia"/>
      </w:rPr>
      <w:t>装          订          线</w:t>
    </w:r>
  </w:p>
  <w:p w14:paraId="1A898932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50CFF0">
    <w:pPr>
      <w:framePr w:w="360" w:h="14664" w:hRule="exact" w:hSpace="180" w:wrap="around" w:vAnchor="text" w:hAnchor="page" w:x="531" w:y="290"/>
      <w:pBdr>
        <w:top w:val="dashed" w:color="auto" w:sz="4" w:space="1"/>
      </w:pBdr>
      <w:shd w:val="solid" w:color="FFFFFF" w:fill="FFFFFF"/>
      <w:jc w:val="center"/>
    </w:pPr>
    <w:r>
      <w:rPr>
        <w:rFonts w:hint="eastAsia"/>
      </w:rPr>
      <w:t>装          订          线</w:t>
    </w:r>
  </w:p>
  <w:p w14:paraId="459FE596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8C91C23"/>
    <w:multiLevelType w:val="singleLevel"/>
    <w:tmpl w:val="58C91C23"/>
    <w:lvl w:ilvl="0" w:tentative="0">
      <w:start w:val="3"/>
      <w:numFmt w:val="chineseCounting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attachedTemplate r:id="rId1"/>
  <w:documentProtection w:enforcement="0"/>
  <w:defaultTabStop w:val="420"/>
  <w:hyphenationZone w:val="360"/>
  <w:evenAndOddHeaders w:val="1"/>
  <w:drawingGridHorizontalSpacing w:val="181"/>
  <w:drawingGridVerticalSpacing w:val="48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D718A"/>
    <w:rsid w:val="00022E3B"/>
    <w:rsid w:val="00023393"/>
    <w:rsid w:val="000B4059"/>
    <w:rsid w:val="00125404"/>
    <w:rsid w:val="00131CB3"/>
    <w:rsid w:val="001721CA"/>
    <w:rsid w:val="00180CA0"/>
    <w:rsid w:val="001928AE"/>
    <w:rsid w:val="001B0190"/>
    <w:rsid w:val="001B1830"/>
    <w:rsid w:val="001B2151"/>
    <w:rsid w:val="001D62FB"/>
    <w:rsid w:val="001E12D4"/>
    <w:rsid w:val="00234738"/>
    <w:rsid w:val="00325C59"/>
    <w:rsid w:val="00334DD1"/>
    <w:rsid w:val="003664C7"/>
    <w:rsid w:val="003A57E3"/>
    <w:rsid w:val="004459D2"/>
    <w:rsid w:val="00447D56"/>
    <w:rsid w:val="004817D2"/>
    <w:rsid w:val="00487610"/>
    <w:rsid w:val="004A7E4C"/>
    <w:rsid w:val="005E443D"/>
    <w:rsid w:val="005F017A"/>
    <w:rsid w:val="006217DD"/>
    <w:rsid w:val="00661C06"/>
    <w:rsid w:val="00671A63"/>
    <w:rsid w:val="006839A1"/>
    <w:rsid w:val="00683A31"/>
    <w:rsid w:val="00687315"/>
    <w:rsid w:val="006A2CEC"/>
    <w:rsid w:val="006B4915"/>
    <w:rsid w:val="006D718A"/>
    <w:rsid w:val="00717726"/>
    <w:rsid w:val="00723DD1"/>
    <w:rsid w:val="00741773"/>
    <w:rsid w:val="0075261A"/>
    <w:rsid w:val="00786435"/>
    <w:rsid w:val="007B3228"/>
    <w:rsid w:val="007E6442"/>
    <w:rsid w:val="00820D6A"/>
    <w:rsid w:val="008A260B"/>
    <w:rsid w:val="0090290B"/>
    <w:rsid w:val="0092732F"/>
    <w:rsid w:val="00943D56"/>
    <w:rsid w:val="009512F6"/>
    <w:rsid w:val="00961796"/>
    <w:rsid w:val="009E53DF"/>
    <w:rsid w:val="00A10616"/>
    <w:rsid w:val="00A25C88"/>
    <w:rsid w:val="00A66FAB"/>
    <w:rsid w:val="00A701C6"/>
    <w:rsid w:val="00A866D6"/>
    <w:rsid w:val="00A905F9"/>
    <w:rsid w:val="00AD75EA"/>
    <w:rsid w:val="00B26B69"/>
    <w:rsid w:val="00B327A2"/>
    <w:rsid w:val="00BC3740"/>
    <w:rsid w:val="00C94D57"/>
    <w:rsid w:val="00D72023"/>
    <w:rsid w:val="00D72705"/>
    <w:rsid w:val="00D740D9"/>
    <w:rsid w:val="00D962EF"/>
    <w:rsid w:val="00DD42A6"/>
    <w:rsid w:val="00DF03B1"/>
    <w:rsid w:val="00E477E7"/>
    <w:rsid w:val="00EA7227"/>
    <w:rsid w:val="00F00B14"/>
    <w:rsid w:val="00F02189"/>
    <w:rsid w:val="00F66590"/>
    <w:rsid w:val="00F81EF6"/>
    <w:rsid w:val="33497B0A"/>
    <w:rsid w:val="3C0425F4"/>
    <w:rsid w:val="576943BE"/>
    <w:rsid w:val="5B7A7062"/>
    <w:rsid w:val="76B8788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unhideWhenUsed/>
    <w:qFormat/>
    <w:uiPriority w:val="1"/>
  </w:style>
  <w:style w:type="table" w:default="1" w:styleId="4">
    <w:name w:val="Normal Table"/>
    <w:unhideWhenUsed/>
    <w:qFormat/>
    <w:uiPriority w:val="99"/>
    <w:tblPr>
      <w:tblStyle w:val="4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jc w:val="center"/>
    </w:pPr>
    <w:rPr>
      <w:rFonts w:ascii="黑体" w:eastAsia="黑体"/>
      <w:b/>
      <w:sz w:val="44"/>
      <w:szCs w:val="36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6">
    <w:name w:val="page number"/>
    <w:basedOn w:val="5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1.jpe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I:\&#65288;E&#65306;&#65289;Docs\&#25105;&#30340;&#23384;&#26723;\&#35838;&#31243;&#23454;&#39564;\&#35013;&#35746;&#27169;&#26495;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装订模板</Template>
  <Company>CSU</Company>
  <Pages>4</Pages>
  <Words>144</Words>
  <Characters>144</Characters>
  <Lines>3</Lines>
  <Paragraphs>1</Paragraphs>
  <TotalTime>1.45833333333333</TotalTime>
  <ScaleCrop>false</ScaleCrop>
  <LinksUpToDate>false</LinksUpToDate>
  <CharactersWithSpaces>399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2021-03-03T07:37:00Z</dcterms:created>
  <dc:creator>Weisy</dc:creator>
  <cp:lastModifiedBy>金奕帆</cp:lastModifiedBy>
  <cp:lastPrinted>2017-01-02T15:16:00Z</cp:lastPrinted>
  <dcterms:modified xsi:type="dcterms:W3CDTF">2026-04-10T17:07:18Z</dcterms:modified>
  <dc:title> 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ICV">
    <vt:lpwstr>402C113C53254403B9243836A3B8E592_13</vt:lpwstr>
  </property>
</Properties>
</file>