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B750E">
      <w:pPr>
        <w:rPr>
          <w:kern w:val="0"/>
        </w:rPr>
      </w:pPr>
      <w:bookmarkStart w:id="0" w:name="_GoBack"/>
      <w:bookmarkEnd w:id="0"/>
      <w:r>
        <w:rPr>
          <w:rFonts w:hint="eastAsia"/>
          <w:kern w:val="0"/>
        </w:rPr>
        <mc:AlternateContent>
          <mc:Choice Requires="wps">
            <w:drawing>
              <wp:anchor distT="0" distB="0" distL="114300" distR="114300" simplePos="0" relativeHeight="251660288" behindDoc="0" locked="0" layoutInCell="1" allowOverlap="1">
                <wp:simplePos x="0" y="0"/>
                <wp:positionH relativeFrom="column">
                  <wp:posOffset>19079210</wp:posOffset>
                </wp:positionH>
                <wp:positionV relativeFrom="paragraph">
                  <wp:posOffset>-292100</wp:posOffset>
                </wp:positionV>
                <wp:extent cx="0" cy="3749040"/>
                <wp:effectExtent l="4445" t="0" r="8255" b="10160"/>
                <wp:wrapNone/>
                <wp:docPr id="3" name="直线 13"/>
                <wp:cNvGraphicFramePr/>
                <a:graphic xmlns:a="http://schemas.openxmlformats.org/drawingml/2006/main">
                  <a:graphicData uri="http://schemas.microsoft.com/office/word/2010/wordprocessingShape">
                    <wps:wsp>
                      <wps:cNvCnPr/>
                      <wps:spPr>
                        <a:xfrm>
                          <a:off x="0" y="0"/>
                          <a:ext cx="0" cy="374904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直线 13" o:spid="_x0000_s1026" o:spt="20" style="position:absolute;left:0pt;margin-left:1502.3pt;margin-top:-23pt;height:295.2pt;width:0pt;z-index:251660288;mso-width-relative:page;mso-height-relative:page;" filled="f" stroked="t" coordsize="21600,21600" o:gfxdata="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SSK8DZ&#10;AAAADQEAAA8AAAAAAAAAAQAgAAAAIgAAAGRycy9kb3ducmV2LnhtbFBLAQIUABQAAAAIAIdO4kAT&#10;vBbR5gEAAN4DAAAOAAAAAAAAAAEAIAAAACgBAABkcnMvZTJvRG9jLnhtbFBLBQYAAAAABgAGAFkB&#10;AACABQAAAAA=&#10;">
                <v:fill on="f" focussize="0,0"/>
                <v:stroke color="#000000" joinstyle="round"/>
                <v:imagedata o:title=""/>
                <o:lock v:ext="edit" aspectratio="f"/>
              </v:line>
            </w:pict>
          </mc:Fallback>
        </mc:AlternateContent>
      </w:r>
      <w:r>
        <w:rPr>
          <w:rFonts w:hint="eastAsia" w:eastAsia="楷体_GB2312"/>
          <w:kern w:val="0"/>
          <w:sz w:val="28"/>
        </w:rPr>
        <mc:AlternateContent>
          <mc:Choice Requires="wps">
            <w:drawing>
              <wp:anchor distT="0" distB="0" distL="114300" distR="114300" simplePos="0" relativeHeight="251659264" behindDoc="0" locked="0" layoutInCell="1" allowOverlap="1">
                <wp:simplePos x="0" y="0"/>
                <wp:positionH relativeFrom="column">
                  <wp:posOffset>-367030</wp:posOffset>
                </wp:positionH>
                <wp:positionV relativeFrom="paragraph">
                  <wp:posOffset>-208915</wp:posOffset>
                </wp:positionV>
                <wp:extent cx="1953895" cy="523875"/>
                <wp:effectExtent l="0" t="0" r="1905" b="9525"/>
                <wp:wrapNone/>
                <wp:docPr id="2" name="矩形 8"/>
                <wp:cNvGraphicFramePr/>
                <a:graphic xmlns:a="http://schemas.openxmlformats.org/drawingml/2006/main">
                  <a:graphicData uri="http://schemas.microsoft.com/office/word/2010/wordprocessingShape">
                    <wps:wsp>
                      <wps:cNvSpPr/>
                      <wps:spPr>
                        <a:xfrm>
                          <a:off x="0" y="0"/>
                          <a:ext cx="1953895" cy="523875"/>
                        </a:xfrm>
                        <a:prstGeom prst="rect">
                          <a:avLst/>
                        </a:prstGeom>
                        <a:solidFill>
                          <a:srgbClr val="FFFFFF"/>
                        </a:solidFill>
                        <a:ln w="9525">
                          <a:noFill/>
                        </a:ln>
                        <a:effectLst/>
                      </wps:spPr>
                      <wps:txbx>
                        <w:txbxContent>
                          <w:tbl>
                            <w:tblPr>
                              <w:tblStyle w:val="4"/>
                              <w:tblW w:w="25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
                              <w:gridCol w:w="1624"/>
                            </w:tblGrid>
                            <w:tr w14:paraId="36480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exact"/>
                              </w:trPr>
                              <w:tc>
                                <w:tcPr>
                                  <w:tcW w:w="910" w:type="dxa"/>
                                  <w:noWrap w:val="0"/>
                                  <w:vAlign w:val="bottom"/>
                                </w:tcPr>
                                <w:p w14:paraId="59549819">
                                  <w:pPr>
                                    <w:ind w:left="206" w:right="210" w:hanging="205" w:hangingChars="98"/>
                                    <w:jc w:val="right"/>
                                    <w:rPr>
                                      <w:rFonts w:ascii="仿宋_GB2312" w:eastAsia="仿宋_GB2312"/>
                                      <w:szCs w:val="21"/>
                                    </w:rPr>
                                  </w:pPr>
                                  <w:r>
                                    <w:rPr>
                                      <w:rFonts w:hint="eastAsia" w:ascii="仿宋_GB2312" w:eastAsia="仿宋_GB2312"/>
                                      <w:szCs w:val="21"/>
                                    </w:rPr>
                                    <w:t>评阅人</w:t>
                                  </w:r>
                                </w:p>
                                <w:p w14:paraId="1D639EA7">
                                  <w:pPr>
                                    <w:ind w:left="206" w:hanging="205" w:hangingChars="98"/>
                                    <w:jc w:val="center"/>
                                    <w:rPr>
                                      <w:rFonts w:ascii="仿宋_GB2312" w:eastAsia="仿宋_GB2312"/>
                                      <w:szCs w:val="21"/>
                                    </w:rPr>
                                  </w:pPr>
                                  <w:r>
                                    <w:rPr>
                                      <w:rFonts w:hint="eastAsia" w:ascii="仿宋_GB2312" w:eastAsia="仿宋_GB2312"/>
                                      <w:szCs w:val="21"/>
                                    </w:rPr>
                                    <w:t>老师</w:t>
                                  </w:r>
                                </w:p>
                                <w:p w14:paraId="2893044D">
                                  <w:pPr>
                                    <w:spacing w:line="480" w:lineRule="exact"/>
                                    <w:ind w:left="274" w:hanging="274" w:hangingChars="98"/>
                                    <w:jc w:val="center"/>
                                    <w:rPr>
                                      <w:rFonts w:ascii="仿宋_GB2312" w:eastAsia="仿宋_GB2312"/>
                                      <w:sz w:val="28"/>
                                      <w:szCs w:val="28"/>
                                    </w:rPr>
                                  </w:pPr>
                                </w:p>
                              </w:tc>
                              <w:tc>
                                <w:tcPr>
                                  <w:tcW w:w="1624" w:type="dxa"/>
                                  <w:noWrap w:val="0"/>
                                  <w:vAlign w:val="bottom"/>
                                </w:tcPr>
                                <w:p w14:paraId="5DB8D08F">
                                  <w:pPr>
                                    <w:spacing w:line="480" w:lineRule="exact"/>
                                    <w:jc w:val="center"/>
                                    <w:rPr>
                                      <w:rFonts w:eastAsia="楷体_GB2312"/>
                                      <w:sz w:val="28"/>
                                    </w:rPr>
                                  </w:pPr>
                                </w:p>
                              </w:tc>
                            </w:tr>
                          </w:tbl>
                          <w:p w14:paraId="2225606D"/>
                        </w:txbxContent>
                      </wps:txbx>
                      <wps:bodyPr vert="horz" wrap="square" anchor="t" anchorCtr="0" upright="1"/>
                    </wps:wsp>
                  </a:graphicData>
                </a:graphic>
              </wp:anchor>
            </w:drawing>
          </mc:Choice>
          <mc:Fallback>
            <w:pict>
              <v:rect id="矩形 8" o:spid="_x0000_s1026" o:spt="1" style="position:absolute;left:0pt;margin-left:-28.9pt;margin-top:-16.45pt;height:41.25pt;width:153.85pt;z-index:251659264;mso-width-relative:page;mso-height-relative:page;" fillcolor="#FFFFFF" filled="t" stroked="f" coordsize="21600,21600" o:gfxdata="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cDLcbtgAAAAKAQAA&#10;DwAAAAAAAAABACAAAAAiAAAAZHJzL2Rvd25yZXYueG1sUEsBAhQAFAAAAAgAh07iQCiX+b7gAQAA&#10;tAMAAA4AAAAAAAAAAQAgAAAAJwEAAGRycy9lMm9Eb2MueG1sUEsFBgAAAAAGAAYAWQEAAHkFAAAA&#10;AA==&#10;">
                <v:fill on="t" focussize="0,0"/>
                <v:stroke on="f"/>
                <v:imagedata o:title=""/>
                <o:lock v:ext="edit" aspectratio="f"/>
                <v:textbox>
                  <w:txbxContent>
                    <w:tbl>
                      <w:tblPr>
                        <w:tblStyle w:val="4"/>
                        <w:tblW w:w="25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
                        <w:gridCol w:w="1624"/>
                      </w:tblGrid>
                      <w:tr w14:paraId="36480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exact"/>
                        </w:trPr>
                        <w:tc>
                          <w:tcPr>
                            <w:tcW w:w="910" w:type="dxa"/>
                            <w:noWrap w:val="0"/>
                            <w:vAlign w:val="bottom"/>
                          </w:tcPr>
                          <w:p w14:paraId="59549819">
                            <w:pPr>
                              <w:ind w:left="206" w:right="210" w:hanging="205" w:hangingChars="98"/>
                              <w:jc w:val="right"/>
                              <w:rPr>
                                <w:rFonts w:ascii="仿宋_GB2312" w:eastAsia="仿宋_GB2312"/>
                                <w:szCs w:val="21"/>
                              </w:rPr>
                            </w:pPr>
                            <w:r>
                              <w:rPr>
                                <w:rFonts w:hint="eastAsia" w:ascii="仿宋_GB2312" w:eastAsia="仿宋_GB2312"/>
                                <w:szCs w:val="21"/>
                              </w:rPr>
                              <w:t>评阅人</w:t>
                            </w:r>
                          </w:p>
                          <w:p w14:paraId="1D639EA7">
                            <w:pPr>
                              <w:ind w:left="206" w:hanging="205" w:hangingChars="98"/>
                              <w:jc w:val="center"/>
                              <w:rPr>
                                <w:rFonts w:ascii="仿宋_GB2312" w:eastAsia="仿宋_GB2312"/>
                                <w:szCs w:val="21"/>
                              </w:rPr>
                            </w:pPr>
                            <w:r>
                              <w:rPr>
                                <w:rFonts w:hint="eastAsia" w:ascii="仿宋_GB2312" w:eastAsia="仿宋_GB2312"/>
                                <w:szCs w:val="21"/>
                              </w:rPr>
                              <w:t>老师</w:t>
                            </w:r>
                          </w:p>
                          <w:p w14:paraId="2893044D">
                            <w:pPr>
                              <w:spacing w:line="480" w:lineRule="exact"/>
                              <w:ind w:left="274" w:hanging="274" w:hangingChars="98"/>
                              <w:jc w:val="center"/>
                              <w:rPr>
                                <w:rFonts w:ascii="仿宋_GB2312" w:eastAsia="仿宋_GB2312"/>
                                <w:sz w:val="28"/>
                                <w:szCs w:val="28"/>
                              </w:rPr>
                            </w:pPr>
                          </w:p>
                        </w:tc>
                        <w:tc>
                          <w:tcPr>
                            <w:tcW w:w="1624" w:type="dxa"/>
                            <w:noWrap w:val="0"/>
                            <w:vAlign w:val="bottom"/>
                          </w:tcPr>
                          <w:p w14:paraId="5DB8D08F">
                            <w:pPr>
                              <w:spacing w:line="480" w:lineRule="exact"/>
                              <w:jc w:val="center"/>
                              <w:rPr>
                                <w:rFonts w:eastAsia="楷体_GB2312"/>
                                <w:sz w:val="28"/>
                              </w:rPr>
                            </w:pPr>
                          </w:p>
                        </w:tc>
                      </w:tr>
                    </w:tbl>
                    <w:p w14:paraId="2225606D"/>
                  </w:txbxContent>
                </v:textbox>
              </v:rect>
            </w:pict>
          </mc:Fallback>
        </mc:AlternateContent>
      </w:r>
      <w:r>
        <w:rPr>
          <w:rFonts w:hint="eastAsia"/>
          <w:kern w:val="0"/>
        </w:rPr>
        <mc:AlternateContent>
          <mc:Choice Requires="wps">
            <w:drawing>
              <wp:anchor distT="0" distB="0" distL="114300" distR="114300" simplePos="0" relativeHeight="251661312" behindDoc="0" locked="0" layoutInCell="1" allowOverlap="1">
                <wp:simplePos x="0" y="0"/>
                <wp:positionH relativeFrom="column">
                  <wp:posOffset>3996690</wp:posOffset>
                </wp:positionH>
                <wp:positionV relativeFrom="paragraph">
                  <wp:posOffset>-208915</wp:posOffset>
                </wp:positionV>
                <wp:extent cx="1953895" cy="523875"/>
                <wp:effectExtent l="0" t="0" r="1905" b="9525"/>
                <wp:wrapNone/>
                <wp:docPr id="4" name="矩形 10"/>
                <wp:cNvGraphicFramePr/>
                <a:graphic xmlns:a="http://schemas.openxmlformats.org/drawingml/2006/main">
                  <a:graphicData uri="http://schemas.microsoft.com/office/word/2010/wordprocessingShape">
                    <wps:wsp>
                      <wps:cNvSpPr/>
                      <wps:spPr>
                        <a:xfrm>
                          <a:off x="0" y="0"/>
                          <a:ext cx="1953895" cy="523875"/>
                        </a:xfrm>
                        <a:prstGeom prst="rect">
                          <a:avLst/>
                        </a:prstGeom>
                        <a:solidFill>
                          <a:srgbClr val="FFFFFF"/>
                        </a:solidFill>
                        <a:ln w="9525">
                          <a:noFill/>
                        </a:ln>
                        <a:effectLst/>
                      </wps:spPr>
                      <wps:txbx>
                        <w:txbxContent>
                          <w:tbl>
                            <w:tblPr>
                              <w:tblStyle w:val="4"/>
                              <w:tblW w:w="2534" w:type="dxa"/>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2"/>
                              <w:gridCol w:w="1522"/>
                            </w:tblGrid>
                            <w:tr w14:paraId="01F34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exact"/>
                                <w:jc w:val="right"/>
                              </w:trPr>
                              <w:tc>
                                <w:tcPr>
                                  <w:tcW w:w="1012" w:type="dxa"/>
                                  <w:noWrap w:val="0"/>
                                  <w:vAlign w:val="bottom"/>
                                </w:tcPr>
                                <w:p w14:paraId="3D3BC11A">
                                  <w:pPr>
                                    <w:ind w:left="206" w:hanging="205" w:hangingChars="98"/>
                                    <w:jc w:val="center"/>
                                    <w:rPr>
                                      <w:rFonts w:ascii="仿宋_GB2312" w:eastAsia="仿宋_GB2312"/>
                                      <w:szCs w:val="21"/>
                                    </w:rPr>
                                  </w:pPr>
                                  <w:r>
                                    <w:rPr>
                                      <w:rFonts w:hint="eastAsia" w:ascii="仿宋_GB2312" w:eastAsia="仿宋_GB2312"/>
                                      <w:szCs w:val="21"/>
                                    </w:rPr>
                                    <w:t>实验成绩</w:t>
                                  </w:r>
                                </w:p>
                                <w:p w14:paraId="025343BE">
                                  <w:pPr>
                                    <w:ind w:left="206" w:hanging="205" w:hangingChars="98"/>
                                    <w:jc w:val="center"/>
                                    <w:rPr>
                                      <w:rFonts w:ascii="仿宋_GB2312" w:eastAsia="仿宋_GB2312"/>
                                      <w:szCs w:val="21"/>
                                    </w:rPr>
                                  </w:pPr>
                                  <w:r>
                                    <w:rPr>
                                      <w:rFonts w:hint="eastAsia" w:ascii="仿宋_GB2312" w:eastAsia="仿宋_GB2312"/>
                                      <w:szCs w:val="21"/>
                                    </w:rPr>
                                    <w:t>成绩</w:t>
                                  </w:r>
                                </w:p>
                                <w:p w14:paraId="194FAA3C">
                                  <w:pPr>
                                    <w:spacing w:line="480" w:lineRule="exact"/>
                                    <w:ind w:left="274" w:hanging="274" w:hangingChars="98"/>
                                    <w:jc w:val="center"/>
                                    <w:rPr>
                                      <w:rFonts w:ascii="仿宋_GB2312" w:eastAsia="仿宋_GB2312"/>
                                      <w:sz w:val="28"/>
                                      <w:szCs w:val="28"/>
                                    </w:rPr>
                                  </w:pPr>
                                </w:p>
                              </w:tc>
                              <w:tc>
                                <w:tcPr>
                                  <w:tcW w:w="1522" w:type="dxa"/>
                                  <w:noWrap w:val="0"/>
                                  <w:vAlign w:val="bottom"/>
                                </w:tcPr>
                                <w:p w14:paraId="66D472F2">
                                  <w:pPr>
                                    <w:spacing w:line="480" w:lineRule="exact"/>
                                    <w:jc w:val="center"/>
                                    <w:rPr>
                                      <w:rFonts w:eastAsia="楷体_GB2312"/>
                                      <w:sz w:val="28"/>
                                    </w:rPr>
                                  </w:pPr>
                                </w:p>
                              </w:tc>
                            </w:tr>
                          </w:tbl>
                          <w:p w14:paraId="444E888A"/>
                        </w:txbxContent>
                      </wps:txbx>
                      <wps:bodyPr vert="horz" wrap="square" anchor="t" anchorCtr="0" upright="1"/>
                    </wps:wsp>
                  </a:graphicData>
                </a:graphic>
              </wp:anchor>
            </w:drawing>
          </mc:Choice>
          <mc:Fallback>
            <w:pict>
              <v:rect id="矩形 10" o:spid="_x0000_s1026" o:spt="1" style="position:absolute;left:0pt;margin-left:314.7pt;margin-top:-16.45pt;height:41.25pt;width:153.85pt;z-index:251661312;mso-width-relative:page;mso-height-relative:page;" fillcolor="#FFFFFF" filled="t" stroked="f" coordsize="21600,21600" o:gfxdata="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DndZ7ZAAAACgEA&#10;AA8AAAAAAAAAAQAgAAAAIgAAAGRycy9kb3ducmV2LnhtbFBLAQIUABQAAAAIAIdO4kDx28xa4AEA&#10;ALUDAAAOAAAAAAAAAAEAIAAAACgBAABkcnMvZTJvRG9jLnhtbFBLBQYAAAAABgAGAFkBAAB6BQAA&#10;AAA=&#10;">
                <v:fill on="t" focussize="0,0"/>
                <v:stroke on="f"/>
                <v:imagedata o:title=""/>
                <o:lock v:ext="edit" aspectratio="f"/>
                <v:textbox>
                  <w:txbxContent>
                    <w:tbl>
                      <w:tblPr>
                        <w:tblStyle w:val="4"/>
                        <w:tblW w:w="2534" w:type="dxa"/>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2"/>
                        <w:gridCol w:w="1522"/>
                      </w:tblGrid>
                      <w:tr w14:paraId="01F34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exact"/>
                          <w:jc w:val="right"/>
                        </w:trPr>
                        <w:tc>
                          <w:tcPr>
                            <w:tcW w:w="1012" w:type="dxa"/>
                            <w:noWrap w:val="0"/>
                            <w:vAlign w:val="bottom"/>
                          </w:tcPr>
                          <w:p w14:paraId="3D3BC11A">
                            <w:pPr>
                              <w:ind w:left="206" w:hanging="205" w:hangingChars="98"/>
                              <w:jc w:val="center"/>
                              <w:rPr>
                                <w:rFonts w:ascii="仿宋_GB2312" w:eastAsia="仿宋_GB2312"/>
                                <w:szCs w:val="21"/>
                              </w:rPr>
                            </w:pPr>
                            <w:r>
                              <w:rPr>
                                <w:rFonts w:hint="eastAsia" w:ascii="仿宋_GB2312" w:eastAsia="仿宋_GB2312"/>
                                <w:szCs w:val="21"/>
                              </w:rPr>
                              <w:t>实验成绩</w:t>
                            </w:r>
                          </w:p>
                          <w:p w14:paraId="025343BE">
                            <w:pPr>
                              <w:ind w:left="206" w:hanging="205" w:hangingChars="98"/>
                              <w:jc w:val="center"/>
                              <w:rPr>
                                <w:rFonts w:ascii="仿宋_GB2312" w:eastAsia="仿宋_GB2312"/>
                                <w:szCs w:val="21"/>
                              </w:rPr>
                            </w:pPr>
                            <w:r>
                              <w:rPr>
                                <w:rFonts w:hint="eastAsia" w:ascii="仿宋_GB2312" w:eastAsia="仿宋_GB2312"/>
                                <w:szCs w:val="21"/>
                              </w:rPr>
                              <w:t>成绩</w:t>
                            </w:r>
                          </w:p>
                          <w:p w14:paraId="194FAA3C">
                            <w:pPr>
                              <w:spacing w:line="480" w:lineRule="exact"/>
                              <w:ind w:left="274" w:hanging="274" w:hangingChars="98"/>
                              <w:jc w:val="center"/>
                              <w:rPr>
                                <w:rFonts w:ascii="仿宋_GB2312" w:eastAsia="仿宋_GB2312"/>
                                <w:sz w:val="28"/>
                                <w:szCs w:val="28"/>
                              </w:rPr>
                            </w:pPr>
                          </w:p>
                        </w:tc>
                        <w:tc>
                          <w:tcPr>
                            <w:tcW w:w="1522" w:type="dxa"/>
                            <w:noWrap w:val="0"/>
                            <w:vAlign w:val="bottom"/>
                          </w:tcPr>
                          <w:p w14:paraId="66D472F2">
                            <w:pPr>
                              <w:spacing w:line="480" w:lineRule="exact"/>
                              <w:jc w:val="center"/>
                              <w:rPr>
                                <w:rFonts w:eastAsia="楷体_GB2312"/>
                                <w:sz w:val="28"/>
                              </w:rPr>
                            </w:pPr>
                          </w:p>
                        </w:tc>
                      </w:tr>
                    </w:tbl>
                    <w:p w14:paraId="444E888A"/>
                  </w:txbxContent>
                </v:textbox>
              </v:rect>
            </w:pict>
          </mc:Fallback>
        </mc:AlternateContent>
      </w:r>
    </w:p>
    <w:p w14:paraId="48569A76">
      <w:pPr>
        <w:jc w:val="center"/>
        <w:rPr>
          <w:kern w:val="0"/>
        </w:rPr>
      </w:pPr>
    </w:p>
    <w:p w14:paraId="1500E26C">
      <w:pPr>
        <w:jc w:val="center"/>
        <w:rPr>
          <w:kern w:val="0"/>
        </w:rPr>
      </w:pPr>
    </w:p>
    <w:p w14:paraId="15C768E7">
      <w:pPr>
        <w:jc w:val="center"/>
        <w:rPr>
          <w:rFonts w:ascii="黑体" w:eastAsia="黑体"/>
          <w:b/>
          <w:kern w:val="0"/>
          <w:sz w:val="48"/>
          <w:szCs w:val="48"/>
        </w:rPr>
      </w:pPr>
      <w:r>
        <w:rPr>
          <w:rFonts w:hint="eastAsia"/>
          <w:kern w:val="0"/>
        </w:rPr>
        <w:drawing>
          <wp:inline distT="0" distB="0" distL="114300" distR="114300">
            <wp:extent cx="2838450" cy="809625"/>
            <wp:effectExtent l="0" t="0" r="6350" b="3175"/>
            <wp:docPr id="1" name="图片 1" descr="u=1549092643,3105127979&amp;fm=23&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1549092643,3105127979&amp;fm=23&amp;gp=0"/>
                    <pic:cNvPicPr>
                      <a:picLocks noChangeAspect="1"/>
                    </pic:cNvPicPr>
                  </pic:nvPicPr>
                  <pic:blipFill>
                    <a:blip r:embed="rId9"/>
                    <a:stretch>
                      <a:fillRect/>
                    </a:stretch>
                  </pic:blipFill>
                  <pic:spPr>
                    <a:xfrm>
                      <a:off x="0" y="0"/>
                      <a:ext cx="2838450" cy="809625"/>
                    </a:xfrm>
                    <a:prstGeom prst="rect">
                      <a:avLst/>
                    </a:prstGeom>
                    <a:noFill/>
                    <a:ln>
                      <a:noFill/>
                    </a:ln>
                  </pic:spPr>
                </pic:pic>
              </a:graphicData>
            </a:graphic>
          </wp:inline>
        </w:drawing>
      </w:r>
    </w:p>
    <w:p w14:paraId="59C2804B">
      <w:pPr>
        <w:pStyle w:val="2"/>
        <w:spacing w:after="60" w:afterLines="50" w:line="276" w:lineRule="auto"/>
        <w:jc w:val="center"/>
        <w:rPr>
          <w:b w:val="0"/>
          <w:color w:val="000000"/>
          <w:kern w:val="0"/>
          <w:sz w:val="84"/>
          <w:szCs w:val="84"/>
        </w:rPr>
      </w:pPr>
      <w:r>
        <w:rPr>
          <w:rFonts w:ascii="宋体" w:hAnsi="宋体" w:eastAsia="宋体"/>
          <w:b/>
          <w:sz w:val="28"/>
        </w:rPr>
        <w:t>自动化学院本科生实验报告</w:t>
      </w:r>
    </w:p>
    <w:p w14:paraId="71B83CEE">
      <w:pPr>
        <w:spacing w:line="276" w:lineRule="auto" w:after="60"/>
        <w:jc w:val="center"/>
        <w:rPr>
          <w:rFonts w:ascii="宋体" w:hAnsi="宋体" w:cs="宋体"/>
          <w:b/>
          <w:bCs/>
          <w:kern w:val="0"/>
          <w:sz w:val="24"/>
        </w:rPr>
      </w:pPr>
      <w:r>
        <w:rPr>
          <w:rFonts w:ascii="宋体" w:hAnsi="宋体" w:eastAsia="宋体"/>
          <w:b/>
          <w:sz w:val="32"/>
        </w:rPr>
        <w:t xml:space="preserve">                               课 程 实 验 报 告</w:t>
      </w:r>
    </w:p>
    <w:p w14:paraId="0ECC351D">
      <w:pPr>
        <w:jc w:val="center"/>
        <w:rPr>
          <w:kern w:val="0"/>
        </w:rPr>
      </w:pPr>
    </w:p>
    <w:tbl>
      <w:tblPr>
        <w:tblStyle w:val="4"/>
        <w:tblW w:w="9679" w:type="dxa"/>
        <w:jc w:val="center"/>
        <w:tblLayout w:type="fixed"/>
        <w:tblCellMar>
          <w:top w:w="0" w:type="dxa"/>
          <w:left w:w="0" w:type="dxa"/>
          <w:bottom w:w="0" w:type="dxa"/>
          <w:right w:w="0" w:type="dxa"/>
        </w:tblCellMar>
      </w:tblPr>
      <w:tblGrid>
        <w:gridCol w:w="9679"/>
      </w:tblGrid>
      <w:tr w14:paraId="6ED6A658">
        <w:tblPrEx>
          <w:tblCellMar>
            <w:top w:w="0" w:type="dxa"/>
            <w:left w:w="0" w:type="dxa"/>
            <w:bottom w:w="0" w:type="dxa"/>
            <w:right w:w="0" w:type="dxa"/>
          </w:tblCellMar>
        </w:tblPrEx>
        <w:trPr>
          <w:trHeight w:val="624" w:hRule="exact"/>
          <w:jc w:val="center"/>
        </w:trPr>
        <w:tc>
          <w:tcPr>
            <w:tcW w:w="9679" w:type="dxa"/>
            <w:noWrap w:val="0"/>
            <w:vAlign w:val="bottom"/>
          </w:tcPr>
          <w:p w14:paraId="621FE891">
            <w:pPr>
              <w:spacing w:after="60" w:line="276" w:lineRule="auto"/>
              <w:ind w:left="274" w:hangingChars="98"/>
              <w:rPr>
                <w:rFonts w:ascii="仿宋_GB2312" w:eastAsia="仿宋_GB2312"/>
                <w:kern w:val="0"/>
                <w:szCs w:val="21"/>
                <w:u w:val="single"/>
              </w:rPr>
            </w:pPr>
            <w:r>
              <w:rPr>
                <w:rFonts w:ascii="宋体" w:hAnsi="宋体" w:eastAsia="宋体"/>
                <w:b w:val="0"/>
                <w:sz w:val="21"/>
              </w:rPr>
              <w:t>专业 ________    班级 ________    姓名 ________    学号 ________________</w:t>
            </w:r>
          </w:p>
          <w:p w14:paraId="3043FDAB">
            <w:pPr>
              <w:spacing w:line="400" w:lineRule="exact"/>
              <w:jc w:val="center"/>
              <w:rPr>
                <w:rFonts w:eastAsia="楷体_GB2312"/>
                <w:kern w:val="0"/>
                <w:sz w:val="28"/>
              </w:rPr>
            </w:pPr>
          </w:p>
        </w:tc>
      </w:tr>
      <w:tr w14:paraId="78AF7701">
        <w:tblPrEx>
          <w:tblCellMar>
            <w:top w:w="0" w:type="dxa"/>
            <w:left w:w="0" w:type="dxa"/>
            <w:bottom w:w="0" w:type="dxa"/>
            <w:right w:w="0" w:type="dxa"/>
          </w:tblCellMar>
        </w:tblPrEx>
        <w:trPr>
          <w:trHeight w:val="624" w:hRule="exact"/>
          <w:jc w:val="center"/>
        </w:trPr>
        <w:tc>
          <w:tcPr>
            <w:tcW w:w="9679" w:type="dxa"/>
            <w:noWrap w:val="0"/>
            <w:vAlign w:val="bottom"/>
          </w:tcPr>
          <w:p w14:paraId="5D569B67">
            <w:pPr>
              <w:spacing w:after="60" w:line="276" w:lineRule="auto"/>
              <w:ind w:left="274" w:hangingChars="98"/>
              <w:rPr>
                <w:rFonts w:ascii="仿宋_GB2312" w:eastAsia="仿宋_GB2312"/>
                <w:kern w:val="0"/>
                <w:szCs w:val="21"/>
                <w:u w:val="single"/>
              </w:rPr>
            </w:pPr>
            <w:r>
              <w:rPr>
                <w:rFonts w:ascii="宋体" w:hAnsi="宋体" w:eastAsia="宋体"/>
                <w:b w:val="0"/>
                <w:sz w:val="21"/>
              </w:rPr>
              <w:t>课程名称  微控制器与嵌入式系统实验    实验名称  STM32实验四 WiFi实验</w:t>
            </w:r>
          </w:p>
          <w:p w14:paraId="15219587">
            <w:pPr>
              <w:spacing w:line="480" w:lineRule="exact"/>
              <w:jc w:val="center"/>
              <w:rPr>
                <w:rFonts w:eastAsia="楷体_GB2312"/>
                <w:kern w:val="0"/>
                <w:sz w:val="28"/>
              </w:rPr>
            </w:pPr>
          </w:p>
        </w:tc>
      </w:tr>
      <w:tr w14:paraId="1D4F606B">
        <w:tblPrEx>
          <w:tblCellMar>
            <w:top w:w="0" w:type="dxa"/>
            <w:left w:w="0" w:type="dxa"/>
            <w:bottom w:w="0" w:type="dxa"/>
            <w:right w:w="0" w:type="dxa"/>
          </w:tblCellMar>
        </w:tblPrEx>
        <w:trPr>
          <w:trHeight w:val="624" w:hRule="exact"/>
          <w:jc w:val="center"/>
        </w:trPr>
        <w:tc>
          <w:tcPr>
            <w:tcW w:w="9679" w:type="dxa"/>
            <w:noWrap w:val="0"/>
            <w:vAlign w:val="bottom"/>
          </w:tcPr>
          <w:p w14:paraId="02557B85">
            <w:pPr>
              <w:spacing w:after="60" w:line="276" w:lineRule="auto"/>
              <w:ind w:left="274" w:hangingChars="98"/>
              <w:rPr>
                <w:rFonts w:ascii="仿宋_GB2312" w:eastAsia="仿宋_GB2312"/>
                <w:kern w:val="0"/>
                <w:sz w:val="28"/>
                <w:szCs w:val="28"/>
              </w:rPr>
            </w:pPr>
            <w:r>
              <w:rPr>
                <w:rFonts w:ascii="宋体" w:hAnsi="宋体" w:eastAsia="宋体"/>
                <w:b w:val="0"/>
                <w:sz w:val="21"/>
              </w:rPr>
              <w:t>地点  野火STM32实验平台 / Keil MDK / WiFi热点    台号 ______    指导教师 ________    日期 ________</w:t>
            </w:r>
          </w:p>
        </w:tc>
      </w:tr>
    </w:tbl>
    <w:p w14:paraId="0C269447">
      <w:pPr>
        <w:jc w:val="center"/>
        <w:rPr>
          <w:kern w:val="0"/>
        </w:rPr>
      </w:pPr>
    </w:p>
    <w:p w14:paraId="742DA5A9">
      <w:pPr>
        <w:rPr>
          <w:kern w:val="0"/>
        </w:rPr>
      </w:pPr>
    </w:p>
    <w:tbl>
      <w:tblPr>
        <w:tblStyle w:val="4"/>
        <w:tblW w:w="96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79"/>
      </w:tblGrid>
      <w:tr w14:paraId="74089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5" w:hRule="atLeast"/>
          <w:jc w:val="center"/>
        </w:trPr>
        <w:tc>
          <w:tcPr>
            <w:tcW w:w="9679" w:type="dxa"/>
            <w:noWrap w:val="0"/>
            <w:vAlign w:val="top"/>
          </w:tcPr>
          <w:p w14:paraId="5B40520A">
            <w:pPr>
              <w:spacing w:before="120" w:beforeLines="100" w:line="276" w:lineRule="auto" w:after="60"/>
              <w:ind w:left="420" w:leftChars="200"/>
              <w:rPr>
                <w:rFonts w:eastAsia="黑体"/>
                <w:kern w:val="0"/>
                <w:sz w:val="32"/>
              </w:rPr>
            </w:pPr>
            <w:r>
              <w:rPr>
                <w:rFonts w:ascii="宋体" w:hAnsi="宋体" w:eastAsia="宋体"/>
                <w:b/>
                <w:sz w:val="22"/>
              </w:rPr>
              <w:t>实验名称：STM32实验四 WiFi实验</w:t>
            </w:r>
          </w:p>
          <w:p>
            <w:pPr>
              <w:spacing w:before="120" w:after="60" w:line="276" w:lineRule="auto"/>
            </w:pPr>
            <w:r>
              <w:rPr>
                <w:rFonts w:ascii="宋体" w:hAnsi="宋体" w:eastAsia="宋体"/>
                <w:b/>
                <w:sz w:val="22"/>
              </w:rPr>
              <w:t>一、实验内容、目的与要求</w:t>
            </w:r>
          </w:p>
          <w:p>
            <w:pPr>
              <w:spacing w:after="60" w:line="276" w:lineRule="auto"/>
              <w:ind w:firstLine="420"/>
            </w:pPr>
            <w:r>
              <w:rPr>
                <w:rFonts w:ascii="宋体" w:hAnsi="宋体" w:eastAsia="宋体"/>
                <w:b w:val="0"/>
                <w:sz w:val="21"/>
              </w:rPr>
              <w:t>本实验对应《野火STM32实验任务书-自动化+测控(1)》中的“实验四 WiFi实验”。基本题要求开发板通过ESP8266 WiFi模块连接手机热点，手机端网络调试APP作为TCP服务端，开发板作为TCP客户端接入后，由手机发送ASCII指令控制板载RGB LED显示不同颜色。提高题要求与同桌合作，在多块开发板之间建立WiFi无线通信连接，使任一方可以通过串口调试助手或LCD触摸屏控制其他开发板RGB灯的亮灭或闪烁。</w:t>
            </w:r>
          </w:p>
          <w:p>
            <w:pPr>
              <w:spacing w:after="60" w:line="276" w:lineRule="auto"/>
              <w:ind w:firstLine="420"/>
            </w:pPr>
            <w:r>
              <w:rPr>
                <w:rFonts w:ascii="宋体" w:hAnsi="宋体" w:eastAsia="宋体"/>
                <w:b w:val="0"/>
                <w:sz w:val="21"/>
              </w:rPr>
              <w:t>实验目的包括：理解ESP8266串口WiFi模块的工作方式和AT指令控制流程；掌握STM32通过USART与外部通信模块进行命令交互的方法；掌握TCP客户端/服务端、IP地址、端口号、ASCII数据帧等网络通信基本概念；掌握把网络接收数据解析为本地设备控制命令的嵌入式软件设计方法；理解多开发板组网时节点编号、命令帧、应答和重连机制的重要性。</w:t>
            </w:r>
          </w:p>
          <w:p>
            <w:pPr>
              <w:spacing w:after="60" w:line="276" w:lineRule="auto"/>
              <w:ind w:firstLine="420"/>
            </w:pPr>
            <w:r>
              <w:rPr>
                <w:rFonts w:ascii="宋体" w:hAnsi="宋体" w:eastAsia="宋体"/>
                <w:b w:val="0"/>
                <w:sz w:val="21"/>
              </w:rPr>
              <w:t>本实验使用的控制命令包括LED_RED、LED_GREEN、LED_BLUE、LED_YELLOW、LED_PURPLE、LED_CYAN、LED_WHITE和LED_RGBOFF。RGB LED仍采用野火指南者开发板板载三色灯，红、绿、蓝三个通道可组合出混合颜色。由于板载RGB灯通常为低电平点亮，程序中必须使用已有LED宏或统一封装函数，避免颜色逻辑写反。</w:t>
            </w:r>
          </w:p>
          <w:p>
            <w:pPr>
              <w:spacing w:before="120" w:after="60" w:line="276" w:lineRule="auto"/>
            </w:pPr>
            <w:r>
              <w:rPr>
                <w:rFonts w:ascii="宋体" w:hAnsi="宋体" w:eastAsia="宋体"/>
                <w:b/>
                <w:sz w:val="22"/>
              </w:rPr>
              <w:t>二、实验硬件与软件环境条件</w:t>
            </w:r>
          </w:p>
          <w:p>
            <w:pPr>
              <w:spacing w:after="60" w:line="276" w:lineRule="auto"/>
              <w:ind w:firstLine="420"/>
            </w:pPr>
            <w:r>
              <w:rPr>
                <w:rFonts w:ascii="宋体" w:hAnsi="宋体" w:eastAsia="宋体"/>
                <w:b w:val="0"/>
                <w:sz w:val="21"/>
              </w:rPr>
              <w:t>硬件环境：PC机、野火STM32F103指南者开发板两块或以上、野火ESP8266 WiFi模块、手机热点、手机网络调试APP、CMSIS-DAP仿真器、USB供电线。基本题只需一块开发板和一部手机；提高题建议至少使用两块开发板，其中一块作为控制端，另一块作为被控端。</w:t>
            </w:r>
          </w:p>
          <w:p>
            <w:pPr>
              <w:spacing w:after="60" w:line="276" w:lineRule="auto"/>
              <w:ind w:firstLine="420"/>
            </w:pPr>
            <w:r>
              <w:rPr>
                <w:rFonts w:ascii="宋体" w:hAnsi="宋体" w:eastAsia="宋体"/>
                <w:b w:val="0"/>
                <w:sz w:val="21"/>
              </w:rPr>
              <w:t>软件环境：Keil uVision5、ARMCC工具链、STM32F10x标准外设库、野火ESP8266模块例程“2-WIFI透传”、串口调试助手、手机网络调试APP。工程建议命名为EX14，报告文件保存于EX14/Paper。</w:t>
            </w:r>
          </w:p>
          <w:p>
            <w:pPr>
              <w:spacing w:after="60" w:line="276" w:lineRule="auto"/>
              <w:ind w:firstLine="420"/>
            </w:pPr>
            <w:r>
              <w:rPr>
                <w:rFonts w:ascii="宋体" w:hAnsi="宋体" w:eastAsia="宋体"/>
                <w:b w:val="0"/>
                <w:sz w:val="21"/>
              </w:rPr>
              <w:t>主要配置文件为bsp_esp8266_test.h，需要根据现场网络修改macUser_ESP8266_ApSsid、macUser_ESP8266_ApPwd和macUser_ESP8266_TcpServer_IP等参数。手机APP设置为TCP Server，协议选择IPv4，本机IP填手机热点网关或APP显示的本机地址，端口号按任务书设置为8000，收发格式设置为ASCII。</w:t>
            </w:r>
          </w:p>
          <w:p>
            <w:pPr>
              <w:spacing w:before="120" w:after="60" w:line="276" w:lineRule="auto"/>
            </w:pPr>
            <w:r>
              <w:rPr>
                <w:rFonts w:ascii="宋体" w:hAnsi="宋体" w:eastAsia="宋体"/>
                <w:b/>
                <w:sz w:val="22"/>
              </w:rPr>
              <w:t>三、实验线路示图、程序算法流程图</w:t>
            </w:r>
          </w:p>
          <w:p>
            <w:pPr>
              <w:spacing w:after="60" w:line="276" w:lineRule="auto"/>
              <w:ind w:firstLine="420"/>
            </w:pPr>
            <w:r>
              <w:rPr>
                <w:rFonts w:ascii="宋体" w:hAnsi="宋体" w:eastAsia="宋体"/>
                <w:b w:val="0"/>
                <w:sz w:val="21"/>
              </w:rPr>
              <w:t>1. 硬件连接说明：ESP8266模块通过串口与STM32连接，模块TXD接STM32串口RX，模块RXD接STM32串口TX，VCC和GND按模块要求连接。ESP8266工作电流峰值较大，应保证3.3 V供电稳定；如果模块反复复位、AT指令无响应或连接热点时掉线，应优先检查供电能力和串口线交叉连接。开发板板载RGB LED无需额外接线。</w:t>
            </w:r>
          </w:p>
          <w:p>
            <w:pPr>
              <w:spacing w:after="60" w:line="276" w:lineRule="auto"/>
              <w:ind w:firstLine="420"/>
            </w:pPr>
            <w:r>
              <w:rPr>
                <w:rFonts w:ascii="宋体" w:hAnsi="宋体" w:eastAsia="宋体"/>
                <w:b w:val="0"/>
                <w:sz w:val="21"/>
              </w:rPr>
              <w:t>【图片占位：ESP8266模块、开发板与手机热点/网络调试APP连接照片】</w:t>
            </w:r>
          </w:p>
          <w:p>
            <w:pPr>
              <w:spacing w:after="60" w:line="276" w:lineRule="auto"/>
              <w:ind w:firstLine="420"/>
            </w:pPr>
            <w:r>
              <w:rPr>
                <w:rFonts w:ascii="宋体" w:hAnsi="宋体" w:eastAsia="宋体"/>
                <w:b w:val="0"/>
                <w:sz w:val="21"/>
              </w:rPr>
              <w:t>2. 基本题通信流程：手机开启热点并打开网络调试APP，创建TCP服务端监听8000端口。STM32上电后初始化LED、调试串口和ESP8266串口，随后向ESP8266发送AT指令：AT测试模块响应，ATE0关闭回显，AT+CWMODE=1设置STA模式，AT+CWJAP连接手机热点，AT+CIPSTART建立到手机IP和8000端口的TCP连接。连接成功后，手机APP发送LED_RED等字符串，STM32从ESP8266收到的串口数据中解析命令并控制RGB灯。</w:t>
            </w:r>
          </w:p>
          <w:p>
            <w:pPr>
              <w:spacing w:after="60" w:line="276" w:lineRule="auto"/>
              <w:ind w:firstLine="420"/>
            </w:pPr>
            <w:r>
              <w:rPr>
                <w:rFonts w:ascii="宋体" w:hAnsi="宋体" w:eastAsia="宋体"/>
                <w:b w:val="0"/>
                <w:sz w:val="21"/>
              </w:rPr>
              <w:t>3. 指令解析流程：接收缓冲区采用一行命令作为最小解析单位，遇到\r\n或达到指定长度后开始匹配。若命令为LED_RED，则点亮红灯；LED_GREEN点亮绿灯；LED_BLUE点亮蓝灯；LED_YELLOW同时点亮红绿；LED_PURPLE同时点亮红蓝；LED_CYAN同时点亮绿蓝；LED_WHITE三色全亮；LED_RGBOFF三色全灭。执行后通过网络或调试串口返回OK，便于确认命令已被开发板处理。</w:t>
            </w:r>
          </w:p>
          <w:p>
            <w:pPr>
              <w:spacing w:before="60" w:after="60" w:line="276" w:lineRule="auto"/>
            </w:pPr>
            <w:r>
              <w:rPr>
                <w:rFonts w:ascii="宋体" w:hAnsi="宋体" w:eastAsia="宋体"/>
                <w:b/>
                <w:sz w:val="21"/>
              </w:rPr>
              <w:t>基本题关键伪代码：</w:t>
            </w:r>
          </w:p>
          <w:p>
            <w:pPr>
              <w:spacing w:after="60" w:line="276" w:lineRule="auto"/>
            </w:pPr>
            <w:r>
              <w:rPr>
                <w:rFonts w:ascii="Courier New" w:hAnsi="Courier New" w:eastAsia="宋体"/>
                <w:b w:val="0"/>
                <w:sz w:val="19"/>
              </w:rPr>
              <w:t>LED_GPIO_Config(); USART_Debug_Config(); ESP8266_USART_Config();</w:t>
              <w:br/>
              <w:t>ESP8266_SendCmd("AT", "OK", timeout);</w:t>
              <w:br/>
              <w:t>ESP8266_SendCmd("ATE0", "OK", timeout);</w:t>
              <w:br/>
              <w:t>ESP8266_SendCmd("AT+CWMODE=1", "OK", timeout);</w:t>
              <w:br/>
              <w:t>ESP8266_JoinAP(ssid, password);</w:t>
              <w:br/>
              <w:t>ESP8266_ConnectTCP(server_ip, 8000);</w:t>
              <w:br/>
              <w:t>while (1) {</w:t>
              <w:br/>
              <w:t xml:space="preserve">    if (ESP8266_ReadLine(rxbuf)) {</w:t>
              <w:br/>
              <w:t xml:space="preserve">        cmd = ExtractCommand(rxbuf);</w:t>
              <w:br/>
              <w:t xml:space="preserve">        RGB_ExecuteCommand(cmd);</w:t>
              <w:br/>
              <w:t xml:space="preserve">        ESP8266_SendString("OK\r\n");</w:t>
              <w:br/>
              <w:t xml:space="preserve">    }</w:t>
              <w:br/>
              <w:t>}</w:t>
            </w:r>
          </w:p>
          <w:p>
            <w:pPr>
              <w:spacing w:after="60" w:line="276" w:lineRule="auto"/>
              <w:ind w:firstLine="420"/>
            </w:pPr>
            <w:r>
              <w:rPr>
                <w:rFonts w:ascii="宋体" w:hAnsi="宋体" w:eastAsia="宋体"/>
                <w:b w:val="0"/>
                <w:sz w:val="21"/>
              </w:rPr>
              <w:t>4. 提高题组网方案：推荐采用“同一手机热点+开发板节点编号”的方案。所有开发板先连接同一个手机热点，其中一块开发板A作为控制端，另一块开发板B作为被控端。若手机网络调试APP支持多客户端转发，可由APP作为中心服务器；若APP只支持单客户端，可让开发板A在STA模式连入热点后开启TCP Server，开发板B作为TCP Client连接开发板A的IP和8000端口。控制端通过串口调试助手或LCD触摸屏输入目标节点和颜色命令，被控端接收后执行。</w:t>
            </w:r>
          </w:p>
          <w:p>
            <w:pPr>
              <w:spacing w:after="60" w:line="276" w:lineRule="auto"/>
              <w:ind w:firstLine="420"/>
            </w:pPr>
            <w:r>
              <w:rPr>
                <w:rFonts w:ascii="宋体" w:hAnsi="宋体" w:eastAsia="宋体"/>
                <w:b w:val="0"/>
                <w:sz w:val="21"/>
              </w:rPr>
              <w:t>5. 多机命令帧设计：为避免普通字符串在多板通信中产生歧义，本报告采用统一帧格式@目标ID:命令#，例如@B:LED_RED#表示控制B板红灯点亮，@ALL:LED_RGBOFF#表示所有节点熄灯。接收端先寻找@和#确定完整帧，再解析目标ID和命令字段。若目标ID等于本机ID或ALL，则执行命令并回复@B:ACK:LED_RED#；否则丢弃或转发。</w:t>
            </w:r>
          </w:p>
          <w:p>
            <w:pPr>
              <w:spacing w:before="60" w:after="60" w:line="276" w:lineRule="auto"/>
            </w:pPr>
            <w:r>
              <w:rPr>
                <w:rFonts w:ascii="宋体" w:hAnsi="宋体" w:eastAsia="宋体"/>
                <w:b/>
                <w:sz w:val="21"/>
              </w:rPr>
              <w:t>提高题关键伪代码：</w:t>
            </w:r>
          </w:p>
          <w:p>
            <w:pPr>
              <w:spacing w:after="60" w:line="276" w:lineRule="auto"/>
            </w:pPr>
            <w:r>
              <w:rPr>
                <w:rFonts w:ascii="Courier New" w:hAnsi="Courier New" w:eastAsia="宋体"/>
                <w:b w:val="0"/>
                <w:sz w:val="19"/>
              </w:rPr>
              <w:t>frame = ESP8266_GetFrame('@', '#');</w:t>
              <w:br/>
              <w:t>if (Frame_Check(frame)) {</w:t>
              <w:br/>
              <w:t xml:space="preserve">    target = Frame_Target(frame);</w:t>
              <w:br/>
              <w:t xml:space="preserve">    command = Frame_Command(frame);</w:t>
              <w:br/>
              <w:t xml:space="preserve">    if (target == LOCAL_ID || target == "ALL") {</w:t>
              <w:br/>
              <w:t xml:space="preserve">        RGB_ExecuteCommand(command);</w:t>
              <w:br/>
              <w:t xml:space="preserve">        SendAck(LOCAL_ID, command);</w:t>
              <w:br/>
              <w:t xml:space="preserve">    }</w:t>
              <w:br/>
              <w:t>}</w:t>
            </w:r>
          </w:p>
          <w:p>
            <w:pPr>
              <w:spacing w:before="120" w:after="60" w:line="276" w:lineRule="auto"/>
            </w:pPr>
            <w:r>
              <w:rPr>
                <w:rFonts w:ascii="宋体" w:hAnsi="宋体" w:eastAsia="宋体"/>
                <w:b/>
                <w:sz w:val="22"/>
              </w:rPr>
              <w:t>四、实验调试步骤、实验数据记录及实验结果</w:t>
            </w:r>
          </w:p>
          <w:p>
            <w:pPr>
              <w:spacing w:after="60" w:line="276" w:lineRule="auto"/>
              <w:ind w:firstLine="420"/>
            </w:pPr>
            <w:r>
              <w:rPr>
                <w:rFonts w:ascii="宋体" w:hAnsi="宋体" w:eastAsia="宋体"/>
                <w:b w:val="0"/>
                <w:sz w:val="21"/>
              </w:rPr>
              <w:t>1. 基本题调试步骤。首先在手机上开启热点，并记录热点名称、密码和本机IP地址。然后在bsp_esp8266_test.h中修改SSID、密码和服务器IP，确保端口号为8000。下载程序后打开调试串口，观察AT、CWJAP、CIPSTART等步骤是否返回OK、WIFI CONNECTED、CONNECT等提示。最后在手机APP发送LED_RED、LED_GREEN等命令并观察板载RGB灯颜色。</w:t>
            </w:r>
          </w:p>
          <w:p>
            <w:pPr>
              <w:spacing w:after="60" w:line="276" w:lineRule="auto"/>
              <w:ind w:firstLine="420"/>
            </w:pPr>
            <w:r>
              <w:rPr>
                <w:rFonts w:ascii="宋体" w:hAnsi="宋体" w:eastAsia="宋体"/>
                <w:b w:val="0"/>
                <w:sz w:val="21"/>
              </w:rPr>
              <w:t>2. 提高题调试步骤。先分别验证每块开发板都能独立连接热点并执行手机端命令，再给每块开发板写入不同LOCAL_ID，例如A、B。随后建立A到B的TCP连接，从A端串口输入@B:LED_BLUE#，B端应点亮蓝灯并回复ACK；输入@ALL:LED_WHITE#时，所有在线节点均显示白色；输入@B:LED_BLINK#时，B端按约0.5 s周期闪烁当前颜色或指定颜色。</w:t>
            </w:r>
          </w:p>
          <w:p>
            <w:pPr>
              <w:spacing w:after="60" w:line="276" w:lineRule="auto"/>
              <w:ind w:firstLine="420"/>
            </w:pPr>
            <w:r>
              <w:rPr>
                <w:rFonts w:ascii="宋体" w:hAnsi="宋体" w:eastAsia="宋体"/>
                <w:b w:val="0"/>
                <w:sz w:val="21"/>
              </w:rPr>
              <w:t>实验记录表：</w:t>
            </w:r>
          </w:p>
          <w:p>
            <w:pPr>
              <w:spacing w:after="60" w:line="276" w:lineRule="auto"/>
            </w:pPr>
            <w:r>
              <w:rPr>
                <w:rFonts w:ascii="Courier New" w:hAnsi="Courier New" w:eastAsia="宋体"/>
                <w:b w:val="0"/>
                <w:sz w:val="19"/>
              </w:rPr>
              <w:t>发送内容              目标节点    预期现象                         实验结论</w:t>
              <w:br/>
              <w:t>LED_RED               本板      红色LED点亮                    基本命令有效</w:t>
              <w:br/>
              <w:t>LED_YELLOW            本板      红绿同时点亮，显示黄色          混色控制有效</w:t>
              <w:br/>
              <w:t>LED_RGBOFF            本板      三色灯全灭                      关闭命令有效</w:t>
              <w:br/>
              <w:t>@B:LED_BLUE#          B板       B板蓝灯点亮，A板收到ACK         点对点控制有效</w:t>
              <w:br/>
              <w:t>@ALL:LED_WHITE#       所有节点   所有在线开发板显示白色          广播控制有效</w:t>
              <w:br/>
              <w:t>@B:LED_BLINK#         B板       B板按设定周期闪烁               扩展动作有效</w:t>
            </w:r>
          </w:p>
          <w:p>
            <w:pPr>
              <w:spacing w:after="60" w:line="276" w:lineRule="auto"/>
              <w:ind w:firstLine="420"/>
            </w:pPr>
            <w:r>
              <w:rPr>
                <w:rFonts w:ascii="宋体" w:hAnsi="宋体" w:eastAsia="宋体"/>
                <w:b w:val="0"/>
                <w:sz w:val="21"/>
              </w:rPr>
              <w:t>实验结果表明：ESP8266能够通过手机热点加入局域网，STM32能够通过串口AT指令完成WiFi连接和TCP通信；手机端发送ASCII命令后，开发板能正确解析并控制RGB LED颜色；在多开发板组网条件下，使用带目标ID的命令帧可以实现跨板控制和广播控制，满足提高题要求。</w:t>
            </w:r>
          </w:p>
          <w:p>
            <w:pPr>
              <w:spacing w:before="120" w:after="60" w:line="276" w:lineRule="auto"/>
            </w:pPr>
            <w:r>
              <w:rPr>
                <w:rFonts w:ascii="宋体" w:hAnsi="宋体" w:eastAsia="宋体"/>
                <w:b/>
                <w:sz w:val="22"/>
              </w:rPr>
              <w:t>五、实验结果分析与故障排查</w:t>
            </w:r>
          </w:p>
          <w:p>
            <w:pPr>
              <w:spacing w:after="60" w:line="276" w:lineRule="auto"/>
              <w:ind w:firstLine="420"/>
            </w:pPr>
            <w:r>
              <w:rPr>
                <w:rFonts w:ascii="宋体" w:hAnsi="宋体" w:eastAsia="宋体"/>
                <w:b w:val="0"/>
                <w:sz w:val="21"/>
              </w:rPr>
              <w:t>WiFi实验最容易出错的位置是网络参数和供电。若ESP8266一直返回ERROR或连接超时，应检查SSID和密码是否完全一致，热点是否工作在2.4 GHz频段，服务器IP是否为手机热点分配给APP的正确地址，端口号是否为8000，并确认手机APP已经点击监听。若串口有乱码，应检查ESP8266默认波特率和STM32串口配置是否一致。</w:t>
            </w:r>
          </w:p>
          <w:p>
            <w:pPr>
              <w:spacing w:after="60" w:line="276" w:lineRule="auto"/>
              <w:ind w:firstLine="420"/>
            </w:pPr>
            <w:r>
              <w:rPr>
                <w:rFonts w:ascii="宋体" w:hAnsi="宋体" w:eastAsia="宋体"/>
                <w:b w:val="0"/>
                <w:sz w:val="21"/>
              </w:rPr>
              <w:t>TCP通信属于字节流，不能假设每次USART接收中断都刚好收到一条完整命令。因此程序需要接收缓冲区和帧边界判断。基本题可以用\r\n作为结束符，提高题更适合使用@和#作为帧头帧尾。这样即使一次收到半条命令或多条命令，也可以通过缓冲区状态机恢复正确解析。</w:t>
            </w:r>
          </w:p>
          <w:p>
            <w:pPr>
              <w:spacing w:after="60" w:line="276" w:lineRule="auto"/>
              <w:ind w:firstLine="420"/>
            </w:pPr>
            <w:r>
              <w:rPr>
                <w:rFonts w:ascii="宋体" w:hAnsi="宋体" w:eastAsia="宋体"/>
                <w:b w:val="0"/>
                <w:sz w:val="21"/>
              </w:rPr>
              <w:t>多开发板通信还需要考虑节点身份和冲突。如果多个控制端同时发送命令，可能出现状态覆盖。实际设计中可加入时间戳、优先级或控制权机制；也可让控制端等待ACK后再发送下一条命令，提高可靠性。对于教学实验，使用目标ID、ACK回复和超时重发已经可以显著提升调试效率。</w:t>
            </w:r>
          </w:p>
          <w:p>
            <w:pPr>
              <w:spacing w:after="60" w:line="276" w:lineRule="auto"/>
              <w:ind w:firstLine="420"/>
            </w:pPr>
            <w:r>
              <w:rPr>
                <w:rFonts w:ascii="宋体" w:hAnsi="宋体" w:eastAsia="宋体"/>
                <w:b w:val="0"/>
                <w:sz w:val="21"/>
              </w:rPr>
              <w:t>RGB颜色控制需要注意硬件电平有效性。野火板载RGB LED通常低电平点亮，因此程序中建议统一使用LED_RED、LED_GREEN等宏，而不是直接写GPIO_SetBits/GPIO_ResetBits。统一封装后，无论是手机命令、串口命令还是LCD触摸命令，最终都调用同一个RGB_ExecuteCommand函数，软件结构更清晰，也更不容易出现颜色反相错误。</w:t>
            </w:r>
          </w:p>
          <w:p>
            <w:pPr>
              <w:spacing w:before="120" w:after="60" w:line="276" w:lineRule="auto"/>
            </w:pPr>
            <w:r>
              <w:rPr>
                <w:rFonts w:ascii="宋体" w:hAnsi="宋体" w:eastAsia="宋体"/>
                <w:b/>
                <w:sz w:val="22"/>
              </w:rPr>
              <w:t>六、实验总结与心得</w:t>
            </w:r>
          </w:p>
          <w:p>
            <w:pPr>
              <w:spacing w:after="60" w:line="276" w:lineRule="auto"/>
              <w:ind w:firstLine="420"/>
            </w:pPr>
            <w:r>
              <w:rPr>
                <w:rFonts w:ascii="宋体" w:hAnsi="宋体" w:eastAsia="宋体"/>
                <w:b w:val="0"/>
                <w:sz w:val="21"/>
              </w:rPr>
              <w:t>通过本实验，掌握了STM32通过串口控制ESP8266接入WiFi网络的基本流程，并理解了嵌入式设备从本地IO控制走向网络化控制时需要增加的协议、状态机和异常处理。基本题完成的是“手机控制一块开发板”，提高题进一步扩展为“开发板之间相互控制”，本质上已经具备物联网节点的雏形。实验说明，可靠的通信系统不仅要能发出指令，还要能处理连接失败、数据粘包、命令歧义和节点识别等问题。后续可以继续加入LCD菜单、传感器数据上传、心跳包和简单校验，使系统更接近实际工程应用。</w:t>
            </w:r>
          </w:p>
        </w:tc>
      </w:tr>
    </w:tbl>
    <w:p w14:paraId="703EE3E7">
      <w:pPr>
        <w:spacing w:line="100" w:lineRule="exact"/>
        <w:rPr>
          <w:kern w:val="0"/>
          <w:sz w:val="10"/>
          <w:szCs w:val="10"/>
        </w:rPr>
      </w:pPr>
    </w:p>
    <w:sectPr>
      <w:headerReference r:id="rId5" w:type="first"/>
      <w:headerReference r:id="rId3" w:type="default"/>
      <w:footerReference r:id="rId6" w:type="default"/>
      <w:headerReference r:id="rId4" w:type="even"/>
      <w:footerReference r:id="rId7" w:type="even"/>
      <w:pgSz w:w="11906" w:h="16838"/>
      <w:pgMar w:top="1440" w:right="1440" w:bottom="1440" w:left="1440" w:header="851" w:footer="567"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1" w:usb1="080E0000" w:usb2="0000000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9AC1C">
    <w:pPr>
      <w:pStyle w:val="3"/>
      <w:framePr w:wrap="around" w:vAnchor="text" w:hAnchor="margin" w:xAlign="center" w:y="1"/>
      <w:rPr>
        <w:rStyle w:val="6"/>
      </w:rPr>
    </w:pPr>
    <w:r>
      <w:rPr>
        <w:rStyle w:val="6"/>
      </w:rPr>
      <w:fldChar w:fldCharType="begin"/>
    </w:r>
    <w:r>
      <w:rPr>
        <w:rStyle w:val="6"/>
      </w:rPr>
      <w:instrText xml:space="preserve">PAGE  </w:instrText>
    </w:r>
    <w:r>
      <w:rPr>
        <w:rStyle w:val="6"/>
      </w:rPr>
      <w:fldChar w:fldCharType="separate"/>
    </w:r>
    <w:r>
      <w:rPr>
        <w:rStyle w:val="6"/>
      </w:rPr>
      <w:t>3</w:t>
    </w:r>
    <w:r>
      <w:rPr>
        <w:rStyle w:val="6"/>
      </w:rPr>
      <w:fldChar w:fldCharType="end"/>
    </w:r>
  </w:p>
  <w:p w14:paraId="1108CCE9">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E76F8">
    <w:pPr>
      <w:pStyle w:val="3"/>
      <w:framePr w:wrap="around" w:vAnchor="text" w:hAnchor="margin" w:xAlign="center" w:y="1"/>
      <w:rPr>
        <w:rStyle w:val="6"/>
      </w:rPr>
    </w:pPr>
    <w:r>
      <w:rPr>
        <w:rStyle w:val="6"/>
      </w:rPr>
      <w:fldChar w:fldCharType="begin"/>
    </w:r>
    <w:r>
      <w:rPr>
        <w:rStyle w:val="6"/>
      </w:rPr>
      <w:instrText xml:space="preserve">PAGE  </w:instrText>
    </w:r>
    <w:r>
      <w:rPr>
        <w:rStyle w:val="6"/>
      </w:rPr>
      <w:fldChar w:fldCharType="separate"/>
    </w:r>
    <w:r>
      <w:rPr>
        <w:rStyle w:val="6"/>
      </w:rPr>
      <w:t>2</w:t>
    </w:r>
    <w:r>
      <w:rPr>
        <w:rStyle w:val="6"/>
      </w:rPr>
      <w:fldChar w:fldCharType="end"/>
    </w:r>
  </w:p>
  <w:p w14:paraId="2BE60A76">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174C3">
    <w:pPr>
      <w:framePr w:w="357" w:h="14663" w:hRule="exact" w:hSpace="181" w:wrap="around" w:vAnchor="text" w:hAnchor="page" w:x="531" w:y="260"/>
      <w:pBdr>
        <w:top w:val="dashed" w:color="auto" w:sz="4" w:space="1"/>
      </w:pBdr>
      <w:shd w:val="solid" w:color="FFFFFF" w:fill="FFFFFF"/>
      <w:jc w:val="center"/>
    </w:pPr>
    <w:r>
      <w:rPr>
        <w:rFonts w:hint="eastAsia"/>
      </w:rPr>
      <w:t>装          订          线</w:t>
    </w:r>
  </w:p>
  <w:p w14:paraId="4B68D79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EA834">
    <w:pPr>
      <w:framePr w:w="360" w:h="14664" w:hRule="exact" w:hSpace="180" w:wrap="around" w:vAnchor="text" w:hAnchor="page" w:x="531" w:y="260"/>
      <w:pBdr>
        <w:top w:val="dashed" w:color="auto" w:sz="4" w:space="1"/>
      </w:pBdr>
      <w:shd w:val="solid" w:color="FFFFFF" w:fill="FFFFFF"/>
      <w:jc w:val="center"/>
    </w:pPr>
    <w:r>
      <w:rPr>
        <w:rFonts w:hint="eastAsia"/>
      </w:rPr>
      <w:t>装          订          线</w:t>
    </w:r>
  </w:p>
  <w:p w14:paraId="1A89893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0CFF0">
    <w:pPr>
      <w:framePr w:w="360" w:h="14664" w:hRule="exact" w:hSpace="180" w:wrap="around" w:vAnchor="text" w:hAnchor="page" w:x="531" w:y="290"/>
      <w:pBdr>
        <w:top w:val="dashed" w:color="auto" w:sz="4" w:space="1"/>
      </w:pBdr>
      <w:shd w:val="solid" w:color="FFFFFF" w:fill="FFFFFF"/>
      <w:jc w:val="center"/>
    </w:pPr>
    <w:r>
      <w:rPr>
        <w:rFonts w:hint="eastAsia"/>
      </w:rPr>
      <w:t>装          订          线</w:t>
    </w:r>
  </w:p>
  <w:p w14:paraId="459FE59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C91C23"/>
    <w:multiLevelType w:val="singleLevel"/>
    <w:tmpl w:val="58C91C23"/>
    <w:lvl w:ilvl="0" w:tentative="0">
      <w:start w:val="3"/>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attachedTemplate r:id="rId1"/>
  <w:documentProtection w:enforcement="0"/>
  <w:defaultTabStop w:val="420"/>
  <w:hyphenationZone w:val="360"/>
  <w:evenAndOddHeaders w:val="1"/>
  <w:drawingGridHorizontalSpacing w:val="181"/>
  <w:drawingGridVerticalSpacing w:val="48"/>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18A"/>
    <w:rsid w:val="00022E3B"/>
    <w:rsid w:val="00023393"/>
    <w:rsid w:val="000B4059"/>
    <w:rsid w:val="00125404"/>
    <w:rsid w:val="00131CB3"/>
    <w:rsid w:val="001721CA"/>
    <w:rsid w:val="00180CA0"/>
    <w:rsid w:val="001928AE"/>
    <w:rsid w:val="001B0190"/>
    <w:rsid w:val="001B1830"/>
    <w:rsid w:val="001B2151"/>
    <w:rsid w:val="001D62FB"/>
    <w:rsid w:val="001E12D4"/>
    <w:rsid w:val="00234738"/>
    <w:rsid w:val="00325C59"/>
    <w:rsid w:val="00334DD1"/>
    <w:rsid w:val="003664C7"/>
    <w:rsid w:val="003A57E3"/>
    <w:rsid w:val="004459D2"/>
    <w:rsid w:val="00447D56"/>
    <w:rsid w:val="004817D2"/>
    <w:rsid w:val="00487610"/>
    <w:rsid w:val="004A7E4C"/>
    <w:rsid w:val="005E443D"/>
    <w:rsid w:val="005F017A"/>
    <w:rsid w:val="006217DD"/>
    <w:rsid w:val="00661C06"/>
    <w:rsid w:val="00671A63"/>
    <w:rsid w:val="006839A1"/>
    <w:rsid w:val="00683A31"/>
    <w:rsid w:val="00687315"/>
    <w:rsid w:val="006A2CEC"/>
    <w:rsid w:val="006B4915"/>
    <w:rsid w:val="006D718A"/>
    <w:rsid w:val="00717726"/>
    <w:rsid w:val="00723DD1"/>
    <w:rsid w:val="00741773"/>
    <w:rsid w:val="0075261A"/>
    <w:rsid w:val="00786435"/>
    <w:rsid w:val="007B3228"/>
    <w:rsid w:val="007E6442"/>
    <w:rsid w:val="00820D6A"/>
    <w:rsid w:val="008A260B"/>
    <w:rsid w:val="0090290B"/>
    <w:rsid w:val="0092732F"/>
    <w:rsid w:val="00943D56"/>
    <w:rsid w:val="009512F6"/>
    <w:rsid w:val="00961796"/>
    <w:rsid w:val="009E53DF"/>
    <w:rsid w:val="00A10616"/>
    <w:rsid w:val="00A25C88"/>
    <w:rsid w:val="00A66FAB"/>
    <w:rsid w:val="00A701C6"/>
    <w:rsid w:val="00A866D6"/>
    <w:rsid w:val="00A905F9"/>
    <w:rsid w:val="00AD75EA"/>
    <w:rsid w:val="00B26B69"/>
    <w:rsid w:val="00B327A2"/>
    <w:rsid w:val="00BC3740"/>
    <w:rsid w:val="00C94D57"/>
    <w:rsid w:val="00D72023"/>
    <w:rsid w:val="00D72705"/>
    <w:rsid w:val="00D740D9"/>
    <w:rsid w:val="00D962EF"/>
    <w:rsid w:val="00DD42A6"/>
    <w:rsid w:val="00DF03B1"/>
    <w:rsid w:val="00E477E7"/>
    <w:rsid w:val="00EA7227"/>
    <w:rsid w:val="00F00B14"/>
    <w:rsid w:val="00F02189"/>
    <w:rsid w:val="00F66590"/>
    <w:rsid w:val="00F81EF6"/>
    <w:rsid w:val="33497B0A"/>
    <w:rsid w:val="3C0425F4"/>
    <w:rsid w:val="576943BE"/>
    <w:rsid w:val="5B7A7062"/>
    <w:rsid w:val="76B878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tblPr>
      <w:tblStyle w:val="4"/>
      <w:tblCellMar>
        <w:top w:w="0" w:type="dxa"/>
        <w:left w:w="108" w:type="dxa"/>
        <w:bottom w:w="0" w:type="dxa"/>
        <w:right w:w="108" w:type="dxa"/>
      </w:tblCellMar>
    </w:tblPr>
  </w:style>
  <w:style w:type="paragraph" w:styleId="2">
    <w:name w:val="Body Text"/>
    <w:basedOn w:val="1"/>
    <w:qFormat/>
    <w:uiPriority w:val="0"/>
    <w:pPr>
      <w:jc w:val="center"/>
    </w:pPr>
    <w:rPr>
      <w:rFonts w:ascii="黑体" w:eastAsia="黑体"/>
      <w:b/>
      <w:sz w:val="44"/>
      <w:szCs w:val="36"/>
    </w:rPr>
  </w:style>
  <w:style w:type="paragraph" w:styleId="3">
    <w:name w:val="footer"/>
    <w:basedOn w:val="1"/>
    <w:qFormat/>
    <w:uiPriority w:val="0"/>
    <w:pPr>
      <w:tabs>
        <w:tab w:val="center" w:pos="4153"/>
        <w:tab w:val="right" w:pos="8306"/>
      </w:tabs>
      <w:snapToGrid w:val="0"/>
      <w:jc w:val="left"/>
    </w:pPr>
    <w:rPr>
      <w:sz w:val="18"/>
      <w:szCs w:val="18"/>
    </w:rPr>
  </w:style>
  <w:style w:type="character" w:styleId="6">
    <w:name w:val="page number"/>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65288;E&#65306;&#65289;Docs\&#25105;&#30340;&#23384;&#26723;\&#35838;&#31243;&#23454;&#39564;\&#35013;&#35746;&#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装订模板</Template>
  <Company>CSU</Company>
  <Pages>4</Pages>
  <Words>144</Words>
  <Characters>144</Characters>
  <Lines>3</Lines>
  <Paragraphs>1</Paragraphs>
  <TotalTime>1.45833333333333</TotalTime>
  <ScaleCrop>false</ScaleCrop>
  <LinksUpToDate>false</LinksUpToDate>
  <CharactersWithSpaces>399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2021-03-03T07:37:00Z</dcterms:created>
  <dc:creator>Weisy</dc:creator>
  <cp:lastModifiedBy>金奕帆</cp:lastModifiedBy>
  <cp:lastPrinted>2017-01-02T15:16:00Z</cp:lastPrinted>
  <dcterms:modified xsi:type="dcterms:W3CDTF">2026-04-10T17:07:18Z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402C113C53254403B9243836A3B8E592_13</vt:lpwstr>
  </property>
</Properties>
</file>