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1B3A6B"/>
          <w:sz w:val="56"/>
          <w:szCs w:val="56"/>
        </w:rPr>
        <w:t xml:space="preserve">TRAZALOG TOOLS v3</w:t>
      </w:r>
    </w:p>
    <w:p>
      <w:pPr>
        <w:spacing w:after="120" w:before="0"/>
        <w:jc w:val="center"/>
      </w:pPr>
      <w:r>
        <w:rPr>
          <w:rFonts w:ascii="Arial" w:cs="Arial" w:eastAsia="Arial" w:hAnsi="Arial"/>
          <w:b/>
          <w:bCs/>
          <w:color w:val="2E75B6"/>
          <w:sz w:val="40"/>
          <w:szCs w:val="40"/>
        </w:rPr>
        <w:t xml:space="preserve">Estrategia de Pricing</w:t>
      </w:r>
    </w:p>
    <w:p>
      <w:pPr>
        <w:pBdr>
          <w:bottom w:val="single" w:color="2E75B6" w:sz="12" w:space="4"/>
        </w:pBdr>
        <w:spacing w:after="400" w:before="0"/>
        <w:jc w:val="center"/>
      </w:pPr>
      <w:r>
        <w:rPr>
          <w:rFonts w:ascii="Arial" w:cs="Arial" w:eastAsia="Arial" w:hAnsi="Arial"/>
          <w:color w:val="555555"/>
          <w:sz w:val="24"/>
          <w:szCs w:val="24"/>
        </w:rPr>
        <w:t xml:space="preserve">MCP + Plataforma  |  Modelo Freemium + Metered Billing</w:t>
      </w:r>
    </w:p>
    <w:p>
      <w:pPr>
        <w:spacing w:after="240" w:before="0"/>
      </w:pPr>
      <w:r>
        <w:t xml:space="preserve"/>
      </w:r>
    </w:p>
    <w:p>
      <w:pPr>
        <w:jc w:val="center"/>
      </w:pPr>
      <w:r>
        <w:rPr>
          <w:rFonts w:ascii="Arial" w:cs="Arial" w:eastAsia="Arial" w:hAnsi="Arial"/>
          <w:color w:val="777777"/>
          <w:sz w:val="20"/>
          <w:szCs w:val="20"/>
        </w:rPr>
        <w:t xml:space="preserve">Versión: 1.0   |   Fecha: Abril 2026   |   Autor: Rodolfo + Claude (AI Advisor)</w:t>
      </w:r>
    </w:p>
    <w:p>
      <w:pPr>
        <w:jc w:val="center"/>
      </w:pPr>
      <w:r>
        <w:rPr>
          <w:rFonts w:ascii="Arial" w:cs="Arial" w:eastAsia="Arial" w:hAnsi="Arial"/>
          <w:color w:val="777777"/>
          <w:sz w:val="20"/>
          <w:szCs w:val="20"/>
        </w:rPr>
        <w:t xml:space="preserve">Estado: En definición — consolidado de sesión de diseño</w:t>
      </w:r>
    </w:p>
    <w:p>
      <w:r>
        <w:br w:type="page"/>
      </w:r>
    </w:p>
    <w:p>
      <w:pPr>
        <w:pStyle w:val="Heading1"/>
        <w:spacing w:after="120" w:before="360"/>
      </w:pPr>
      <w:r>
        <w:rPr>
          <w:rFonts w:ascii="Arial" w:cs="Arial" w:eastAsia="Arial" w:hAnsi="Arial"/>
          <w:b/>
          <w:bCs/>
          <w:color w:val="1B3A6B"/>
          <w:sz w:val="32"/>
          <w:szCs w:val="32"/>
        </w:rPr>
        <w:t xml:space="preserve">1. Resumen Ejecutivo</w:t>
      </w:r>
    </w:p>
    <w:p>
      <w:pPr>
        <w:spacing w:after="80" w:before="60"/>
      </w:pPr>
      <w:r>
        <w:rPr>
          <w:rFonts w:ascii="Arial" w:cs="Arial" w:eastAsia="Arial" w:hAnsi="Arial"/>
          <w:sz w:val="22"/>
          <w:szCs w:val="22"/>
        </w:rPr>
        <w:t xml:space="preserve">Trazalog v3 adopta un modelo de pricing en dos capas que refleja la evolución del producto: una plataforma de gestión industrial con módulos freemium para adquisición y una capa de IA/MCP monetizada por uso real.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Decisión clave</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Modelo de plataforma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Freemium hasta 5 usuarios — gratis, sin límite de tiempo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Modelo de MCP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Siempre pago — tiers de capacidad con cuota de tool calls incluida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Métrica de cobro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 calls ejecutadas por agentes de IA (no usuarios, no texto)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Segmentos objetivo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PyMEs generales (base actual) + Proveedores de servicios mineros (pivote)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Referencia de precio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Derivado del valor económico real generado por cada interacción de IA</w:t>
            </w:r>
          </w:p>
        </w:tc>
      </w:tr>
    </w:tbl>
    <w:p>
      <w:pPr>
        <w:spacing w:after="240" w:before="0"/>
      </w:pPr>
      <w:r>
        <w:t xml:space="preserve"/>
      </w:r>
    </w:p>
    <w:p>
      <w:pPr>
        <w:pStyle w:val="Heading1"/>
        <w:spacing w:after="120" w:before="360"/>
      </w:pPr>
      <w:r>
        <w:rPr>
          <w:rFonts w:ascii="Arial" w:cs="Arial" w:eastAsia="Arial" w:hAnsi="Arial"/>
          <w:b/>
          <w:bCs/>
          <w:color w:val="1B3A6B"/>
          <w:sz w:val="32"/>
          <w:szCs w:val="32"/>
        </w:rPr>
        <w:t xml:space="preserve">2. Contexto y Diagnóstico del Modelo Actual</w:t>
      </w:r>
    </w:p>
    <w:p>
      <w:pPr>
        <w:pStyle w:val="Heading2"/>
        <w:spacing w:after="100" w:before="280"/>
      </w:pPr>
      <w:r>
        <w:rPr>
          <w:rFonts w:ascii="Arial" w:cs="Arial" w:eastAsia="Arial" w:hAnsi="Arial"/>
          <w:b/>
          <w:bCs/>
          <w:color w:val="2E75B6"/>
          <w:sz w:val="26"/>
          <w:szCs w:val="26"/>
        </w:rPr>
        <w:t xml:space="preserve">2.1 El problema del pricing per-seat con IA</w:t>
      </w:r>
    </w:p>
    <w:p>
      <w:pPr>
        <w:spacing w:after="80" w:before="60"/>
      </w:pPr>
      <w:r>
        <w:rPr>
          <w:rFonts w:ascii="Arial" w:cs="Arial" w:eastAsia="Arial" w:hAnsi="Arial"/>
          <w:sz w:val="22"/>
          <w:szCs w:val="22"/>
        </w:rPr>
        <w:t xml:space="preserve">El modelo actual cobra por módulo contratado × cantidad de usuarios. Este esquema tiene dos problemas críticos en el contexto de v3:</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Un agente de IA no es un usuario. Puede ejecutar cientos de tool calls por noche sin que ningún humano interactúe directamente con el sistema.</w:t>
      </w:r>
    </w:p>
    <w:p>
      <w:pPr>
        <w:pStyle w:val="ListParagraph"/>
        <w:numPr>
          <w:ilvl w:val="0"/>
          <w:numId w:val="2"/>
        </w:numPr>
        <w:spacing w:after="40" w:before="40"/>
      </w:pPr>
      <w:r>
        <w:rPr>
          <w:rFonts w:ascii="Arial" w:cs="Arial" w:eastAsia="Arial" w:hAnsi="Arial"/>
          <w:sz w:val="22"/>
          <w:szCs w:val="22"/>
        </w:rPr>
        <w:t xml:space="preserve">A medida que la IA reemplaza trabajo manual, los clientes necesitarán menos usuarios humanos — el ingreso de Trazalog bajaría justo cuando su valor sube.</w:t>
      </w:r>
    </w:p>
    <w:p>
      <w:pPr>
        <w:spacing w:after="120" w:before="0"/>
      </w:pPr>
      <w:r>
        <w:t xml:space="preserve"/>
      </w:r>
    </w:p>
    <w:p>
      <w:pPr>
        <w:pStyle w:val="Heading2"/>
        <w:spacing w:after="100" w:before="280"/>
      </w:pPr>
      <w:r>
        <w:rPr>
          <w:rFonts w:ascii="Arial" w:cs="Arial" w:eastAsia="Arial" w:hAnsi="Arial"/>
          <w:b/>
          <w:bCs/>
          <w:color w:val="2E75B6"/>
          <w:sz w:val="26"/>
          <w:szCs w:val="26"/>
        </w:rPr>
        <w:t xml:space="preserve">2.2 Baseline: el cliente minero actual</w:t>
      </w:r>
    </w:p>
    <w:p>
      <w:pPr>
        <w:spacing w:after="80" w:before="60"/>
      </w:pPr>
      <w:r>
        <w:rPr>
          <w:rFonts w:ascii="Arial" w:cs="Arial" w:eastAsia="Arial" w:hAnsi="Arial"/>
          <w:sz w:val="22"/>
          <w:szCs w:val="22"/>
        </w:rPr>
        <w:t xml:space="preserve">El cliente de referencia (proveedor de servicios de mantenimiento minero, primer cliente del vertical) proporciona la ancla de mercado:</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Parámetro</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actual</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Implicancia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Precio mensual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$800.000 ARS (~USD 563)</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Referencia de willingness to pay validada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 activos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usuarios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Supera el umbral freemium holgadamente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Módulos contratados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Asset Planner + Almacenes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módulos core del vertical minero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Tipo de cambio ref.</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$1.420 ARS/USD (BNA, 31/03/2026)</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para conversiones del análisis</w:t>
            </w:r>
          </w:p>
        </w:tc>
      </w:tr>
    </w:tbl>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3. Análisis Competitivo</w:t>
      </w:r>
    </w:p>
    <w:p>
      <w:pPr>
        <w:pStyle w:val="Heading2"/>
        <w:spacing w:after="100" w:before="280"/>
      </w:pPr>
      <w:r>
        <w:rPr>
          <w:rFonts w:ascii="Arial" w:cs="Arial" w:eastAsia="Arial" w:hAnsi="Arial"/>
          <w:b/>
          <w:bCs/>
          <w:color w:val="2E75B6"/>
          <w:sz w:val="26"/>
          <w:szCs w:val="26"/>
        </w:rPr>
        <w:t xml:space="preserve">3.1 Landscape de CMMS en Latinoamérica</w:t>
      </w:r>
    </w:p>
    <w:p>
      <w:pPr>
        <w:spacing w:after="80" w:before="60"/>
      </w:pPr>
      <w:r>
        <w:rPr>
          <w:rFonts w:ascii="Arial" w:cs="Arial" w:eastAsia="Arial" w:hAnsi="Arial"/>
          <w:sz w:val="22"/>
          <w:szCs w:val="22"/>
        </w:rPr>
        <w:t xml:space="preserve">El mercado de software de mantenimiento (CMMS) en Latinoamérica tiene cuatro jugadores relevantes. Ninguno tiene la combinación de especificidad minera local + capa MCP agentic que construye Trazalog v3.</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6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Competidor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Precio base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Posicionamiento</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Brecha vs. Trazalog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16–59/usuario/mes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Mobile-first, PyME industrial</w:t>
            </w:r>
          </w:p>
        </w:tc>
        <w:tc>
          <w:tcPr>
            <w:tcW w:type="dxa" w:w="36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MCP, sin minería local AR, sin HSE mining templates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Fracttal 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(aprox. USD 30–80/usuario/mes)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Industrial Latam, IoT nativo</w:t>
            </w:r>
          </w:p>
        </w:tc>
        <w:tc>
          <w:tcPr>
            <w:tcW w:type="dxa" w:w="36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MCP, ciclo de venta largo, complejo para PyME chica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Tractian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EAM + hardware IoT</w:t>
            </w:r>
          </w:p>
        </w:tc>
        <w:tc>
          <w:tcPr>
            <w:tcW w:type="dxa" w:w="36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Otro segmento — hardware+software, precio inaccesible para PyME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MP Software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(legado)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CMMS hispano consolidado</w:t>
            </w:r>
          </w:p>
        </w:tc>
        <w:tc>
          <w:tcPr>
            <w:tcW w:type="dxa" w:w="36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Tecnológicamente legacy, sin IA agentic, sin multi-sitio robusto</w:t>
            </w:r>
          </w:p>
        </w:tc>
      </w:tr>
    </w:tbl>
    <w:p>
      <w:pPr>
        <w:spacing w:after="120" w:before="0"/>
      </w:pPr>
      <w:r>
        <w:t xml:space="preserve"/>
      </w:r>
    </w:p>
    <w:p>
      <w:pPr>
        <w:spacing w:after="80" w:before="60"/>
      </w:pPr>
      <w:r>
        <w:rPr>
          <w:rFonts w:ascii="Arial" w:cs="Arial" w:eastAsia="Arial" w:hAnsi="Arial"/>
          <w:sz w:val="22"/>
          <w:szCs w:val="22"/>
        </w:rPr>
        <w:t xml:space="preserve">Dato clave del mercado: en cuanto se necesita visibilidad multi-técnico, trazabilidad para auditorías o KPIs de confiabilidad, el precio típico arranca entre USD 35–70/usuario/mes. Para un equipo de 15 personas: USD 525–1.050/mes solo de plataforma, sin ninguna capa de IA.</w:t>
      </w:r>
    </w:p>
    <w:p>
      <w:pPr>
        <w:spacing w:after="120" w:before="0"/>
      </w:pPr>
      <w:r>
        <w:t xml:space="preserve"/>
      </w:r>
    </w:p>
    <w:p>
      <w:pPr>
        <w:pStyle w:val="Heading2"/>
        <w:spacing w:after="100" w:before="280"/>
      </w:pPr>
      <w:r>
        <w:rPr>
          <w:rFonts w:ascii="Arial" w:cs="Arial" w:eastAsia="Arial" w:hAnsi="Arial"/>
          <w:b/>
          <w:bCs/>
          <w:color w:val="2E75B6"/>
          <w:sz w:val="26"/>
          <w:szCs w:val="26"/>
        </w:rPr>
        <w:t xml:space="preserve">3.2 La brecha que ningún competidor cubre</w:t>
      </w:r>
    </w:p>
    <w:p>
      <w:pPr>
        <w:spacing w:after="80" w:before="60"/>
      </w:pPr>
      <w:r>
        <w:rPr>
          <w:rFonts w:ascii="Arial" w:cs="Arial" w:eastAsia="Arial" w:hAnsi="Arial"/>
          <w:sz w:val="22"/>
          <w:szCs w:val="22"/>
        </w:rPr>
        <w:t xml:space="preserve">Trazalog v3 no compite en precio contra estos jugadores. Compite en tres dimensiones que ninguno puede replicar en el corto plazo:</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Especificidad de dominio: templates HSE para minería argentina, compliance con normativas locales (RIGI, ISO 45001 contexto minero San Juan), reporting en el formato que exigen Barrick, McEwen y Los Azules.</w:t>
      </w:r>
    </w:p>
    <w:p>
      <w:pPr>
        <w:pStyle w:val="ListParagraph"/>
        <w:numPr>
          <w:ilvl w:val="0"/>
          <w:numId w:val="2"/>
        </w:numPr>
        <w:spacing w:after="40" w:before="40"/>
      </w:pPr>
      <w:r>
        <w:rPr>
          <w:rFonts w:ascii="Arial" w:cs="Arial" w:eastAsia="Arial" w:hAnsi="Arial"/>
          <w:sz w:val="22"/>
          <w:szCs w:val="22"/>
        </w:rPr>
        <w:t xml:space="preserve">Capa MCP agentic: ningún CMMS del mercado expone sus operaciones como MCP tools consumibles por Claude, ChatGPT o agentes custom. Trazalog es primero.</w:t>
      </w:r>
    </w:p>
    <w:p>
      <w:pPr>
        <w:pStyle w:val="ListParagraph"/>
        <w:numPr>
          <w:ilvl w:val="0"/>
          <w:numId w:val="2"/>
        </w:numPr>
        <w:spacing w:after="40" w:before="40"/>
      </w:pPr>
      <w:r>
        <w:rPr>
          <w:rFonts w:ascii="Arial" w:cs="Arial" w:eastAsia="Arial" w:hAnsi="Arial"/>
          <w:sz w:val="22"/>
          <w:szCs w:val="22"/>
        </w:rPr>
        <w:t xml:space="preserve">Soporte local con contexto: conocimiento del ecosistema CAPRIMSA/CAPRESMI/CASEMI, de los proyectos en pipeline, y de la ventana de oportunidad 2026–2027.</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4. Análisis del Mercado Objetivo</w:t>
      </w:r>
    </w:p>
    <w:p>
      <w:pPr>
        <w:pStyle w:val="Heading2"/>
        <w:spacing w:after="100" w:before="280"/>
      </w:pPr>
      <w:r>
        <w:rPr>
          <w:rFonts w:ascii="Arial" w:cs="Arial" w:eastAsia="Arial" w:hAnsi="Arial"/>
          <w:b/>
          <w:bCs/>
          <w:color w:val="2E75B6"/>
          <w:sz w:val="26"/>
          <w:szCs w:val="26"/>
        </w:rPr>
        <w:t xml:space="preserve">4.1 El ecosistema de proveedores mineros en San Juan</w:t>
      </w:r>
    </w:p>
    <w:p>
      <w:pPr>
        <w:spacing w:after="80" w:before="60"/>
      </w:pPr>
      <w:r>
        <w:rPr>
          <w:rFonts w:ascii="Arial" w:cs="Arial" w:eastAsia="Arial" w:hAnsi="Arial"/>
          <w:sz w:val="22"/>
          <w:szCs w:val="22"/>
        </w:rPr>
        <w:t xml:space="preserve">San Juan se posiciona como el principal polo cuprífero de Argentina. Los proyectos confirmados bajo RIGI representan más de USD 20.000 millones en inversión comprometida, con construcción masiva entre 2027 y 2028.</w:t>
      </w:r>
    </w:p>
    <w:p>
      <w:pPr>
        <w:spacing w:after="120" w:before="0"/>
      </w:pPr>
      <w:r>
        <w:t xml:space="preserve"/>
      </w:r>
    </w:p>
    <w:p>
      <w:pPr>
        <w:spacing w:after="80" w:before="60"/>
      </w:pPr>
      <w:r>
        <w:rPr>
          <w:rFonts w:ascii="Arial" w:cs="Arial" w:eastAsia="Arial" w:hAnsi="Arial"/>
          <w:sz w:val="22"/>
          <w:szCs w:val="22"/>
        </w:rPr>
        <w:t xml:space="preserve">El ecosistema de proveedores activos hoy se distribuye en cuatro cámaras principales: CAPRIMSA, CAPRESMI, CASEMI y CAPEMISA, con aproximadamente 150–250 empresas activas. En marzo 2026, CAPRIMSA convocó cerca de 40 empresas a un encuentro con el proyecto Los Azules — 40 clientes potenciales de Trazalog reunidos en una sala.</w:t>
      </w:r>
    </w:p>
    <w:p>
      <w:pPr>
        <w:spacing w:after="120" w:before="0"/>
      </w:pPr>
      <w:r>
        <w:t xml:space="preserve"/>
      </w:r>
    </w:p>
    <w:p>
      <w:pPr>
        <w:spacing w:after="80" w:before="60"/>
      </w:pPr>
      <w:r>
        <w:rPr>
          <w:rFonts w:ascii="Arial" w:cs="Arial" w:eastAsia="Arial" w:hAnsi="Arial"/>
          <w:sz w:val="22"/>
          <w:szCs w:val="22"/>
        </w:rPr>
        <w:t xml:space="preserve">Los Azules se comprometió a destinar el 61,1% de su presupuesto a proveedores locales, superando el 20% exigido por el RIGI. La ventana de oportunidad es 2026–2027: los proveedores que no estén profesionalizados perderán frente a competidores chilenos y peruanos con certificaciones y sistemas.</w:t>
      </w:r>
    </w:p>
    <w:p>
      <w:pPr>
        <w:spacing w:after="120" w:before="0"/>
      </w:pPr>
      <w:r>
        <w:t xml:space="preserve"/>
      </w:r>
    </w:p>
    <w:p>
      <w:pPr>
        <w:pStyle w:val="Heading2"/>
        <w:spacing w:after="100" w:before="280"/>
      </w:pPr>
      <w:r>
        <w:rPr>
          <w:rFonts w:ascii="Arial" w:cs="Arial" w:eastAsia="Arial" w:hAnsi="Arial"/>
          <w:b/>
          <w:bCs/>
          <w:color w:val="2E75B6"/>
          <w:sz w:val="26"/>
          <w:szCs w:val="26"/>
        </w:rPr>
        <w:t xml:space="preserve">4.2 Segmentación y willingness to pay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913"/>
        <w:gridCol w:w="1913"/>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Facturación/mes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Empleados</w:t>
            </w:r>
          </w:p>
        </w:tc>
        <w:tc>
          <w:tcPr>
            <w:tcW w:type="dxa" w:w="19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WTP Plataforma</w:t>
            </w:r>
          </w:p>
        </w:tc>
        <w:tc>
          <w:tcPr>
            <w:tcW w:type="dxa" w:w="19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WTP MCP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Proveedor chico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20k–60k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5–15</w:t>
            </w:r>
          </w:p>
        </w:tc>
        <w:tc>
          <w:tcPr>
            <w:tcW w:type="dxa" w:w="1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0–200</w:t>
            </w:r>
          </w:p>
        </w:tc>
        <w:tc>
          <w:tcPr>
            <w:tcW w:type="dxa" w:w="19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50–150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Proveedor mediano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60k–300k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15–50</w:t>
            </w:r>
          </w:p>
        </w:tc>
        <w:tc>
          <w:tcPr>
            <w:tcW w:type="dxa" w:w="1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200–500</w:t>
            </w:r>
          </w:p>
        </w:tc>
        <w:tc>
          <w:tcPr>
            <w:tcW w:type="dxa" w:w="19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150–400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Proveedor grande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300k+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50–150</w:t>
            </w:r>
          </w:p>
        </w:tc>
        <w:tc>
          <w:tcPr>
            <w:tcW w:type="dxa" w:w="1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500–1.500</w:t>
            </w:r>
          </w:p>
        </w:tc>
        <w:tc>
          <w:tcPr>
            <w:tcW w:type="dxa" w:w="19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400–1.000</w:t>
            </w:r>
          </w:p>
        </w:tc>
      </w:tr>
    </w:tbl>
    <w:p>
      <w:pPr>
        <w:spacing w:after="120" w:before="0"/>
      </w:pPr>
      <w:r>
        <w:t xml:space="preserve"/>
      </w:r>
    </w:p>
    <w:p>
      <w:pPr>
        <w:spacing w:after="80" w:before="60"/>
      </w:pPr>
      <w:r>
        <w:rPr>
          <w:rFonts w:ascii="Arial" w:cs="Arial" w:eastAsia="Arial" w:hAnsi="Arial"/>
          <w:sz w:val="22"/>
          <w:szCs w:val="22"/>
        </w:rPr>
        <w:t xml:space="preserve">La palanca comercial correcta para el segmento minero no es la comparación con MaintainX a USD 16/usuario. Es el valor de acceso y permanencia en la cadena minera: Trazalog a USD 500/mes representa el 0,17% de la facturación de un proveedor mediano. Esa es la conversación de ventas.</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5. Estructura del Modelo de Pricing v3</w:t>
      </w:r>
    </w:p>
    <w:p>
      <w:pPr>
        <w:pStyle w:val="Heading2"/>
        <w:spacing w:after="100" w:before="280"/>
      </w:pPr>
      <w:r>
        <w:rPr>
          <w:rFonts w:ascii="Arial" w:cs="Arial" w:eastAsia="Arial" w:hAnsi="Arial"/>
          <w:b/>
          <w:bCs/>
          <w:color w:val="2E75B6"/>
          <w:sz w:val="26"/>
          <w:szCs w:val="26"/>
        </w:rPr>
        <w:t xml:space="preserve">5.1 Dos capas independientes</w:t>
      </w:r>
    </w:p>
    <w:p>
      <w:pPr>
        <w:spacing w:after="80" w:before="60"/>
      </w:pPr>
      <w:r>
        <w:rPr>
          <w:rFonts w:ascii="Arial" w:cs="Arial" w:eastAsia="Arial" w:hAnsi="Arial"/>
          <w:sz w:val="22"/>
          <w:szCs w:val="22"/>
        </w:rPr>
        <w:t xml:space="preserve">El modelo combina dos fuentes de ingreso con lógicas distintas: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w:t>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 1 — Plataforma</w:t>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 2 — MCP / 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Qué incluye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 los módulos (Asset Planner, Almacenes, Procesos, Residuos, Producción)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 calls ejecutadas por agentes de IA sobre los datos de Trazalog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Modelo</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Freemium hasta 5 usuarios — pago por empresa si superás el límite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Siempre pago — tiers de capacidad con cuota mensual incluida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Objetivo</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Adquisición y adopción masiva</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Capturar el valor generado por la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 qué funciona</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costo de infra por cliente es bajo; el límite de 5 usuarios filtra clientes productivos automáticamente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agente de IA no es un usuario — el modelo per-seat no captura este valor</w:t>
            </w:r>
          </w:p>
        </w:tc>
      </w:tr>
    </w:tbl>
    <w:p>
      <w:pPr>
        <w:spacing w:after="240" w:before="0"/>
      </w:pPr>
      <w:r>
        <w:t xml:space="preserve"/>
      </w:r>
    </w:p>
    <w:p>
      <w:pPr>
        <w:pStyle w:val="Heading2"/>
        <w:spacing w:after="100" w:before="280"/>
      </w:pPr>
      <w:r>
        <w:rPr>
          <w:rFonts w:ascii="Arial" w:cs="Arial" w:eastAsia="Arial" w:hAnsi="Arial"/>
          <w:b/>
          <w:bCs/>
          <w:color w:val="2E75B6"/>
          <w:sz w:val="26"/>
          <w:szCs w:val="26"/>
        </w:rPr>
        <w:t xml:space="preserve">5.2 El límite de 5 usuarios como filtro natural</w:t>
      </w:r>
    </w:p>
    <w:p>
      <w:pPr>
        <w:spacing w:after="80" w:before="60"/>
      </w:pPr>
      <w:r>
        <w:rPr>
          <w:rFonts w:ascii="Arial" w:cs="Arial" w:eastAsia="Arial" w:hAnsi="Arial"/>
          <w:sz w:val="22"/>
          <w:szCs w:val="22"/>
        </w:rPr>
        <w:t xml:space="preserve">El umbral del tier Free no es arbitrario. Cualquier operación productiva real — un proveedor minero con equipo de técnicos, una PyME industrial con supervisores, un cliente municipal — necesita más de 5 usuarios. El Free es genuino para exploración y demos, pero casi ningún cliente operativo se queda ahí.</w:t>
      </w:r>
    </w:p>
    <w:p>
      <w:pPr>
        <w:spacing w:after="120" w:before="0"/>
      </w:pPr>
      <w:r>
        <w:t xml:space="preserve"/>
      </w:r>
    </w:p>
    <w:p>
      <w:pPr>
        <w:spacing w:after="80" w:before="60"/>
      </w:pPr>
      <w:r>
        <w:rPr>
          <w:rFonts w:ascii="Arial" w:cs="Arial" w:eastAsia="Arial" w:hAnsi="Arial"/>
          <w:sz w:val="22"/>
          <w:szCs w:val="22"/>
        </w:rPr>
        <w:t xml:space="preserve">Esto resuelve el riesgo principal del freemium: el cliente que usa la plataforma indefinidamente sin convertir. Con 5 usuarios como techo, el cliente que tiene valor real del sistema sí o sí paga por plataforma — y el MCP es el upsell natural.</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6. Tiers de Pricing</w:t>
      </w:r>
    </w:p>
    <w:p>
      <w:pPr>
        <w:pStyle w:val="Heading2"/>
        <w:spacing w:after="100" w:before="280"/>
      </w:pPr>
      <w:r>
        <w:rPr>
          <w:rFonts w:ascii="Arial" w:cs="Arial" w:eastAsia="Arial" w:hAnsi="Arial"/>
          <w:b/>
          <w:bCs/>
          <w:color w:val="2E75B6"/>
          <w:sz w:val="26"/>
          <w:szCs w:val="26"/>
        </w:rPr>
        <w:t xml:space="preserve">6.1 Tabla de tiers completa</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2113"/>
        <w:gridCol w:w="2113"/>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Starter</w:t>
            </w:r>
          </w:p>
        </w:tc>
        <w:tc>
          <w:tcPr>
            <w:tcW w:type="dxa" w:w="21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Professional</w:t>
            </w:r>
          </w:p>
        </w:tc>
        <w:tc>
          <w:tcPr>
            <w:tcW w:type="dxa" w:w="21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Precio/mes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199</w:t>
            </w:r>
          </w:p>
        </w:tc>
        <w:tc>
          <w:tcPr>
            <w:tcW w:type="dxa" w:w="21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449</w:t>
            </w:r>
          </w:p>
        </w:tc>
        <w:tc>
          <w:tcPr>
            <w:tcW w:type="dxa" w:w="21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899+</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Hasta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Hasta 15</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Hasta 30</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Ilimitados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 + multi-empresa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MCP — Tool calls/mes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calls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 calls</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4.000 calls</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15.000 calls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MCP — Tipo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lectura</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Lectura + escritura</w:t>
            </w:r>
          </w:p>
        </w:tc>
        <w:tc>
          <w:tcPr>
            <w:tcW w:type="dxa" w:w="21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 + IA Fase 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Overage/call adicional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0,06</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0,04</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0,02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soporte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 SLA</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Dedicado + SLA garantizado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quién apunta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Exploración / demo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Proveedor chico iniciando</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Proveedor con contrato activo</w:t>
            </w:r>
          </w:p>
        </w:tc>
        <w:tc>
          <w:tcPr>
            <w:tcW w:type="dxa" w:w="2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Proveedor escalando en cadena minera</w:t>
            </w:r>
          </w:p>
        </w:tc>
      </w:tr>
    </w:tbl>
    <w:p>
      <w:pPr>
        <w:spacing w:after="240" w:before="0"/>
      </w:pPr>
      <w:r>
        <w:t xml:space="preserve"/>
      </w:r>
    </w:p>
    <w:p>
      <w:pPr>
        <w:pStyle w:val="Heading2"/>
        <w:spacing w:after="100" w:before="280"/>
      </w:pPr>
      <w:r>
        <w:rPr>
          <w:rFonts w:ascii="Arial" w:cs="Arial" w:eastAsia="Arial" w:hAnsi="Arial"/>
          <w:b/>
          <w:bCs/>
          <w:color w:val="2E75B6"/>
          <w:sz w:val="26"/>
          <w:szCs w:val="26"/>
        </w:rPr>
        <w:t xml:space="preserve">6.2 Lógica de upsell entre tiers</w:t>
      </w:r>
    </w:p>
    <w:p>
      <w:pPr>
        <w:spacing w:after="80" w:before="60"/>
      </w:pPr>
      <w:r>
        <w:rPr>
          <w:rFonts w:ascii="Arial" w:cs="Arial" w:eastAsia="Arial" w:hAnsi="Arial"/>
          <w:sz w:val="22"/>
          <w:szCs w:val="22"/>
        </w:rPr>
        <w:t xml:space="preserve">La progresión de conversión está diseñada sobre necesidades operativas reales, no sobre límites artificiales:</w:t>
      </w:r>
    </w:p>
    <w:p>
      <w:pPr>
        <w:spacing w:after="120" w:before="0"/>
      </w:pPr>
      <w:r>
        <w:t xml:space="preserve"/>
      </w:r>
    </w:p>
    <w:p>
      <w:pPr>
        <w:pStyle w:val="ListParagraph"/>
        <w:numPr>
          <w:ilvl w:val="0"/>
          <w:numId w:val="2"/>
        </w:numPr>
        <w:spacing w:after="40" w:before="40"/>
      </w:pPr>
      <w:r>
        <w:rPr>
          <w:rFonts w:ascii="Arial" w:cs="Arial" w:eastAsia="Arial" w:hAnsi="Arial"/>
          <w:b/>
          <w:bCs/>
          <w:sz w:val="22"/>
          <w:szCs w:val="22"/>
        </w:rPr>
        <w:t xml:space="preserve">Trigger: </w:t>
      </w:r>
      <w:r>
        <w:rPr>
          <w:rFonts w:ascii="Arial" w:cs="Arial" w:eastAsia="Arial" w:hAnsi="Arial"/>
          <w:sz w:val="22"/>
          <w:szCs w:val="22"/>
        </w:rPr>
        <w:t xml:space="preserve">Free → Starter: el cliente tiene más de 5 usuarios o quiere que el agente empiece a consultar datos.</w:t>
      </w:r>
    </w:p>
    <w:p>
      <w:pPr>
        <w:pStyle w:val="ListParagraph"/>
        <w:numPr>
          <w:ilvl w:val="0"/>
          <w:numId w:val="2"/>
        </w:numPr>
        <w:spacing w:after="40" w:before="40"/>
      </w:pPr>
      <w:r>
        <w:rPr>
          <w:rFonts w:ascii="Arial" w:cs="Arial" w:eastAsia="Arial" w:hAnsi="Arial"/>
          <w:b/>
          <w:bCs/>
          <w:sz w:val="22"/>
          <w:szCs w:val="22"/>
        </w:rPr>
        <w:t xml:space="preserve">Trigger: </w:t>
      </w:r>
      <w:r>
        <w:rPr>
          <w:rFonts w:ascii="Arial" w:cs="Arial" w:eastAsia="Arial" w:hAnsi="Arial"/>
          <w:sz w:val="22"/>
          <w:szCs w:val="22"/>
        </w:rPr>
        <w:t xml:space="preserve">Starter → Professional: el cliente quiere que el agente actúe — crear OTs, registrar incidentes, mover stock.</w:t>
      </w:r>
    </w:p>
    <w:p>
      <w:pPr>
        <w:pStyle w:val="ListParagraph"/>
        <w:numPr>
          <w:ilvl w:val="0"/>
          <w:numId w:val="2"/>
        </w:numPr>
        <w:spacing w:after="40" w:before="40"/>
      </w:pPr>
      <w:r>
        <w:rPr>
          <w:rFonts w:ascii="Arial" w:cs="Arial" w:eastAsia="Arial" w:hAnsi="Arial"/>
          <w:b/>
          <w:bCs/>
          <w:sz w:val="22"/>
          <w:szCs w:val="22"/>
        </w:rPr>
        <w:t xml:space="preserve">Trigger: </w:t>
      </w:r>
      <w:r>
        <w:rPr>
          <w:rFonts w:ascii="Arial" w:cs="Arial" w:eastAsia="Arial" w:hAnsi="Arial"/>
          <w:sz w:val="22"/>
          <w:szCs w:val="22"/>
        </w:rPr>
        <w:t xml:space="preserve">Professional → Enterprise: el cliente gestiona múltiples contratos con distintas mineras, o necesita la IA predictiva de Fase 2.</w:t>
      </w:r>
    </w:p>
    <w:p>
      <w:pPr>
        <w:spacing w:after="240" w:before="0"/>
      </w:pPr>
      <w:r>
        <w:t xml:space="preserve"/>
      </w:r>
    </w:p>
    <w:p>
      <w:pPr>
        <w:pStyle w:val="Heading2"/>
        <w:spacing w:after="100" w:before="280"/>
      </w:pPr>
      <w:r>
        <w:rPr>
          <w:rFonts w:ascii="Arial" w:cs="Arial" w:eastAsia="Arial" w:hAnsi="Arial"/>
          <w:b/>
          <w:bCs/>
          <w:color w:val="2E75B6"/>
          <w:sz w:val="26"/>
          <w:szCs w:val="26"/>
        </w:rPr>
        <w:t xml:space="preserve">6.3 El cliente minero actual en el nuevo modelo</w:t>
      </w:r>
    </w:p>
    <w:p>
      <w:pPr>
        <w:spacing w:after="80" w:before="60"/>
      </w:pPr>
      <w:r>
        <w:rPr>
          <w:rFonts w:ascii="Arial" w:cs="Arial" w:eastAsia="Arial" w:hAnsi="Arial"/>
          <w:sz w:val="22"/>
          <w:szCs w:val="22"/>
        </w:rPr>
        <w:t xml:space="preserve">El cliente de referencia (15 usuarios, Asset Planner + Almacenes, USD 563/mes) migra a Professional a USD 449/mes con MCP incluido. Es una baja aparente de precio con valor enormemente mayor — acceso a 4.000 tool calls/mes, lectura y escritura. Eso facilita la conversación de migración sin fricción.</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7. Determinación del Precio por Tool Call</w:t>
      </w:r>
    </w:p>
    <w:p>
      <w:pPr>
        <w:pStyle w:val="Heading2"/>
        <w:spacing w:after="100" w:before="280"/>
      </w:pPr>
      <w:r>
        <w:rPr>
          <w:rFonts w:ascii="Arial" w:cs="Arial" w:eastAsia="Arial" w:hAnsi="Arial"/>
          <w:b/>
          <w:bCs/>
          <w:color w:val="2E75B6"/>
          <w:sz w:val="26"/>
          <w:szCs w:val="26"/>
        </w:rPr>
        <w:t xml:space="preserve">7.1 Metodología: pricing inverso desde el valor</w:t>
      </w:r>
    </w:p>
    <w:p>
      <w:pPr>
        <w:spacing w:after="80" w:before="60"/>
      </w:pPr>
      <w:r>
        <w:rPr>
          <w:rFonts w:ascii="Arial" w:cs="Arial" w:eastAsia="Arial" w:hAnsi="Arial"/>
          <w:sz w:val="22"/>
          <w:szCs w:val="22"/>
        </w:rPr>
        <w:t xml:space="preserve">El precio de overage no se deriva de benchmarks de APIs externas (que cobran por tokens, no por acciones ejecutadas sobre datos industriales). Se deriva del valor económico real que genera cada tool call para el cliente minero.</w:t>
      </w:r>
    </w:p>
    <w:p>
      <w:pPr>
        <w:spacing w:after="120" w:before="0"/>
      </w:pPr>
      <w:r>
        <w:t xml:space="preserve"/>
      </w:r>
    </w:p>
    <w:p>
      <w:pPr>
        <w:spacing w:after="80" w:before="60"/>
      </w:pPr>
      <w:r>
        <w:rPr>
          <w:rFonts w:ascii="Arial" w:cs="Arial" w:eastAsia="Arial" w:hAnsi="Arial"/>
          <w:sz w:val="22"/>
          <w:szCs w:val="22"/>
        </w:rPr>
        <w:t xml:space="preserve">La regla aplicada es la estándar en pricing por valor: cobrar entre el 10% y el 20% del valor entregado. Por debajo del 10% se deja valor sobre la mesa; por encima del 20% se genera fricción de adopción.</w:t>
      </w:r>
    </w:p>
    <w:p>
      <w:pPr>
        <w:spacing w:after="120" w:before="0"/>
      </w:pPr>
      <w:r>
        <w:t xml:space="preserve"/>
      </w:r>
    </w:p>
    <w:p>
      <w:pPr>
        <w:pStyle w:val="Heading2"/>
        <w:spacing w:after="100" w:before="280"/>
      </w:pPr>
      <w:r>
        <w:rPr>
          <w:rFonts w:ascii="Arial" w:cs="Arial" w:eastAsia="Arial" w:hAnsi="Arial"/>
          <w:b/>
          <w:bCs/>
          <w:color w:val="2E75B6"/>
          <w:sz w:val="26"/>
          <w:szCs w:val="26"/>
        </w:rPr>
        <w:t xml:space="preserve">7.2 Base salarial verificada — sector minero Argentina 2025/2026</w:t>
      </w:r>
    </w:p>
    <w:p>
      <w:pPr>
        <w:spacing w:after="80" w:before="60"/>
      </w:pPr>
      <w:r>
        <w:rPr>
          <w:rFonts w:ascii="Arial" w:cs="Arial" w:eastAsia="Arial" w:hAnsi="Arial"/>
          <w:sz w:val="22"/>
          <w:szCs w:val="22"/>
        </w:rPr>
        <w:t xml:space="preserve">Fuente: Korn Ferry / Randstad / iProFesional (datos publicados agosto 2025 – marzo 2026).</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13"/>
        <w:gridCol w:w="2013"/>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Salario mensual ARS</w:t>
            </w:r>
          </w:p>
        </w:tc>
        <w:tc>
          <w:tcPr>
            <w:tcW w:type="dxa" w:w="2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Equivalente USD</w:t>
            </w:r>
          </w:p>
        </w:tc>
        <w:tc>
          <w:tcPr>
            <w:tcW w:type="dxa" w:w="2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Costo/hora (160 hs/mes)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Jefe de mantenimiento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$8.000.000</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563</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3,52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Supervisor de mantenimiento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$4.700.000</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331</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2,07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Coordinador de mantenimiento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$3.000.000</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211</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1,32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Referencia usada en el análisis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3,00 (conservador)</w:t>
            </w:r>
          </w:p>
        </w:tc>
      </w:tr>
    </w:tbl>
    <w:p>
      <w:pPr>
        <w:spacing w:after="240" w:before="0"/>
      </w:pPr>
      <w:r>
        <w:t xml:space="preserve"/>
      </w:r>
    </w:p>
    <w:p>
      <w:pPr>
        <w:pStyle w:val="Heading2"/>
        <w:spacing w:after="100" w:before="280"/>
      </w:pPr>
      <w:r>
        <w:rPr>
          <w:rFonts w:ascii="Arial" w:cs="Arial" w:eastAsia="Arial" w:hAnsi="Arial"/>
          <w:b/>
          <w:bCs/>
          <w:color w:val="2E75B6"/>
          <w:sz w:val="26"/>
          <w:szCs w:val="26"/>
        </w:rPr>
        <w:t xml:space="preserve">7.3 Valor por caso de uso</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313"/>
        <w:gridCol w:w="1200"/>
        <w:gridCol w:w="1613"/>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Caso de uso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Tiempo hoy (min)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Tiempo con MCP (min)</w:t>
            </w:r>
          </w:p>
        </w:tc>
        <w:tc>
          <w:tcPr>
            <w:tcW w:type="dxa" w:w="13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Ahorro (USD)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Calls est.</w:t>
            </w:r>
          </w:p>
        </w:tc>
        <w:tc>
          <w:tcPr>
            <w:tcW w:type="dxa" w:w="16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Valor/call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Equipos con preventivo vencido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c>
          <w:tcPr>
            <w:tcW w:type="dxa" w:w="16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0,25–0,38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Ratio preventivo/correctivo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6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Crear OT desde el agente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w:t>
            </w:r>
          </w:p>
        </w:tc>
        <w:tc>
          <w:tcPr>
            <w:tcW w:type="dxa" w:w="16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0,10–0,13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Proyeccion repuestos para PMs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w:t>
            </w:r>
          </w:p>
        </w:tc>
        <w:tc>
          <w:tcPr>
            <w:tcW w:type="dxa" w:w="16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0,25–0,38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Informe semanal para la minera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120–180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7,50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10–15</w:t>
            </w:r>
          </w:p>
        </w:tc>
        <w:tc>
          <w:tcPr>
            <w:tcW w:type="dxa" w:w="16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0,50–0,75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incidente HSE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w:t>
            </w:r>
          </w:p>
        </w:tc>
        <w:tc>
          <w:tcPr>
            <w:tcW w:type="dxa" w:w="16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0,25–0,33</w:t>
            </w:r>
          </w:p>
        </w:tc>
      </w:tr>
    </w:tbl>
    <w:p>
      <w:pPr>
        <w:spacing w:after="240" w:before="0"/>
      </w:pPr>
      <w:r>
        <w:t xml:space="preserve"/>
      </w:r>
    </w:p>
    <w:p>
      <w:pPr>
        <w:pStyle w:val="Heading2"/>
        <w:spacing w:after="100" w:before="280"/>
      </w:pPr>
      <w:r>
        <w:rPr>
          <w:rFonts w:ascii="Arial" w:cs="Arial" w:eastAsia="Arial" w:hAnsi="Arial"/>
          <w:b/>
          <w:bCs/>
          <w:color w:val="2E75B6"/>
          <w:sz w:val="26"/>
          <w:szCs w:val="26"/>
        </w:rPr>
        <w:t xml:space="preserve">7.4 Derivación del precio de overage</w:t>
      </w:r>
    </w:p>
    <w:p>
      <w:pPr>
        <w:spacing w:after="80" w:before="60"/>
      </w:pPr>
      <w:r>
        <w:rPr>
          <w:rFonts w:ascii="Arial" w:cs="Arial" w:eastAsia="Arial" w:hAnsi="Arial"/>
          <w:sz w:val="22"/>
          <w:szCs w:val="22"/>
        </w:rPr>
        <w:t xml:space="preserve">El rango consolidado de valor por call es USD 0,10 a USD 0,75, con mediana ponderada por frecuencia en USD 0,25–0,35. Aplicando la regla de captura del 10–15%:</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Valor/call entregado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Precio overage</w:t>
            </w:r>
          </w:p>
        </w:tc>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de captura de valor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0,25–0,35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0,06</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17–24% — dentro del rango objetivo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Professional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0,25–0,35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0,04</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11–16% — dentro del rango objetivo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0,25–0,35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0,02</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6–8% — bajo para incentivar uso intensivo</w:t>
            </w:r>
          </w:p>
        </w:tc>
      </w:tr>
    </w:tbl>
    <w:p>
      <w:pPr>
        <w:spacing w:after="120" w:before="0"/>
      </w:pPr>
      <w:r>
        <w:t xml:space="preserve"/>
      </w:r>
    </w:p>
    <w:p>
      <w:pPr>
        <w:spacing w:after="80" w:before="60"/>
      </w:pPr>
      <w:r>
        <w:rPr>
          <w:rFonts w:ascii="Arial" w:cs="Arial" w:eastAsia="Arial" w:hAnsi="Arial"/>
          <w:sz w:val="22"/>
          <w:szCs w:val="22"/>
        </w:rPr>
        <w:t xml:space="preserve">El precio de overage baja con el tier deliberadamente: el cliente Enterprise que supera las 15.000 calls está generando valor masivo con el agente. Penalizarlo con precio alto sería contraproducente. El precio bajo incentiva el uso intensivo, que es exactamente lo deseable en esos clientes.</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8. Consumo Estimado por Segmento</w:t>
      </w:r>
    </w:p>
    <w:p>
      <w:pPr>
        <w:pStyle w:val="Heading2"/>
        <w:spacing w:after="100" w:before="280"/>
      </w:pPr>
      <w:r>
        <w:rPr>
          <w:rFonts w:ascii="Arial" w:cs="Arial" w:eastAsia="Arial" w:hAnsi="Arial"/>
          <w:b/>
          <w:bCs/>
          <w:color w:val="2E75B6"/>
          <w:sz w:val="26"/>
          <w:szCs w:val="26"/>
        </w:rPr>
        <w:t xml:space="preserve">8.1 Estimación de tool calls mensuales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513"/>
        <w:gridCol w:w="1513"/>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Perfil de uso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Consumo est./mes</w:t>
            </w:r>
          </w:p>
        </w:tc>
        <w:tc>
          <w:tcPr>
            <w:tcW w:type="dxa" w:w="1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Cuota incluida</w:t>
            </w:r>
          </w:p>
        </w:tc>
        <w:tc>
          <w:tcPr>
            <w:tcW w:type="dxa" w:w="1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Margen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Consultas diarias simples — KPIs, preventivos, stock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400–600 calls</w:t>
            </w:r>
          </w:p>
        </w:tc>
        <w:tc>
          <w:tcPr>
            <w:tcW w:type="dxa" w:w="1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 calls</w:t>
            </w:r>
          </w:p>
        </w:tc>
        <w:tc>
          <w:tcPr>
            <w:tcW w:type="dxa" w:w="15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 de margen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Professional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Consultas + escritura — OTs, incidentes, informe semanal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1.200–1.500 calls</w:t>
            </w:r>
          </w:p>
        </w:tc>
        <w:tc>
          <w:tcPr>
            <w:tcW w:type="dxa" w:w="1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4.000 calls</w:t>
            </w:r>
          </w:p>
        </w:tc>
        <w:tc>
          <w:tcPr>
            <w:tcW w:type="dxa" w:w="15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 de margen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Uso humano intensivo + agentes automáticos + multi-minera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6.000–8.000 calls</w:t>
            </w:r>
          </w:p>
        </w:tc>
        <w:tc>
          <w:tcPr>
            <w:tcW w:type="dxa" w:w="1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15.000 calls</w:t>
            </w:r>
          </w:p>
        </w:tc>
        <w:tc>
          <w:tcPr>
            <w:tcW w:type="dxa" w:w="15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de margen</w:t>
            </w:r>
          </w:p>
        </w:tc>
      </w:tr>
    </w:tbl>
    <w:p>
      <w:pPr>
        <w:spacing w:after="120" w:before="0"/>
      </w:pPr>
      <w:r>
        <w:t xml:space="preserve"/>
      </w:r>
    </w:p>
    <w:p>
      <w:pPr>
        <w:spacing w:after="80" w:before="60"/>
      </w:pPr>
      <w:r>
        <w:rPr>
          <w:rFonts w:ascii="Arial" w:cs="Arial" w:eastAsia="Arial" w:hAnsi="Arial"/>
          <w:sz w:val="22"/>
          <w:szCs w:val="22"/>
        </w:rPr>
        <w:t xml:space="preserve">Las cuotas están calibradas con margen generoso sobre el consumo típico. El objetivo es que el cliente no llegue al overage en uso normal — la ansiedad por la facturación frena la adopción. Si el cliente se pasa consistentemente, el sistema lo guía a subir de tier, no a reducir el uso.</w:t>
      </w:r>
    </w:p>
    <w:p>
      <w:pPr>
        <w:spacing w:after="240" w:before="0"/>
      </w:pPr>
      <w:r>
        <w:t xml:space="preserve"/>
      </w:r>
    </w:p>
    <w:p>
      <w:pPr>
        <w:pStyle w:val="Heading2"/>
        <w:spacing w:after="100" w:before="280"/>
      </w:pPr>
      <w:r>
        <w:rPr>
          <w:rFonts w:ascii="Arial" w:cs="Arial" w:eastAsia="Arial" w:hAnsi="Arial"/>
          <w:b/>
          <w:bCs/>
          <w:color w:val="2E75B6"/>
          <w:sz w:val="26"/>
          <w:szCs w:val="26"/>
        </w:rPr>
        <w:t xml:space="preserve">8.2 Proyección de ingresos a 24 meses (escenario conservador)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000"/>
        <w:gridCol w:w="1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Clientes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Precio/mes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Ingreso/mes</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del MRR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199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2.985</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Professional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449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3.592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899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2.697</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Overage estimado (15% de clientes pago)</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800</w:t>
            </w:r>
          </w:p>
        </w:tc>
        <w:tc>
          <w:tcPr>
            <w:tcW w:type="dxa" w:w="1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MRR estimado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 clientes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~USD 10.074</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r>
    </w:tbl>
    <w:p>
      <w:pPr>
        <w:spacing w:after="120" w:before="0"/>
      </w:pPr>
      <w:r>
        <w:t xml:space="preserve"/>
      </w:r>
    </w:p>
    <w:p>
      <w:pPr>
        <w:spacing w:after="80" w:before="60"/>
      </w:pPr>
      <w:r>
        <w:rPr>
          <w:rFonts w:ascii="Arial" w:cs="Arial" w:eastAsia="Arial" w:hAnsi="Arial"/>
          <w:sz w:val="22"/>
          <w:szCs w:val="22"/>
        </w:rPr>
        <w:t xml:space="preserve">Este escenario es deliberadamente conservador. No contempla el efecto multiplicador de la construcción masiva de Los Azules y Josemaría en 2027–2028, que puede duplicar o triplicar el ecosistema de proveedores mineros activos en San Juan.</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9. Capacidades de Control de Consumo para el Cliente</w:t>
      </w:r>
    </w:p>
    <w:p>
      <w:pPr>
        <w:pStyle w:val="Heading2"/>
        <w:spacing w:after="100" w:before="280"/>
      </w:pPr>
      <w:r>
        <w:rPr>
          <w:rFonts w:ascii="Arial" w:cs="Arial" w:eastAsia="Arial" w:hAnsi="Arial"/>
          <w:b/>
          <w:bCs/>
          <w:color w:val="2E75B6"/>
          <w:sz w:val="26"/>
          <w:szCs w:val="26"/>
        </w:rPr>
        <w:t xml:space="preserve">9.1 Por qué es crítico diseñarlo desde el principio</w:t>
      </w:r>
    </w:p>
    <w:p>
      <w:pPr>
        <w:spacing w:after="80" w:before="60"/>
      </w:pPr>
      <w:r>
        <w:rPr>
          <w:rFonts w:ascii="Arial" w:cs="Arial" w:eastAsia="Arial" w:hAnsi="Arial"/>
          <w:sz w:val="22"/>
          <w:szCs w:val="22"/>
        </w:rPr>
        <w:t xml:space="preserve">El modelo metered genera un riesgo específico que no existe en el per-seat: el bill shock. Un agente mal configurado, un loop inesperado, o un mes de uso intenso puede generar una factura que el cliente no anticipó. En el mercado minero PyME argentino, donde los presupuestos son anuales y cerrados, una sorpresa en la factura no genera un upgrade — genera cancelación y desconfianza.</w:t>
      </w:r>
    </w:p>
    <w:p>
      <w:pPr>
        <w:spacing w:after="120" w:before="0"/>
      </w:pPr>
      <w:r>
        <w:t xml:space="preserve"/>
      </w:r>
    </w:p>
    <w:p>
      <w:pPr>
        <w:spacing w:after="80" w:before="60"/>
      </w:pPr>
      <w:r>
        <w:rPr>
          <w:rFonts w:ascii="Arial" w:cs="Arial" w:eastAsia="Arial" w:hAnsi="Arial"/>
          <w:sz w:val="22"/>
          <w:szCs w:val="22"/>
        </w:rPr>
        <w:t xml:space="preserve">La solución no es limitar el uso. Es darle al cliente visibilidad, control y predictibilidad sobre lo que consume.</w:t>
      </w:r>
    </w:p>
    <w:p>
      <w:pPr>
        <w:spacing w:after="120" w:before="0"/>
      </w:pPr>
      <w:r>
        <w:t xml:space="preserve"/>
      </w:r>
    </w:p>
    <w:p>
      <w:pPr>
        <w:pStyle w:val="Heading2"/>
        <w:spacing w:after="100" w:before="280"/>
      </w:pPr>
      <w:r>
        <w:rPr>
          <w:rFonts w:ascii="Arial" w:cs="Arial" w:eastAsia="Arial" w:hAnsi="Arial"/>
          <w:b/>
          <w:bCs/>
          <w:color w:val="2E75B6"/>
          <w:sz w:val="26"/>
          <w:szCs w:val="26"/>
        </w:rPr>
        <w:t xml:space="preserve">9.2 Las seis capacidades requeridas</w:t>
      </w:r>
    </w:p>
    <w:p>
      <w:pPr>
        <w:spacing w:after="120" w:before="0"/>
      </w:pPr>
      <w:r>
        <w:t xml:space="preserve"/>
      </w:r>
    </w:p>
    <w:p>
      <w:pPr>
        <w:spacing w:after="80" w:before="200"/>
      </w:pPr>
      <w:r>
        <w:rPr>
          <w:rFonts w:ascii="Arial" w:cs="Arial" w:eastAsia="Arial" w:hAnsi="Arial"/>
          <w:b/>
          <w:bCs/>
          <w:color w:val="1F4E79"/>
          <w:sz w:val="22"/>
          <w:szCs w:val="22"/>
        </w:rPr>
        <w:t xml:space="preserve">1. Dashboard de consumo en tiempo real</w:t>
      </w:r>
    </w:p>
    <w:p>
      <w:pPr>
        <w:spacing w:after="80" w:before="60"/>
      </w:pPr>
      <w:r>
        <w:rPr>
          <w:rFonts w:ascii="Arial" w:cs="Arial" w:eastAsia="Arial" w:hAnsi="Arial"/>
          <w:sz w:val="22"/>
          <w:szCs w:val="22"/>
        </w:rPr>
        <w:t xml:space="preserve">El cliente ve en cualquier momento cuántas calls consumió, cuántas le quedan, y a qué ritmo va — no al final del mes.</w:t>
      </w:r>
    </w:p>
    <w:p>
      <w:pPr>
        <w:pStyle w:val="ListParagraph"/>
        <w:numPr>
          <w:ilvl w:val="0"/>
          <w:numId w:val="2"/>
        </w:numPr>
        <w:spacing w:after="40" w:before="40"/>
      </w:pPr>
      <w:r>
        <w:rPr>
          <w:rFonts w:ascii="Arial" w:cs="Arial" w:eastAsia="Arial" w:hAnsi="Arial"/>
          <w:sz w:val="22"/>
          <w:szCs w:val="22"/>
        </w:rPr>
        <w:t xml:space="preserve">Barra de progreso de cuota consumida vs. disponible</w:t>
      </w:r>
    </w:p>
    <w:p>
      <w:pPr>
        <w:pStyle w:val="ListParagraph"/>
        <w:numPr>
          <w:ilvl w:val="0"/>
          <w:numId w:val="2"/>
        </w:numPr>
        <w:spacing w:after="40" w:before="40"/>
      </w:pPr>
      <w:r>
        <w:rPr>
          <w:rFonts w:ascii="Arial" w:cs="Arial" w:eastAsia="Arial" w:hAnsi="Arial"/>
          <w:sz w:val="22"/>
          <w:szCs w:val="22"/>
        </w:rPr>
        <w:t xml:space="preserve">Consumo del día actual y promedio diario del período</w:t>
      </w:r>
    </w:p>
    <w:p>
      <w:pPr>
        <w:pStyle w:val="ListParagraph"/>
        <w:numPr>
          <w:ilvl w:val="0"/>
          <w:numId w:val="2"/>
        </w:numPr>
        <w:spacing w:after="40" w:before="40"/>
      </w:pPr>
      <w:r>
        <w:rPr>
          <w:rFonts w:ascii="Arial" w:cs="Arial" w:eastAsia="Arial" w:hAnsi="Arial"/>
          <w:sz w:val="22"/>
          <w:szCs w:val="22"/>
        </w:rPr>
        <w:t xml:space="preserve">Proyección del mes: 'a este ritmo vas a usar X calls este mes'</w:t>
      </w:r>
    </w:p>
    <w:p>
      <w:pPr>
        <w:pStyle w:val="ListParagraph"/>
        <w:numPr>
          <w:ilvl w:val="0"/>
          <w:numId w:val="2"/>
        </w:numPr>
        <w:spacing w:after="40" w:before="40"/>
      </w:pPr>
      <w:r>
        <w:rPr>
          <w:rFonts w:ascii="Arial" w:cs="Arial" w:eastAsia="Arial" w:hAnsi="Arial"/>
          <w:sz w:val="22"/>
          <w:szCs w:val="22"/>
        </w:rPr>
        <w:t xml:space="preserve">Desglose por tipo de operación: consultas, escrituras, informes</w:t>
      </w:r>
    </w:p>
    <w:p>
      <w:pPr>
        <w:spacing w:after="120" w:before="0"/>
      </w:pPr>
      <w:r>
        <w:t xml:space="preserve"/>
      </w:r>
    </w:p>
    <w:p>
      <w:pPr>
        <w:spacing w:after="80" w:before="200"/>
      </w:pPr>
      <w:r>
        <w:rPr>
          <w:rFonts w:ascii="Arial" w:cs="Arial" w:eastAsia="Arial" w:hAnsi="Arial"/>
          <w:b/>
          <w:bCs/>
          <w:color w:val="1F4E79"/>
          <w:sz w:val="22"/>
          <w:szCs w:val="22"/>
        </w:rPr>
        <w:t xml:space="preserve">2. Alertas configurables por el cliente</w:t>
      </w:r>
    </w:p>
    <w:p>
      <w:pPr>
        <w:spacing w:after="80" w:before="60"/>
      </w:pPr>
      <w:r>
        <w:rPr>
          <w:rFonts w:ascii="Arial" w:cs="Arial" w:eastAsia="Arial" w:hAnsi="Arial"/>
          <w:sz w:val="22"/>
          <w:szCs w:val="22"/>
        </w:rPr>
        <w:t xml:space="preserve">El cliente define sus propios umbrales, no Trazalog:</w:t>
      </w:r>
    </w:p>
    <w:p>
      <w:pPr>
        <w:pStyle w:val="ListParagraph"/>
        <w:numPr>
          <w:ilvl w:val="0"/>
          <w:numId w:val="2"/>
        </w:numPr>
        <w:spacing w:after="40" w:before="40"/>
      </w:pPr>
      <w:r>
        <w:rPr>
          <w:rFonts w:ascii="Arial" w:cs="Arial" w:eastAsia="Arial" w:hAnsi="Arial"/>
          <w:sz w:val="22"/>
          <w:szCs w:val="22"/>
        </w:rPr>
        <w:t xml:space="preserve">Alerta al 70% de cuota: 'ya usaste 700 de tus 1.000 calls'</w:t>
      </w:r>
    </w:p>
    <w:p>
      <w:pPr>
        <w:pStyle w:val="ListParagraph"/>
        <w:numPr>
          <w:ilvl w:val="0"/>
          <w:numId w:val="2"/>
        </w:numPr>
        <w:spacing w:after="40" w:before="40"/>
      </w:pPr>
      <w:r>
        <w:rPr>
          <w:rFonts w:ascii="Arial" w:cs="Arial" w:eastAsia="Arial" w:hAnsi="Arial"/>
          <w:sz w:val="22"/>
          <w:szCs w:val="22"/>
        </w:rPr>
        <w:t xml:space="preserve">Alerta al 90%: 'estás por llegar al límite, considerá subir de tier'</w:t>
      </w:r>
    </w:p>
    <w:p>
      <w:pPr>
        <w:pStyle w:val="ListParagraph"/>
        <w:numPr>
          <w:ilvl w:val="0"/>
          <w:numId w:val="2"/>
        </w:numPr>
        <w:spacing w:after="40" w:before="40"/>
      </w:pPr>
      <w:r>
        <w:rPr>
          <w:rFonts w:ascii="Arial" w:cs="Arial" w:eastAsia="Arial" w:hAnsi="Arial"/>
          <w:sz w:val="22"/>
          <w:szCs w:val="22"/>
        </w:rPr>
        <w:t xml:space="preserve">Alerta de overage activo: 'superaste tu cuota — cada call adicional cuesta USD 0,06'</w:t>
      </w:r>
    </w:p>
    <w:p>
      <w:pPr>
        <w:pStyle w:val="ListParagraph"/>
        <w:numPr>
          <w:ilvl w:val="0"/>
          <w:numId w:val="2"/>
        </w:numPr>
        <w:spacing w:after="40" w:before="40"/>
      </w:pPr>
      <w:r>
        <w:rPr>
          <w:rFonts w:ascii="Arial" w:cs="Arial" w:eastAsia="Arial" w:hAnsi="Arial"/>
          <w:sz w:val="22"/>
          <w:szCs w:val="22"/>
        </w:rPr>
        <w:t xml:space="preserve">Alerta de consumo inusual: 'hoy se ejecutaron 150 calls antes del mediodía — ¿hay un agente en loop?'</w:t>
      </w:r>
    </w:p>
    <w:p>
      <w:pPr>
        <w:spacing w:after="120" w:before="0"/>
      </w:pPr>
      <w:r>
        <w:t xml:space="preserve"/>
      </w:r>
    </w:p>
    <w:p>
      <w:pPr>
        <w:spacing w:after="80" w:before="200"/>
      </w:pPr>
      <w:r>
        <w:rPr>
          <w:rFonts w:ascii="Arial" w:cs="Arial" w:eastAsia="Arial" w:hAnsi="Arial"/>
          <w:b/>
          <w:bCs/>
          <w:color w:val="1F4E79"/>
          <w:sz w:val="22"/>
          <w:szCs w:val="22"/>
        </w:rPr>
        <w:t xml:space="preserve">3. Techo de gasto (spending cap)</w:t>
      </w:r>
    </w:p>
    <w:p>
      <w:pPr>
        <w:spacing w:after="80" w:before="60"/>
      </w:pPr>
      <w:r>
        <w:rPr>
          <w:rFonts w:ascii="Arial" w:cs="Arial" w:eastAsia="Arial" w:hAnsi="Arial"/>
          <w:sz w:val="22"/>
          <w:szCs w:val="22"/>
        </w:rPr>
        <w:t xml:space="preserve">El cliente configura un límite duro de gasto mensual en MCP. Dos modos:</w:t>
      </w:r>
    </w:p>
    <w:p>
      <w:pPr>
        <w:pStyle w:val="ListParagraph"/>
        <w:numPr>
          <w:ilvl w:val="0"/>
          <w:numId w:val="2"/>
        </w:numPr>
        <w:spacing w:after="40" w:before="40"/>
      </w:pPr>
      <w:r>
        <w:rPr>
          <w:rFonts w:ascii="Arial" w:cs="Arial" w:eastAsia="Arial" w:hAnsi="Arial"/>
          <w:sz w:val="22"/>
          <w:szCs w:val="22"/>
        </w:rPr>
        <w:t xml:space="preserve">Hard cap: el agente se detiene al llegar al límite. El cliente decide si habilitar más. Recomendado para el mercado minero PyME.</w:t>
      </w:r>
    </w:p>
    <w:p>
      <w:pPr>
        <w:pStyle w:val="ListParagraph"/>
        <w:numPr>
          <w:ilvl w:val="0"/>
          <w:numId w:val="2"/>
        </w:numPr>
        <w:spacing w:after="40" w:before="40"/>
      </w:pPr>
      <w:r>
        <w:rPr>
          <w:rFonts w:ascii="Arial" w:cs="Arial" w:eastAsia="Arial" w:hAnsi="Arial"/>
          <w:sz w:val="22"/>
          <w:szCs w:val="22"/>
        </w:rPr>
        <w:t xml:space="preserve">Soft cap: el agente continúa pero envía una notificación de aprobación requerida.</w:t>
      </w:r>
    </w:p>
    <w:p>
      <w:pPr>
        <w:spacing w:after="120" w:before="0"/>
      </w:pPr>
      <w:r>
        <w:t xml:space="preserve"/>
      </w:r>
    </w:p>
    <w:p>
      <w:pPr>
        <w:spacing w:after="80" w:before="200"/>
      </w:pPr>
      <w:r>
        <w:rPr>
          <w:rFonts w:ascii="Arial" w:cs="Arial" w:eastAsia="Arial" w:hAnsi="Arial"/>
          <w:b/>
          <w:bCs/>
          <w:color w:val="1F4E79"/>
          <w:sz w:val="22"/>
          <w:szCs w:val="22"/>
        </w:rPr>
        <w:t xml:space="preserve">4. Desglose por agente o usuario</w:t>
      </w:r>
    </w:p>
    <w:p>
      <w:pPr>
        <w:spacing w:after="80" w:before="60"/>
      </w:pPr>
      <w:r>
        <w:rPr>
          <w:rFonts w:ascii="Arial" w:cs="Arial" w:eastAsia="Arial" w:hAnsi="Arial"/>
          <w:sz w:val="22"/>
          <w:szCs w:val="22"/>
        </w:rPr>
        <w:t xml:space="preserve">En un proveedor con 20 usuarios y varios agentes configurados, el cliente necesita saber quién genera el consumo:</w:t>
      </w:r>
    </w:p>
    <w:p>
      <w:pPr>
        <w:pStyle w:val="ListParagraph"/>
        <w:numPr>
          <w:ilvl w:val="0"/>
          <w:numId w:val="2"/>
        </w:numPr>
        <w:spacing w:after="40" w:before="40"/>
      </w:pPr>
      <w:r>
        <w:rPr>
          <w:rFonts w:ascii="Arial" w:cs="Arial" w:eastAsia="Arial" w:hAnsi="Arial"/>
          <w:sz w:val="22"/>
          <w:szCs w:val="22"/>
        </w:rPr>
        <w:t xml:space="preserve">Consumo por usuario humano que disparó la interacción</w:t>
      </w:r>
    </w:p>
    <w:p>
      <w:pPr>
        <w:pStyle w:val="ListParagraph"/>
        <w:numPr>
          <w:ilvl w:val="0"/>
          <w:numId w:val="2"/>
        </w:numPr>
        <w:spacing w:after="40" w:before="40"/>
      </w:pPr>
      <w:r>
        <w:rPr>
          <w:rFonts w:ascii="Arial" w:cs="Arial" w:eastAsia="Arial" w:hAnsi="Arial"/>
          <w:sz w:val="22"/>
          <w:szCs w:val="22"/>
        </w:rPr>
        <w:t xml:space="preserve">Consumo por agente automático (reportes nocturnos, alertas programadas)</w:t>
      </w:r>
    </w:p>
    <w:p>
      <w:pPr>
        <w:pStyle w:val="ListParagraph"/>
        <w:numPr>
          <w:ilvl w:val="0"/>
          <w:numId w:val="2"/>
        </w:numPr>
        <w:spacing w:after="40" w:before="40"/>
      </w:pPr>
      <w:r>
        <w:rPr>
          <w:rFonts w:ascii="Arial" w:cs="Arial" w:eastAsia="Arial" w:hAnsi="Arial"/>
          <w:sz w:val="22"/>
          <w:szCs w:val="22"/>
        </w:rPr>
        <w:t xml:space="preserve">Top 5 de tools más usadas en el período</w:t>
      </w:r>
    </w:p>
    <w:p>
      <w:pPr>
        <w:spacing w:after="120" w:before="0"/>
      </w:pPr>
      <w:r>
        <w:t xml:space="preserve"/>
      </w:r>
    </w:p>
    <w:p>
      <w:pPr>
        <w:spacing w:after="80" w:before="200"/>
      </w:pPr>
      <w:r>
        <w:rPr>
          <w:rFonts w:ascii="Arial" w:cs="Arial" w:eastAsia="Arial" w:hAnsi="Arial"/>
          <w:b/>
          <w:bCs/>
          <w:color w:val="1F4E79"/>
          <w:sz w:val="22"/>
          <w:szCs w:val="22"/>
        </w:rPr>
        <w:t xml:space="preserve">5. Simulador de consumo antes de contratar</w:t>
      </w:r>
    </w:p>
    <w:p>
      <w:pPr>
        <w:spacing w:after="80" w:before="60"/>
      </w:pPr>
      <w:r>
        <w:rPr>
          <w:rFonts w:ascii="Arial" w:cs="Arial" w:eastAsia="Arial" w:hAnsi="Arial"/>
          <w:sz w:val="22"/>
          <w:szCs w:val="22"/>
        </w:rPr>
        <w:t xml:space="preserve">Antes de elegir un tier, el cliente puede estimar su consumo respondiendo preguntas simples: cantidad de técnicos, OTs por semana, frecuencia de informes para la operadora, uso de agentes automáticos. El simulador recomienda el tier más adecuado y elimina la fricción de la decisión de compra.</w:t>
      </w:r>
    </w:p>
    <w:p>
      <w:pPr>
        <w:spacing w:after="120" w:before="0"/>
      </w:pPr>
      <w:r>
        <w:t xml:space="preserve"/>
      </w:r>
    </w:p>
    <w:p>
      <w:pPr>
        <w:spacing w:after="80" w:before="200"/>
      </w:pPr>
      <w:r>
        <w:rPr>
          <w:rFonts w:ascii="Arial" w:cs="Arial" w:eastAsia="Arial" w:hAnsi="Arial"/>
          <w:b/>
          <w:bCs/>
          <w:color w:val="1F4E79"/>
          <w:sz w:val="22"/>
          <w:szCs w:val="22"/>
        </w:rPr>
        <w:t xml:space="preserve">6. Historial descargable</w:t>
      </w:r>
    </w:p>
    <w:p>
      <w:pPr>
        <w:spacing w:after="80" w:before="60"/>
      </w:pPr>
      <w:r>
        <w:rPr>
          <w:rFonts w:ascii="Arial" w:cs="Arial" w:eastAsia="Arial" w:hAnsi="Arial"/>
          <w:sz w:val="22"/>
          <w:szCs w:val="22"/>
        </w:rPr>
        <w:t xml:space="preserve">Para clientes que rinden cuentas internamente — universal en el sector minero — el sistema exporta el detalle de consumo en formato auditable: fecha, hora, tipo de operación, calls ejecutadas, costo unitario, costo total. Disponible en CSV o PDF por período seleccionable.</w:t>
      </w:r>
    </w:p>
    <w:p>
      <w:pPr>
        <w:spacing w:after="240" w:before="0"/>
      </w:pPr>
      <w:r>
        <w:t xml:space="preserve"/>
      </w:r>
    </w:p>
    <w:p>
      <w:pPr>
        <w:pStyle w:val="Heading2"/>
        <w:spacing w:after="100" w:before="280"/>
      </w:pPr>
      <w:r>
        <w:rPr>
          <w:rFonts w:ascii="Arial" w:cs="Arial" w:eastAsia="Arial" w:hAnsi="Arial"/>
          <w:b/>
          <w:bCs/>
          <w:color w:val="2E75B6"/>
          <w:sz w:val="26"/>
          <w:szCs w:val="26"/>
        </w:rPr>
        <w:t xml:space="preserve">9.3 Implementación técnica</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Capacidad</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Cómo se implementa</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Desarrollo requerido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en tiempo real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Moesif — dashboards nativos de consumo por cliente</w:t>
            </w:r>
          </w:p>
        </w:tc>
        <w:tc>
          <w:tcPr>
            <w:tcW w:type="dxa" w:w="30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Configuración, sin desarrollo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Alertas configurables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Moesif — sistema de alertas y webhooks nativos</w:t>
            </w:r>
          </w:p>
        </w:tc>
        <w:tc>
          <w:tcPr>
            <w:tcW w:type="dxa" w:w="30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Configuración, sin desarrollo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Techo de gasto (spending cap)</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WSO2 MCP Gateway — rate limiting y throttling por cliente</w:t>
            </w:r>
          </w:p>
        </w:tc>
        <w:tc>
          <w:tcPr>
            <w:tcW w:type="dxa" w:w="30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Configuración de políticas WSO2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Desglose por agente/usuario</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WSO2 + Moesif — correlación OAuth 2.1 con métricas</w:t>
            </w:r>
          </w:p>
        </w:tc>
        <w:tc>
          <w:tcPr>
            <w:tcW w:type="dxa" w:w="30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Configuración de identidad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Simulador de consumo</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Widget en portal de cliente</w:t>
            </w:r>
          </w:p>
        </w:tc>
        <w:tc>
          <w:tcPr>
            <w:tcW w:type="dxa" w:w="30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Desarrollo propio — esfuerzo bajo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Historial descargable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Moesif — exportación de datos de uso nativa</w:t>
            </w:r>
          </w:p>
        </w:tc>
        <w:tc>
          <w:tcPr>
            <w:tcW w:type="dxa" w:w="30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Configuración, sin desarrollo</w:t>
            </w:r>
          </w:p>
        </w:tc>
      </w:tr>
    </w:tbl>
    <w:p>
      <w:pPr>
        <w:spacing w:after="120" w:before="0"/>
      </w:pPr>
      <w:r>
        <w:t xml:space="preserve"/>
      </w:r>
    </w:p>
    <w:p>
      <w:pPr>
        <w:spacing w:after="80" w:before="60"/>
      </w:pPr>
      <w:r>
        <w:rPr>
          <w:rFonts w:ascii="Arial" w:cs="Arial" w:eastAsia="Arial" w:hAnsi="Arial"/>
          <w:sz w:val="22"/>
          <w:szCs w:val="22"/>
        </w:rPr>
        <w:t xml:space="preserve">Solo el simulador de consumo requiere desarrollo propio. Todo lo demás está cubierto por la infraestructura ya decidida en ADR-005 (Moesif + Stripe + WSO2).</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10. Evolución del Modelo por Fases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13"/>
        <w:gridCol w:w="2513"/>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 activo</w:t>
            </w:r>
          </w:p>
        </w:tc>
        <w:tc>
          <w:tcPr>
            <w:tcW w:type="dxa" w:w="2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MCP disponible</w:t>
            </w:r>
          </w:p>
        </w:tc>
        <w:tc>
          <w:tcPr>
            <w:tcW w:type="dxa" w:w="2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Fase 1 — MVP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 Starter habilitados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Solo lectura — equipos, OTs, KPIs, stock, preventivos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Validar con primer cliente minero. Zero Python.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Fase 2 — IA y monetización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 los tiers + overage activo</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Lectura + escritura + IA (informe minera, proyección repuestos, predictivo)</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Activar Moesif + Stripe. Primer ingreso MCP.</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Fase 3 — Escala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Revisión de tiers + tier API/Partner</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 lo anterior + A2A cuando WSO2 lo soporte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Expandir a partners e integradores. Revisar precios con datos reales.</w:t>
            </w:r>
          </w:p>
        </w:tc>
      </w:tr>
    </w:tbl>
    <w:p>
      <w:pPr>
        <w:spacing w:after="240" w:before="0"/>
      </w:pPr>
      <w:r>
        <w:t xml:space="preserve"/>
      </w:r>
    </w:p>
    <w:p>
      <w:pPr>
        <w:pStyle w:val="Heading1"/>
        <w:spacing w:after="120" w:before="360"/>
      </w:pPr>
      <w:r>
        <w:rPr>
          <w:rFonts w:ascii="Arial" w:cs="Arial" w:eastAsia="Arial" w:hAnsi="Arial"/>
          <w:b/>
          <w:bCs/>
          <w:color w:val="1B3A6B"/>
          <w:sz w:val="32"/>
          <w:szCs w:val="32"/>
        </w:rPr>
        <w:t xml:space="preserve">11. Decisiones de Pricing Registradas (PDRs)</w:t>
      </w:r>
    </w:p>
    <w:p>
      <w:pPr>
        <w:spacing w:after="120" w:before="0"/>
      </w:pPr>
      <w:r>
        <w:t xml:space="preserve"/>
      </w:r>
    </w:p>
    <w:p>
      <w:pPr>
        <w:spacing w:after="80" w:before="200"/>
      </w:pPr>
      <w:r>
        <w:rPr>
          <w:rFonts w:ascii="Arial" w:cs="Arial" w:eastAsia="Arial" w:hAnsi="Arial"/>
          <w:b/>
          <w:bCs/>
          <w:color w:val="1F4E79"/>
          <w:sz w:val="22"/>
          <w:szCs w:val="22"/>
        </w:rPr>
        <w:t xml:space="preserve">PDR-001: Modelo freemium de plataforma + metered billing en MCP</w:t>
      </w:r>
    </w:p>
    <w:p>
      <w:pPr>
        <w:spacing w:after="80" w:before="60"/>
      </w:pPr>
      <w:r>
        <w:rPr>
          <w:rFonts w:ascii="Arial" w:cs="Arial" w:eastAsia="Arial" w:hAnsi="Arial"/>
          <w:sz w:val="22"/>
          <w:szCs w:val="22"/>
        </w:rPr>
        <w:t xml:space="preserve">Decisión: Los módulos de plataforma son freemium hasta 5 usuarios. El MCP es siempre pago desde el primer call.</w:t>
      </w:r>
    </w:p>
    <w:p>
      <w:pPr>
        <w:spacing w:after="80" w:before="60"/>
      </w:pPr>
      <w:r>
        <w:rPr>
          <w:rFonts w:ascii="Arial" w:cs="Arial" w:eastAsia="Arial" w:hAnsi="Arial"/>
          <w:sz w:val="22"/>
          <w:szCs w:val="22"/>
        </w:rPr>
        <w:t xml:space="preserve">Razón: El costo de infra por cliente es bajo; el límite de 5 usuarios filtra clientes productivos. El MCP captura el valor de los agentes de IA sin depender del conteo de usuarios humanos.</w:t>
      </w:r>
    </w:p>
    <w:p>
      <w:pPr>
        <w:spacing w:after="80" w:before="60"/>
      </w:pPr>
      <w:r>
        <w:rPr>
          <w:rFonts w:ascii="Arial" w:cs="Arial" w:eastAsia="Arial" w:hAnsi="Arial"/>
          <w:sz w:val="22"/>
          <w:szCs w:val="22"/>
        </w:rPr>
        <w:t xml:space="preserve">Consecuencia: Los clientes actuales que superan 5 usuarios deben migrar al modelo de plataforma pago. El ingreso de MCP es incremental.</w:t>
      </w:r>
    </w:p>
    <w:p>
      <w:pPr>
        <w:spacing w:after="120" w:before="0"/>
      </w:pPr>
      <w:r>
        <w:t xml:space="preserve"/>
      </w:r>
    </w:p>
    <w:p>
      <w:pPr>
        <w:spacing w:after="80" w:before="200"/>
      </w:pPr>
      <w:r>
        <w:rPr>
          <w:rFonts w:ascii="Arial" w:cs="Arial" w:eastAsia="Arial" w:hAnsi="Arial"/>
          <w:b/>
          <w:bCs/>
          <w:color w:val="1F4E79"/>
          <w:sz w:val="22"/>
          <w:szCs w:val="22"/>
        </w:rPr>
        <w:t xml:space="preserve">PDR-002: Precio de overage derivado de valor, no de benchmark de APIs</w:t>
      </w:r>
    </w:p>
    <w:p>
      <w:pPr>
        <w:spacing w:after="80" w:before="60"/>
      </w:pPr>
      <w:r>
        <w:rPr>
          <w:rFonts w:ascii="Arial" w:cs="Arial" w:eastAsia="Arial" w:hAnsi="Arial"/>
          <w:sz w:val="22"/>
          <w:szCs w:val="22"/>
        </w:rPr>
        <w:t xml:space="preserve">Decisión: USD 0,06/call (Starter), USD 0,04/call (Professional), USD 0,02/call (Enterprise).</w:t>
      </w:r>
    </w:p>
    <w:p>
      <w:pPr>
        <w:spacing w:after="80" w:before="60"/>
      </w:pPr>
      <w:r>
        <w:rPr>
          <w:rFonts w:ascii="Arial" w:cs="Arial" w:eastAsia="Arial" w:hAnsi="Arial"/>
          <w:sz w:val="22"/>
          <w:szCs w:val="22"/>
        </w:rPr>
        <w:t xml:space="preserve">Razón: Los precios se derivan del valor económico real generado por cada interacción, basado en salarios verificados del sector minero argentino y tiempo ahorrado por caso de uso. La captura de valor es del 10–15% del valor entregado, dentro del rango estándar de la industria.</w:t>
      </w:r>
    </w:p>
    <w:p>
      <w:pPr>
        <w:spacing w:after="80" w:before="60"/>
      </w:pPr>
      <w:r>
        <w:rPr>
          <w:rFonts w:ascii="Arial" w:cs="Arial" w:eastAsia="Arial" w:hAnsi="Arial"/>
          <w:sz w:val="22"/>
          <w:szCs w:val="22"/>
        </w:rPr>
        <w:t xml:space="preserve">Consecuencia: Los precios deben revisarse cuando haya datos reales de consumo (Fase 2) para verificar que el ratio de captura se mantiene en rango.</w:t>
      </w:r>
    </w:p>
    <w:p>
      <w:pPr>
        <w:spacing w:after="120" w:before="0"/>
      </w:pPr>
      <w:r>
        <w:t xml:space="preserve"/>
      </w:r>
    </w:p>
    <w:p>
      <w:pPr>
        <w:spacing w:after="80" w:before="200"/>
      </w:pPr>
      <w:r>
        <w:rPr>
          <w:rFonts w:ascii="Arial" w:cs="Arial" w:eastAsia="Arial" w:hAnsi="Arial"/>
          <w:b/>
          <w:bCs/>
          <w:color w:val="1F4E79"/>
          <w:sz w:val="22"/>
          <w:szCs w:val="22"/>
        </w:rPr>
        <w:t xml:space="preserve">PDR-003: Cuotas incluidas calibradas con margen generoso</w:t>
      </w:r>
    </w:p>
    <w:p>
      <w:pPr>
        <w:spacing w:after="80" w:before="60"/>
      </w:pPr>
      <w:r>
        <w:rPr>
          <w:rFonts w:ascii="Arial" w:cs="Arial" w:eastAsia="Arial" w:hAnsi="Arial"/>
          <w:sz w:val="22"/>
          <w:szCs w:val="22"/>
        </w:rPr>
        <w:t xml:space="preserve">Decisión: Starter 1.000 calls (consumo típico ~500), Professional 4.000 calls (consumo típico ~1.350), Enterprise 15.000 calls (consumo típico ~7.000).</w:t>
      </w:r>
    </w:p>
    <w:p>
      <w:pPr>
        <w:spacing w:after="80" w:before="60"/>
      </w:pPr>
      <w:r>
        <w:rPr>
          <w:rFonts w:ascii="Arial" w:cs="Arial" w:eastAsia="Arial" w:hAnsi="Arial"/>
          <w:sz w:val="22"/>
          <w:szCs w:val="22"/>
        </w:rPr>
        <w:t xml:space="preserve">Razón: El margen generoso elimina la ansiedad de facturación que frena la adopción. El cliente usa sin miedo hasta el límite y sube de tier si lo necesita — no reduce el uso.</w:t>
      </w:r>
    </w:p>
    <w:p>
      <w:pPr>
        <w:spacing w:after="80" w:before="60"/>
      </w:pPr>
      <w:r>
        <w:rPr>
          <w:rFonts w:ascii="Arial" w:cs="Arial" w:eastAsia="Arial" w:hAnsi="Arial"/>
          <w:sz w:val="22"/>
          <w:szCs w:val="22"/>
        </w:rPr>
        <w:t xml:space="preserve">Consecuencia: El ingreso por overage será bajo en Fase 1. Aumentará en Fase 2 con clientes más maduros y agentes automáticos activos.</w:t>
      </w:r>
    </w:p>
    <w:p>
      <w:pPr>
        <w:spacing w:after="120" w:before="0"/>
      </w:pPr>
      <w:r>
        <w:t xml:space="preserve"/>
      </w:r>
    </w:p>
    <w:p>
      <w:pPr>
        <w:spacing w:after="80" w:before="200"/>
      </w:pPr>
      <w:r>
        <w:rPr>
          <w:rFonts w:ascii="Arial" w:cs="Arial" w:eastAsia="Arial" w:hAnsi="Arial"/>
          <w:b/>
          <w:bCs/>
          <w:color w:val="1F4E79"/>
          <w:sz w:val="22"/>
          <w:szCs w:val="22"/>
        </w:rPr>
        <w:t xml:space="preserve">PDR-004: Capacidades de control de consumo son requisito de lanzamiento</w:t>
      </w:r>
    </w:p>
    <w:p>
      <w:pPr>
        <w:spacing w:after="80" w:before="60"/>
      </w:pPr>
      <w:r>
        <w:rPr>
          <w:rFonts w:ascii="Arial" w:cs="Arial" w:eastAsia="Arial" w:hAnsi="Arial"/>
          <w:sz w:val="22"/>
          <w:szCs w:val="22"/>
        </w:rPr>
        <w:t xml:space="preserve">Decisión: Dashboard, alertas, spending cap e historial descargable deben estar disponibles desde el lanzamiento del tier pago.</w:t>
      </w:r>
    </w:p>
    <w:p>
      <w:pPr>
        <w:spacing w:after="80" w:before="60"/>
      </w:pPr>
      <w:r>
        <w:rPr>
          <w:rFonts w:ascii="Arial" w:cs="Arial" w:eastAsia="Arial" w:hAnsi="Arial"/>
          <w:sz w:val="22"/>
          <w:szCs w:val="22"/>
        </w:rPr>
        <w:t xml:space="preserve">Razón: En el mercado minero PyME argentino, el bill shock no genera upgrades — genera cancelaciones. El control de consumo es un argumento de venta, no solo una feature de soporte.</w:t>
      </w:r>
    </w:p>
    <w:p>
      <w:pPr>
        <w:spacing w:after="80" w:before="60"/>
      </w:pPr>
      <w:r>
        <w:rPr>
          <w:rFonts w:ascii="Arial" w:cs="Arial" w:eastAsia="Arial" w:hAnsi="Arial"/>
          <w:sz w:val="22"/>
          <w:szCs w:val="22"/>
        </w:rPr>
        <w:t xml:space="preserve">Consecuencia: Configurar Moesif y WSO2 para estas capacidades antes de activar facturación. Solo el simulador requiere desarrollo propio.</w:t>
      </w:r>
    </w:p>
    <w:p>
      <w:pPr>
        <w:spacing w:after="240" w:before="0"/>
      </w:pPr>
      <w:r>
        <w:t xml:space="preserve"/>
      </w:r>
    </w:p>
    <w:p>
      <w:r>
        <w:br w:type="page"/>
      </w:r>
    </w:p>
    <w:p>
      <w:pPr>
        <w:pStyle w:val="Heading1"/>
        <w:spacing w:after="120" w:before="360"/>
      </w:pPr>
      <w:r>
        <w:rPr>
          <w:rFonts w:ascii="Arial" w:cs="Arial" w:eastAsia="Arial" w:hAnsi="Arial"/>
          <w:b/>
          <w:bCs/>
          <w:color w:val="1B3A6B"/>
          <w:sz w:val="32"/>
          <w:szCs w:val="32"/>
        </w:rPr>
        <w:t xml:space="preserve">12. Próximos Pasos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152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Validar tiers con el primer cliente minero — confirmar que Professional (USD 449) es aceptable como precio de migración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Socio comercial</w:t>
            </w:r>
          </w:p>
        </w:tc>
        <w:tc>
          <w:tcPr>
            <w:tcW w:type="dxa" w:w="15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Configurar Moesif en WSO2 para metering de tool calls por cliente y por tier desde Fase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Rodolfo (dev)</w:t>
            </w:r>
          </w:p>
        </w:tc>
        <w:tc>
          <w:tcPr>
            <w:tcW w:type="dxa" w:w="15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Definir el catalogo de tools MCP de Fase 1 — separar read-only de escritura para aplicar restriccion por tier correctamente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Rodolfo (dev + PM)</w:t>
            </w:r>
          </w:p>
        </w:tc>
        <w:tc>
          <w:tcPr>
            <w:tcW w:type="dxa" w:w="15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Configurar spending caps y alertas en WSO2 + Moesif antes de activar facturacion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Rodolfo (dev)</w:t>
            </w:r>
          </w:p>
        </w:tc>
        <w:tc>
          <w:tcPr>
            <w:tcW w:type="dxa" w:w="1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Desarrollar simulador de consumo — widget simple en portal de cliente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Rodolfo (dev)</w:t>
            </w:r>
          </w:p>
        </w:tc>
        <w:tc>
          <w:tcPr>
            <w:tcW w:type="dxa" w:w="1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Revisar precios con datos reales de consumo al cabo de 90 dias de Fase 2 activa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Rodolfo + socio</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 (diferida)</w:t>
            </w:r>
          </w:p>
        </w:tc>
      </w:tr>
    </w:tbl>
    <w:p>
      <w:pPr>
        <w:spacing w:after="360" w:before="0"/>
      </w:pPr>
      <w:r>
        <w:t xml:space="preserve"/>
      </w:r>
    </w:p>
    <w:p>
      <w:pPr>
        <w:pBdr>
          <w:top w:val="single" w:color="2E75B6" w:sz="6" w:space="4"/>
        </w:pBdr>
        <w:spacing w:after="0" w:before="200"/>
        <w:jc w:val="center"/>
      </w:pPr>
      <w:r>
        <w:rPr>
          <w:rFonts w:ascii="Arial" w:cs="Arial" w:eastAsia="Arial" w:hAnsi="Arial"/>
          <w:i/>
          <w:iCs/>
          <w:color w:val="777777"/>
          <w:sz w:val="18"/>
          <w:szCs w:val="18"/>
        </w:rPr>
        <w:t xml:space="preserve">Documento generado en sesión de diseño — Abril 2026  |  Trazalog Tools  |  San Juan, Argentina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00"/>
    </w:pPr>
    <w:r>
      <w:rPr>
        <w:rFonts w:ascii="Arial" w:cs="Arial" w:eastAsia="Arial" w:hAnsi="Arial"/>
        <w:color w:val="999999"/>
        <w:sz w:val="16"/>
        <w:szCs w:val="16"/>
      </w:rPr>
      <w:t xml:space="preserve">Trazalog Tools  |  San Juan, Argentina  |  Abril 2026</w:t>
    </w:r>
    <w:r>
      <w:rPr>
        <w:rFonts w:ascii="Arial" w:cs="Arial" w:eastAsia="Arial" w:hAnsi="Arial"/>
        <w:color w:val="999999"/>
        <w:sz w:val="16"/>
        <w:szCs w:val="16"/>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B3A6B"/>
        <w:sz w:val="18"/>
        <w:szCs w:val="18"/>
      </w:rPr>
      <w:t xml:space="preserve">Trazalog Tools v3  —  Estrategia de Pricing</w:t>
    </w:r>
    <w:r>
      <w:rPr>
        <w:rFonts w:ascii="Arial" w:cs="Arial" w:eastAsia="Arial" w:hAnsi="Arial"/>
        <w:color w:val="999999"/>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2026-04-01T05:11:07.806Z</dcterms:created>
  <dcterms:modified xsi:type="dcterms:W3CDTF">2026-04-01T05:11:07.806Z</dcterms:modified>
</cp:coreProperties>
</file>

<file path=docProps/custom.xml><?xml version="1.0" encoding="utf-8"?>
<Properties xmlns="http://schemas.openxmlformats.org/officeDocument/2006/custom-properties" xmlns:vt="http://schemas.openxmlformats.org/officeDocument/2006/docPropsVTypes"/>
</file>