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0d8e612a3ce889a8f1e3c7e54449793d3fdf3e"/>
    <w:p>
      <w:pPr>
        <w:pStyle w:val="Heading1"/>
      </w:pPr>
      <w:r>
        <w:t xml:space="preserve">Disclosure Footnotes: Period Ended 2026-02-28</w:t>
      </w:r>
    </w:p>
    <w:p>
      <w:pPr>
        <w:pStyle w:val="FirstParagraph"/>
      </w:pPr>
      <w:r>
        <w:rPr>
          <w:b/>
          <w:bCs/>
        </w:rPr>
        <w:t xml:space="preserve">Entity:</w:t>
      </w:r>
      <w:r>
        <w:t xml:space="preserve"> </w:t>
      </w:r>
      <w:r>
        <w:t xml:space="preserve">Atticus Dundee Inc.</w:t>
      </w:r>
      <w: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the month ended 2026-02-28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issued. This is the prior period set, and it is the reference the current period’s set is drafted from.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Controller</w:t>
      </w:r>
      <w:r>
        <w:t xml:space="preserve"> </w:t>
      </w:r>
      <w:r>
        <w:rPr>
          <w:b/>
          <w:bCs/>
        </w:rPr>
        <w:t xml:space="preserve">Reviewed by:</w:t>
      </w:r>
      <w:r>
        <w:t xml:space="preserve"> </w:t>
      </w:r>
      <w:r>
        <w:t xml:space="preserve">Director, Finance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VP, Finance</w:t>
      </w:r>
    </w:p>
    <w:p>
      <w:pPr>
        <w:pStyle w:val="BodyText"/>
      </w:pPr>
      <w:r>
        <w:rPr>
          <w:b/>
          <w:bCs/>
        </w:rPr>
        <w:t xml:space="preserve">How this set is read.</w:t>
      </w:r>
      <w:r>
        <w:t xml:space="preserve"> </w:t>
      </w:r>
      <w:r>
        <w:t xml:space="preserve">Each footnote declares in its own heading the close</w:t>
      </w:r>
      <w:r>
        <w:t xml:space="preserve"> </w:t>
      </w:r>
      <w:r>
        <w:t xml:space="preserve">checklist category whose balance it reports. That is how a reader gets from a</w:t>
      </w:r>
      <w:r>
        <w:t xml:space="preserve"> </w:t>
      </w:r>
      <w:r>
        <w:t xml:space="preserve">disclosure back to the close work that supports it, and it names the support</w:t>
      </w:r>
      <w:r>
        <w:t xml:space="preserve"> </w:t>
      </w:r>
      <w:r>
        <w:t xml:space="preserve">the way an audit ready footnote is expected to. It is a category rather than an</w:t>
      </w:r>
      <w:r>
        <w:t xml:space="preserve"> </w:t>
      </w:r>
      <w:r>
        <w:t xml:space="preserve">account code because not every close task carries an account code, and a</w:t>
      </w:r>
      <w:r>
        <w:t xml:space="preserve"> </w:t>
      </w:r>
      <w:r>
        <w:t xml:space="preserve">footnote is supported by the work rather than by the ledger line. A footnote</w:t>
      </w:r>
      <w:r>
        <w:t xml:space="preserve"> </w:t>
      </w:r>
      <w:r>
        <w:t xml:space="preserve">that reports no close checklist balance declares no category and says so in its</w:t>
      </w:r>
      <w:r>
        <w:t xml:space="preserve"> </w:t>
      </w:r>
      <w:r>
        <w:t xml:space="preserve">heading.</w:t>
      </w:r>
    </w:p>
    <w:p>
      <w:pPr>
        <w:pStyle w:val="BodyText"/>
      </w:pPr>
      <w:r>
        <w:rPr>
          <w:b/>
          <w:bCs/>
        </w:rPr>
        <w:t xml:space="preserve">What is stated here and what is not.</w:t>
      </w:r>
      <w:r>
        <w:t xml:space="preserve"> </w:t>
      </w:r>
      <w:r>
        <w:t xml:space="preserve">Every figure below is the February</w:t>
      </w:r>
      <w:r>
        <w:t xml:space="preserve"> </w:t>
      </w:r>
      <w:r>
        <w:t xml:space="preserve">amount recorded in the account named beside it, to the cent, as the ledger</w:t>
      </w:r>
      <w:r>
        <w:t xml:space="preserve"> </w:t>
      </w:r>
      <w:r>
        <w:t xml:space="preserve">states it. Balances carried on the statement of financial position are</w:t>
      </w:r>
      <w:r>
        <w:t xml:space="preserve"> </w:t>
      </w:r>
      <w:r>
        <w:t xml:space="preserve">described here and reported there. This set travels with the February</w:t>
      </w:r>
      <w:r>
        <w:t xml:space="preserve"> </w:t>
      </w:r>
      <w:r>
        <w:t xml:space="preserve">statements and does not restate them, because a balance stated in two places</w:t>
      </w:r>
      <w:r>
        <w:t xml:space="preserve"> </w:t>
      </w:r>
      <w:r>
        <w:t xml:space="preserve">is a reconciliation nobody asked for.</w:t>
      </w:r>
    </w:p>
    <w:bookmarkStart w:id="9" w:name="Xdeb337ab89b29cf59e6957acab570a0d2f8a15b"/>
    <w:p>
      <w:pPr>
        <w:pStyle w:val="Heading2"/>
      </w:pPr>
      <w:r>
        <w:t xml:space="preserve">1. Revenue recognition and deferred revenue (close checklist category: revenue)</w:t>
      </w:r>
    </w:p>
    <w:p>
      <w:pPr>
        <w:pStyle w:val="FirstParagraph"/>
      </w:pPr>
      <w:r>
        <w:t xml:space="preserve">Revenue from subscription contracts is recognized ratably over the contract</w:t>
      </w:r>
      <w:r>
        <w:t xml:space="preserve"> </w:t>
      </w:r>
      <w:r>
        <w:t xml:space="preserve">term as the service is made available. Revenue from professional services is</w:t>
      </w:r>
      <w:r>
        <w:t xml:space="preserve"> </w:t>
      </w:r>
      <w:r>
        <w:t xml:space="preserve">recognized as the service is performed. Amounts invoiced ahead of performance</w:t>
      </w:r>
      <w:r>
        <w:t xml:space="preserve"> </w:t>
      </w:r>
      <w:r>
        <w:t xml:space="preserve">are recorded as deferred revenue, current and non-current, and released to</w:t>
      </w:r>
      <w:r>
        <w:t xml:space="preserve"> </w:t>
      </w:r>
      <w:r>
        <w:t xml:space="preserve">revenue as the related performance obligation is satisfied.</w:t>
      </w:r>
    </w:p>
    <w:p>
      <w:pPr>
        <w:pStyle w:val="BodyText"/>
      </w:pPr>
      <w:r>
        <w:t xml:space="preserve">Revenue recognized in February 2026 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Subscription Revenue - Enterprise</w:t>
            </w:r>
          </w:p>
        </w:tc>
        <w:tc>
          <w:tcPr/>
          <w:p>
            <w:pPr>
              <w:pStyle w:val="Compact"/>
            </w:pPr>
            <w:r>
              <w:t xml:space="preserve">$2,130,335.46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4010</w:t>
            </w:r>
          </w:p>
        </w:tc>
        <w:tc>
          <w:tcPr/>
          <w:p>
            <w:pPr>
              <w:pStyle w:val="Compact"/>
            </w:pPr>
            <w:r>
              <w:t xml:space="preserve">Subscription Revenue - Mid-Market</w:t>
            </w:r>
          </w:p>
        </w:tc>
        <w:tc>
          <w:tcPr/>
          <w:p>
            <w:pPr>
              <w:pStyle w:val="Compact"/>
            </w:pPr>
            <w:r>
              <w:t xml:space="preserve">$1,024,315.22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4020</w:t>
            </w:r>
          </w:p>
        </w:tc>
        <w:tc>
          <w:tcPr/>
          <w:p>
            <w:pPr>
              <w:pStyle w:val="Compact"/>
            </w:pPr>
            <w:r>
              <w:t xml:space="preserve">Subscription Revenue - Small Team</w:t>
            </w:r>
          </w:p>
        </w:tc>
        <w:tc>
          <w:tcPr/>
          <w:p>
            <w:pPr>
              <w:pStyle w:val="Compact"/>
            </w:pPr>
            <w:r>
              <w:t xml:space="preserve">$337,252.17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4100</w:t>
            </w:r>
          </w:p>
        </w:tc>
        <w:tc>
          <w:tcPr/>
          <w:p>
            <w:pPr>
              <w:pStyle w:val="Compact"/>
            </w:pPr>
            <w:r>
              <w:t xml:space="preserve">Professional Services Revenue</w:t>
            </w:r>
          </w:p>
        </w:tc>
        <w:tc>
          <w:tcPr/>
          <w:p>
            <w:pPr>
              <w:pStyle w:val="Compact"/>
            </w:pPr>
            <w:r>
              <w:t xml:space="preserve">$461,715.87</w:t>
            </w:r>
          </w:p>
        </w:tc>
      </w:tr>
    </w:tbl>
    <w:p>
      <w:pPr>
        <w:pStyle w:val="BodyText"/>
      </w:pPr>
      <w:r>
        <w:t xml:space="preserve">Discounts and credits granted in the period reduce recognized revenue and were</w:t>
      </w:r>
      <w:r>
        <w:t xml:space="preserve"> </w:t>
      </w:r>
      <w:r>
        <w:t xml:space="preserve">$47,458.26 in account 4900.</w:t>
      </w:r>
    </w:p>
    <w:p>
      <w:pPr>
        <w:pStyle w:val="BodyText"/>
      </w:pPr>
      <w:r>
        <w:t xml:space="preserve">The deferred revenue balance is carried on the statement of financial position,</w:t>
      </w:r>
      <w:r>
        <w:t xml:space="preserve"> </w:t>
      </w:r>
      <w:r>
        <w:t xml:space="preserve">split between current and non-current, and is rolled forward each period as</w:t>
      </w:r>
      <w:r>
        <w:t xml:space="preserve"> </w:t>
      </w:r>
      <w:r>
        <w:t xml:space="preserve">part of the close. The roll forward is prepared from the subscription billing</w:t>
      </w:r>
      <w:r>
        <w:t xml:space="preserve"> </w:t>
      </w:r>
      <w:r>
        <w:t xml:space="preserve">records and agreed to the ledger before this footnote is finalized.</w:t>
      </w:r>
    </w:p>
    <w:bookmarkEnd w:id="9"/>
    <w:bookmarkStart w:id="10" w:name="X0a151941eb34b20abcc2d0f7a6aa96e9784b01d"/>
    <w:p>
      <w:pPr>
        <w:pStyle w:val="Heading2"/>
      </w:pPr>
      <w:r>
        <w:t xml:space="preserve">2. Accrued liabilities (close checklist category: accruals)</w:t>
      </w:r>
    </w:p>
    <w:p>
      <w:pPr>
        <w:pStyle w:val="FirstParagraph"/>
      </w:pPr>
      <w:r>
        <w:t xml:space="preserve">Accrued liabilities are obligations for goods and services received, and for</w:t>
      </w:r>
      <w:r>
        <w:t xml:space="preserve"> </w:t>
      </w:r>
      <w:r>
        <w:t xml:space="preserve">employee compensation earned, that are unbilled or unpaid at period end. They</w:t>
      </w:r>
      <w:r>
        <w:t xml:space="preserve"> </w:t>
      </w:r>
      <w:r>
        <w:t xml:space="preserve">are recorded in four accounts: Accrued Liabilities (2010), Accrued Payroll</w:t>
      </w:r>
      <w:r>
        <w:t xml:space="preserve"> </w:t>
      </w:r>
      <w:r>
        <w:t xml:space="preserve">(2020), Accrued Bonus (2030) and Accrued Commissions (2040). Each accrual is</w:t>
      </w:r>
      <w:r>
        <w:t xml:space="preserve"> </w:t>
      </w:r>
      <w:r>
        <w:t xml:space="preserve">measured against the charge recorded in the expense accounts it supports, and</w:t>
      </w:r>
      <w:r>
        <w:t xml:space="preserve"> </w:t>
      </w:r>
      <w:r>
        <w:t xml:space="preserve">is relieved as the underlying amount is invoiced or paid.</w:t>
      </w:r>
    </w:p>
    <w:p>
      <w:pPr>
        <w:pStyle w:val="BodyText"/>
      </w:pPr>
      <w:r>
        <w:t xml:space="preserve">The expense recognized in February 2026 in the accounts these accruals support</w:t>
      </w:r>
      <w:r>
        <w:t xml:space="preserve"> </w:t>
      </w:r>
      <w:r>
        <w:t xml:space="preserve">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Salaries and Wages</w:t>
            </w:r>
          </w:p>
        </w:tc>
        <w:tc>
          <w:tcPr/>
          <w:p>
            <w:pPr>
              <w:pStyle w:val="Compact"/>
            </w:pPr>
            <w:r>
              <w:t xml:space="preserve">$2,290,002.83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6010</w:t>
            </w:r>
          </w:p>
        </w:tc>
        <w:tc>
          <w:tcPr/>
          <w:p>
            <w:pPr>
              <w:pStyle w:val="Compact"/>
            </w:pPr>
            <w:r>
              <w:t xml:space="preserve">Payroll Taxes</w:t>
            </w:r>
          </w:p>
        </w:tc>
        <w:tc>
          <w:tcPr/>
          <w:p>
            <w:pPr>
              <w:pStyle w:val="Compact"/>
            </w:pPr>
            <w:r>
              <w:t xml:space="preserve">$253,790.71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6020</w:t>
            </w:r>
          </w:p>
        </w:tc>
        <w:tc>
          <w:tcPr/>
          <w:p>
            <w:pPr>
              <w:pStyle w:val="Compact"/>
            </w:pPr>
            <w:r>
              <w:t xml:space="preserve">Employee Benefits</w:t>
            </w:r>
          </w:p>
        </w:tc>
        <w:tc>
          <w:tcPr/>
          <w:p>
            <w:pPr>
              <w:pStyle w:val="Compact"/>
            </w:pPr>
            <w:r>
              <w:t xml:space="preserve">$283,065.12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6030</w:t>
            </w:r>
          </w:p>
        </w:tc>
        <w:tc>
          <w:tcPr/>
          <w:p>
            <w:pPr>
              <w:pStyle w:val="Compact"/>
            </w:pPr>
            <w:r>
              <w:t xml:space="preserve">Contractors and Consultants</w:t>
            </w:r>
          </w:p>
        </w:tc>
        <w:tc>
          <w:tcPr/>
          <w:p>
            <w:pPr>
              <w:pStyle w:val="Compact"/>
            </w:pPr>
            <w:r>
              <w:t xml:space="preserve">$125,483.97</w:t>
            </w:r>
          </w:p>
        </w:tc>
      </w:tr>
    </w:tbl>
    <w:p>
      <w:pPr>
        <w:pStyle w:val="BodyText"/>
      </w:pPr>
      <w:r>
        <w:t xml:space="preserve">The accrued balances in accounts 2010, 2020, 2030 and 2040 at 2026-02-28 are</w:t>
      </w:r>
      <w:r>
        <w:t xml:space="preserve"> </w:t>
      </w:r>
      <w:r>
        <w:t xml:space="preserve">carried on the statement of financial position. No accrual in this footnote</w:t>
      </w:r>
      <w:r>
        <w:t xml:space="preserve"> </w:t>
      </w:r>
      <w:r>
        <w:t xml:space="preserve">rests on an estimate that a later period is expected to revise materially.</w:t>
      </w:r>
    </w:p>
    <w:bookmarkEnd w:id="10"/>
    <w:bookmarkStart w:id="11" w:name="X4feb9d4e47e45c838c2c889ec59cca43430eec8"/>
    <w:p>
      <w:pPr>
        <w:pStyle w:val="Heading2"/>
      </w:pPr>
      <w:r>
        <w:t xml:space="preserve">3. Prepaid expenses and amortization (close checklist category: accruals)</w:t>
      </w:r>
    </w:p>
    <w:p>
      <w:pPr>
        <w:pStyle w:val="FirstParagraph"/>
      </w:pPr>
      <w:r>
        <w:t xml:space="preserve">Prepaid expenses are amounts paid ahead of the period they benefit. They are</w:t>
      </w:r>
      <w:r>
        <w:t xml:space="preserve"> </w:t>
      </w:r>
      <w:r>
        <w:t xml:space="preserve">recorded as an asset when paid and amortized to expense over the period</w:t>
      </w:r>
      <w:r>
        <w:t xml:space="preserve"> </w:t>
      </w:r>
      <w:r>
        <w:t xml:space="preserve">benefited, on a schedule kept per prepayment and updated each period as part of</w:t>
      </w:r>
      <w:r>
        <w:t xml:space="preserve"> </w:t>
      </w:r>
      <w:r>
        <w:t xml:space="preserve">the close.</w:t>
      </w:r>
    </w:p>
    <w:p>
      <w:pPr>
        <w:pStyle w:val="BodyText"/>
      </w:pPr>
      <w:r>
        <w:t xml:space="preserve">The expense recognized in February 2026 in the accounts the prepaid schedules</w:t>
      </w:r>
      <w:r>
        <w:t xml:space="preserve"> </w:t>
      </w:r>
      <w:r>
        <w:t xml:space="preserve">amortize into was: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6600</w:t>
            </w:r>
          </w:p>
        </w:tc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$49,199.81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6200</w:t>
            </w:r>
          </w:p>
        </w:tc>
        <w:tc>
          <w:tcPr/>
          <w:p>
            <w:pPr>
              <w:pStyle w:val="Compact"/>
            </w:pPr>
            <w:r>
              <w:t xml:space="preserve">Software Subscriptions</w:t>
            </w:r>
          </w:p>
        </w:tc>
        <w:tc>
          <w:tcPr/>
          <w:p>
            <w:pPr>
              <w:pStyle w:val="Compact"/>
            </w:pPr>
            <w:r>
              <w:t xml:space="preserve">$639,150.86</w:t>
            </w:r>
          </w:p>
        </w:tc>
      </w:tr>
    </w:tbl>
    <w:p>
      <w:pPr>
        <w:pStyle w:val="BodyText"/>
      </w:pPr>
      <w:r>
        <w:t xml:space="preserve">Depreciation and amortization of long lived assets is a separate charge and is</w:t>
      </w:r>
      <w:r>
        <w:t xml:space="preserve"> </w:t>
      </w:r>
      <w:r>
        <w:t xml:space="preserve">not part of the prepaid schedules. It was $345,165.91 for the period, in account</w:t>
      </w:r>
      <w:r>
        <w:t xml:space="preserve"> </w:t>
      </w:r>
      <w:r>
        <w:t xml:space="preserve">6800. The prepaid balances at 2026-02-28 are carried on the statement of</w:t>
      </w:r>
      <w:r>
        <w:t xml:space="preserve"> </w:t>
      </w:r>
      <w:r>
        <w:t xml:space="preserve">financial position.</w:t>
      </w:r>
    </w:p>
    <w:bookmarkEnd w:id="11"/>
    <w:bookmarkStart w:id="12" w:name="X2ed62451a1880a65410f7fc72ff2e500e3b033f"/>
    <w:p>
      <w:pPr>
        <w:pStyle w:val="Heading2"/>
      </w:pPr>
      <w:r>
        <w:t xml:space="preserve">4. Commitments and contingencies (no close checklist category)</w:t>
      </w:r>
    </w:p>
    <w:p>
      <w:pPr>
        <w:pStyle w:val="FirstParagraph"/>
      </w:pPr>
      <w:r>
        <w:t xml:space="preserve">The Company occupies its premises under operating leases. The lease liability</w:t>
      </w:r>
      <w:r>
        <w:t xml:space="preserve"> </w:t>
      </w:r>
      <w:r>
        <w:t xml:space="preserve">is carried on the statement of financial position, split between current and</w:t>
      </w:r>
      <w:r>
        <w:t xml:space="preserve"> </w:t>
      </w:r>
      <w:r>
        <w:t xml:space="preserve">non-current, and the related charge is recorded in Rent and Facilities. That</w:t>
      </w:r>
      <w:r>
        <w:t xml:space="preserve"> </w:t>
      </w:r>
      <w:r>
        <w:t xml:space="preserve">charge was $314,118.63 for February 2026, in account 6100.</w:t>
      </w:r>
    </w:p>
    <w:p>
      <w:pPr>
        <w:pStyle w:val="BodyText"/>
      </w:pPr>
      <w:r>
        <w:t xml:space="preserve">No claim, assessment or other loss contingency met the threshold for accrual at</w:t>
      </w:r>
      <w:r>
        <w:t xml:space="preserve"> </w:t>
      </w:r>
      <w:r>
        <w:t xml:space="preserve">2026-02-28, and none met the lower threshold for disclosure. Purchase</w:t>
      </w:r>
      <w:r>
        <w:t xml:space="preserve"> </w:t>
      </w:r>
      <w:r>
        <w:t xml:space="preserve">commitments outstanding at period end arise in the ordinary course of business</w:t>
      </w:r>
      <w:r>
        <w:t xml:space="preserve"> </w:t>
      </w:r>
      <w:r>
        <w:t xml:space="preserve">and none is individually material.</w:t>
      </w:r>
    </w:p>
    <w:p>
      <w:pPr>
        <w:pStyle w:val="BodyText"/>
      </w:pPr>
      <w:r>
        <w:t xml:space="preserve">This footnote reports no close checklist balance and declares no category. It</w:t>
      </w:r>
      <w:r>
        <w:t xml:space="preserve"> </w:t>
      </w:r>
      <w:r>
        <w:t xml:space="preserve">is prepared from the lease register and from the representations obtained for</w:t>
      </w:r>
      <w:r>
        <w:t xml:space="preserve"> </w:t>
      </w:r>
      <w:r>
        <w:t xml:space="preserve">the period.</w:t>
      </w:r>
    </w:p>
    <w:bookmarkEnd w:id="12"/>
    <w:bookmarkStart w:id="13" w:name="X6ec15f376bdc0abbe2189b74bf3248e2dc69679"/>
    <w:p>
      <w:pPr>
        <w:pStyle w:val="Heading2"/>
      </w:pPr>
      <w:r>
        <w:t xml:space="preserve">5. Subsequent events (no close checklist category)</w:t>
      </w:r>
    </w:p>
    <w:p>
      <w:pPr>
        <w:pStyle w:val="FirstParagraph"/>
      </w:pPr>
      <w:r>
        <w:t xml:space="preserve">Events after 2026-02-28 and through the date this set was issued were evaluated</w:t>
      </w:r>
      <w:r>
        <w:t xml:space="preserve"> </w:t>
      </w:r>
      <w:r>
        <w:t xml:space="preserve">against two questions: whether the event gives evidence about a condition that</w:t>
      </w:r>
      <w:r>
        <w:t xml:space="preserve"> </w:t>
      </w:r>
      <w:r>
        <w:t xml:space="preserve">existed at period end, in which case the February amounts are adjusted, or</w:t>
      </w:r>
      <w:r>
        <w:t xml:space="preserve"> </w:t>
      </w:r>
      <w:r>
        <w:t xml:space="preserve">whether it concerns a condition that arose afterwards, in which case it is</w:t>
      </w:r>
      <w:r>
        <w:t xml:space="preserve"> </w:t>
      </w:r>
      <w:r>
        <w:t xml:space="preserve">disclosed and not adjusted.</w:t>
      </w:r>
    </w:p>
    <w:p>
      <w:pPr>
        <w:pStyle w:val="BodyText"/>
      </w:pPr>
      <w:r>
        <w:t xml:space="preserve">No event of either kind was identified. No February amount was adjusted, and no</w:t>
      </w:r>
      <w:r>
        <w:t xml:space="preserve"> </w:t>
      </w:r>
      <w:r>
        <w:t xml:space="preserve">non-adjusting event required disclosure.</w:t>
      </w:r>
    </w:p>
    <w:p>
      <w:pPr>
        <w:pStyle w:val="BodyText"/>
      </w:pPr>
      <w:r>
        <w:t xml:space="preserve">This footnote reports no close checklist balance and declares no category. It</w:t>
      </w:r>
      <w:r>
        <w:t xml:space="preserve"> </w:t>
      </w:r>
      <w:r>
        <w:t xml:space="preserve">is prepared from the review performed after period end and closes when the set</w:t>
      </w:r>
      <w:r>
        <w:t xml:space="preserve"> </w:t>
      </w:r>
      <w:r>
        <w:t xml:space="preserve">is issued.</w:t>
      </w:r>
    </w:p>
    <w:p>
      <w:pPr>
        <w:pStyle w:val="BodyText"/>
      </w:pPr>
      <w:r>
        <w:rPr>
          <w:b/>
          <w:bCs/>
        </w:rPr>
        <w:t xml:space="preserve">Basis of preparation.</w:t>
      </w:r>
      <w:r>
        <w:t xml:space="preserve"> </w:t>
      </w:r>
      <w:r>
        <w:t xml:space="preserve">Every money amount this document states equals the</w:t>
      </w:r>
      <w:r>
        <w:t xml:space="preserve"> </w:t>
      </w:r>
      <w:r>
        <w:t xml:space="preserve">actual February amount recorded in the account named beside it, to the cent,</w:t>
      </w:r>
      <w:r>
        <w:t xml:space="preserve"> </w:t>
      </w:r>
      <w:r>
        <w:t xml:space="preserve">and comes from the same ledger the February statements are drawn from. Nothing</w:t>
      </w:r>
      <w:r>
        <w:t xml:space="preserve"> </w:t>
      </w:r>
      <w:r>
        <w:t xml:space="preserve">here is rounded, restated, or carried forward from an earlier draft, and no</w:t>
      </w:r>
      <w:r>
        <w:t xml:space="preserve"> </w:t>
      </w:r>
      <w:r>
        <w:t xml:space="preserve">figure here is derived from a working file rather than from the ledger.</w:t>
      </w:r>
    </w:p>
    <w:p>
      <w:pPr>
        <w:pStyle w:val="BodyText"/>
      </w:pPr>
      <w:r>
        <w:rPr>
          <w:b/>
          <w:bCs/>
        </w:rPr>
        <w:t xml:space="preserve">Roles.</w:t>
      </w:r>
      <w:r>
        <w:t xml:space="preserve"> </w:t>
      </w:r>
      <w:r>
        <w:t xml:space="preserve">Prepared by the Controller, reviewed by the Director, Finance, and</w:t>
      </w:r>
      <w:r>
        <w:t xml:space="preserve"> </w:t>
      </w:r>
      <w:r>
        <w:t xml:space="preserve">approved by the VP, Finance. Roles are stated by title only. No person name</w:t>
      </w:r>
      <w:r>
        <w:t xml:space="preserve"> </w:t>
      </w:r>
      <w:r>
        <w:t xml:space="preserve">appears anywhere in this set, and who holds a role in a given period is a</w:t>
      </w:r>
      <w:r>
        <w:t xml:space="preserve"> </w:t>
      </w:r>
      <w:r>
        <w:t xml:space="preserve">matter for the roster and not for a disclosure.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2026-08-22T20:03:55Z</dcterms:created>
  <dcterms:modified xsi:type="dcterms:W3CDTF">2026-08-22T20:03:55Z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