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8ffa3be7e94f4aef0c913927cb872c251db5f40"/>
    <w:p>
      <w:pPr>
        <w:pStyle w:val="Heading1"/>
      </w:pPr>
      <w:r>
        <w:t xml:space="preserve">Board Deck Outline: Q4 2025 Quarterly Review</w:t>
      </w:r>
    </w:p>
    <w:p>
      <w:pPr>
        <w:pStyle w:val="FirstParagraph"/>
      </w:pPr>
      <w:r>
        <w:rPr>
          <w:b/>
          <w:bCs/>
        </w:rPr>
        <w:t xml:space="preserve">Entity:</w:t>
      </w:r>
      <w:r>
        <w:t xml:space="preserve"> </w:t>
      </w:r>
      <w:r>
        <w:t xml:space="preserve">Atticus Dundee Inc.</w:t>
      </w:r>
      <w:r>
        <w:t xml:space="preserve"> </w:t>
      </w:r>
      <w:r>
        <w:rPr>
          <w:b/>
          <w:bCs/>
        </w:rPr>
        <w:t xml:space="preserve">Document type:</w:t>
      </w:r>
      <w:r>
        <w:t xml:space="preserve"> </w:t>
      </w:r>
      <w:r>
        <w:t xml:space="preserve">the standing outline the quarterly board deck is built from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VP, Finance</w:t>
      </w:r>
      <w:r>
        <w:t xml:space="preserve"> </w:t>
      </w:r>
      <w:r>
        <w:rPr>
          <w:b/>
          <w:bCs/>
        </w:rPr>
        <w:t xml:space="preserve">Maintained by:</w:t>
      </w:r>
      <w:r>
        <w:t xml:space="preserve"> </w:t>
      </w:r>
      <w:r>
        <w:t xml:space="preserve">Controller</w:t>
      </w:r>
    </w:p>
    <w:p>
      <w:pPr>
        <w:pStyle w:val="BodyText"/>
      </w:pPr>
      <w:r>
        <w:t xml:space="preserve">This is the standing Q4 2025 board agenda as an outline and nothing else. It</w:t>
      </w:r>
      <w:r>
        <w:t xml:space="preserve"> </w:t>
      </w:r>
      <w:r>
        <w:t xml:space="preserve">carries the section headings in the order the meeting takes them, the figure</w:t>
      </w:r>
      <w:r>
        <w:t xml:space="preserve"> </w:t>
      </w:r>
      <w:r>
        <w:t xml:space="preserve">slots named and left empty, the distribution list, and the classification</w:t>
      </w:r>
      <w:r>
        <w:t xml:space="preserve"> </w:t>
      </w:r>
      <w:r>
        <w:t xml:space="preserve">convention the pack already uses. It carries no narrative and no figure of its</w:t>
      </w:r>
      <w:r>
        <w:t xml:space="preserve"> </w:t>
      </w:r>
      <w:r>
        <w:t xml:space="preserve">own. Building a deck from it is separate work from maintaining it.</w:t>
      </w:r>
    </w:p>
    <w:bookmarkStart w:id="9" w:name="classification-and-handling"/>
    <w:p>
      <w:pPr>
        <w:pStyle w:val="Heading2"/>
      </w:pPr>
      <w:r>
        <w:t xml:space="preserve">Classification and handling</w:t>
      </w:r>
    </w:p>
    <w:p>
      <w:pPr>
        <w:pStyle w:val="FirstParagraph"/>
      </w:pPr>
      <w:r>
        <w:t xml:space="preserve">An outline is unclassified until it is populated. The moment a figure slot is</w:t>
      </w:r>
      <w:r>
        <w:t xml:space="preserve"> </w:t>
      </w:r>
      <w:r>
        <w:t xml:space="preserve">filled, the populated deck inherits the classification the board material</w:t>
      </w:r>
      <w:r>
        <w:t xml:space="preserve"> </w:t>
      </w:r>
      <w:r>
        <w:t xml:space="preserve">convention assigns, and the banner that convention specifies is applied at the</w:t>
      </w:r>
      <w:r>
        <w:t xml:space="preserve"> </w:t>
      </w:r>
      <w:r>
        <w:t xml:space="preserve">head and the foot of the populated file.</w:t>
      </w:r>
    </w:p>
    <w:p>
      <w:pPr>
        <w:pStyle w:val="BodyText"/>
      </w:pPr>
      <w:r>
        <w:t xml:space="preserve">This outline does not duplicate the board pack excerpt, which stays the</w:t>
      </w:r>
      <w:r>
        <w:t xml:space="preserve"> </w:t>
      </w:r>
      <w:r>
        <w:t xml:space="preserve">classification and handling document: the outline points at the classification</w:t>
      </w:r>
      <w:r>
        <w:t xml:space="preserve"> </w:t>
      </w:r>
      <w:r>
        <w:t xml:space="preserve">convention rather than restating the banner. When the convention changes there</w:t>
      </w:r>
      <w:r>
        <w:t xml:space="preserve"> </w:t>
      </w:r>
      <w:r>
        <w:t xml:space="preserve">is one document to change, and it is not this one.</w:t>
      </w:r>
    </w:p>
    <w:bookmarkEnd w:id="9"/>
    <w:bookmarkStart w:id="10" w:name="how-the-figure-slots-are-filled"/>
    <w:p>
      <w:pPr>
        <w:pStyle w:val="Heading2"/>
      </w:pPr>
      <w:r>
        <w:t xml:space="preserve">How the figure slots are filled</w:t>
      </w:r>
    </w:p>
    <w:p>
      <w:pPr>
        <w:pStyle w:val="FirstParagraph"/>
      </w:pPr>
      <w:r>
        <w:t xml:space="preserve">The figure slots are named and empty on purpose, so every number a narrative</w:t>
      </w:r>
      <w:r>
        <w:t xml:space="preserve"> </w:t>
      </w:r>
      <w:r>
        <w:t xml:space="preserve">states has to come from the approved metrics pack with the source reference</w:t>
      </w:r>
      <w:r>
        <w:t xml:space="preserve"> </w:t>
      </w:r>
      <w:r>
        <w:t xml:space="preserve">that pack carries for it.</w:t>
      </w:r>
    </w:p>
    <w:p>
      <w:pPr>
        <w:pStyle w:val="Compact"/>
        <w:numPr>
          <w:ilvl w:val="0"/>
          <w:numId w:val="1001"/>
        </w:numPr>
      </w:pPr>
      <w:r>
        <w:t xml:space="preserve">A slot is filled from the approved metrics pack and from nothing else. Not</w:t>
      </w:r>
      <w:r>
        <w:t xml:space="preserve"> </w:t>
      </w:r>
      <w:r>
        <w:t xml:space="preserve">from a working file, not from a draft schedule, not from a recollection of</w:t>
      </w:r>
      <w:r>
        <w:t xml:space="preserve"> </w:t>
      </w:r>
      <w:r>
        <w:t xml:space="preserve">the last review.</w:t>
      </w:r>
    </w:p>
    <w:p>
      <w:pPr>
        <w:pStyle w:val="Compact"/>
        <w:numPr>
          <w:ilvl w:val="0"/>
          <w:numId w:val="1001"/>
        </w:numPr>
      </w:pPr>
      <w:r>
        <w:t xml:space="preserve">A filled slot travels with the source reference the pack gives the metric,</w:t>
      </w:r>
      <w:r>
        <w:t xml:space="preserve"> </w:t>
      </w:r>
      <w:r>
        <w:t xml:space="preserve">so a reader can go from the slide back to the record behind it.</w:t>
      </w:r>
    </w:p>
    <w:p>
      <w:pPr>
        <w:pStyle w:val="Compact"/>
        <w:numPr>
          <w:ilvl w:val="0"/>
          <w:numId w:val="1001"/>
        </w:numPr>
      </w:pPr>
      <w:r>
        <w:t xml:space="preserve">A slot with no approved metric stays empty and is presented as empty. An</w:t>
      </w:r>
      <w:r>
        <w:t xml:space="preserve"> </w:t>
      </w:r>
      <w:r>
        <w:t xml:space="preserve">empty slot is a status the board can act on. An unsourced number is a</w:t>
      </w:r>
      <w:r>
        <w:t xml:space="preserve"> </w:t>
      </w:r>
      <w:r>
        <w:t xml:space="preserve">finding.</w:t>
      </w:r>
    </w:p>
    <w:p>
      <w:pPr>
        <w:pStyle w:val="Compact"/>
        <w:numPr>
          <w:ilvl w:val="0"/>
          <w:numId w:val="1001"/>
        </w:numPr>
      </w:pPr>
      <w:r>
        <w:t xml:space="preserve">A metric the pack marks as draft keeps that label inside the slot, and the</w:t>
      </w:r>
      <w:r>
        <w:t xml:space="preserve"> </w:t>
      </w:r>
      <w:r>
        <w:t xml:space="preserve">label travels onto the slide with it.</w:t>
      </w:r>
    </w:p>
    <w:p>
      <w:pPr>
        <w:pStyle w:val="Compact"/>
        <w:numPr>
          <w:ilvl w:val="0"/>
          <w:numId w:val="1001"/>
        </w:numPr>
      </w:pPr>
      <w:r>
        <w:t xml:space="preserve">A slot that the pack cannot fill is raised with the owner named beside the</w:t>
      </w:r>
      <w:r>
        <w:t xml:space="preserve"> </w:t>
      </w:r>
      <w:r>
        <w:t xml:space="preserve">section below, before the deck is circulated, never in the meeting.</w:t>
      </w:r>
    </w:p>
    <w:bookmarkEnd w:id="10"/>
    <w:bookmarkStart w:id="21" w:name="agenda"/>
    <w:p>
      <w:pPr>
        <w:pStyle w:val="Heading2"/>
      </w:pPr>
      <w:r>
        <w:t xml:space="preserve">Agenda</w:t>
      </w:r>
    </w:p>
    <w:bookmarkStart w:id="11" w:name="call-to-order-and-prior-minutes"/>
    <w:p>
      <w:pPr>
        <w:pStyle w:val="Heading3"/>
      </w:pPr>
      <w:r>
        <w:t xml:space="preserve">1. Call to order and prior minutes</w:t>
      </w:r>
    </w:p>
    <w:p>
      <w:pPr>
        <w:pStyle w:val="Compact"/>
        <w:numPr>
          <w:ilvl w:val="0"/>
          <w:numId w:val="1002"/>
        </w:numPr>
      </w:pPr>
      <w:r>
        <w:t xml:space="preserve">Owner: Chief Executive Officer</w:t>
      </w:r>
    </w:p>
    <w:p>
      <w:pPr>
        <w:pStyle w:val="Compact"/>
        <w:numPr>
          <w:ilvl w:val="0"/>
          <w:numId w:val="1002"/>
        </w:numPr>
      </w:pPr>
      <w:r>
        <w:t xml:space="preserve">Figure slots: none</w:t>
      </w:r>
    </w:p>
    <w:bookmarkEnd w:id="11"/>
    <w:bookmarkStart w:id="12" w:name="quarter-in-review"/>
    <w:p>
      <w:pPr>
        <w:pStyle w:val="Heading3"/>
      </w:pPr>
      <w:r>
        <w:t xml:space="preserve">2. Quarter in review</w:t>
      </w:r>
    </w:p>
    <w:p>
      <w:pPr>
        <w:pStyle w:val="Compact"/>
        <w:numPr>
          <w:ilvl w:val="0"/>
          <w:numId w:val="1003"/>
        </w:numPr>
      </w:pPr>
      <w:r>
        <w:t xml:space="preserve">Owner: Chief Executive Officer</w:t>
      </w:r>
    </w:p>
    <w:p>
      <w:pPr>
        <w:pStyle w:val="Compact"/>
        <w:numPr>
          <w:ilvl w:val="0"/>
          <w:numId w:val="1003"/>
        </w:numPr>
      </w:pPr>
      <w:r>
        <w:t xml:space="preserve">Figure slots: [total revenue for the quarter], [movement against the prior</w:t>
      </w:r>
      <w:r>
        <w:t xml:space="preserve"> </w:t>
      </w:r>
      <w:r>
        <w:t xml:space="preserve">quarter], [gross margin], [operating result for the quarter]</w:t>
      </w:r>
    </w:p>
    <w:bookmarkEnd w:id="12"/>
    <w:bookmarkStart w:id="13" w:name="financial-results"/>
    <w:p>
      <w:pPr>
        <w:pStyle w:val="Heading3"/>
      </w:pPr>
      <w:r>
        <w:t xml:space="preserve">3. Financial results</w:t>
      </w:r>
    </w:p>
    <w:p>
      <w:pPr>
        <w:pStyle w:val="Compact"/>
        <w:numPr>
          <w:ilvl w:val="0"/>
          <w:numId w:val="1004"/>
        </w:numPr>
      </w:pPr>
      <w:r>
        <w:t xml:space="preserve">Owner: VP, Finance</w:t>
      </w:r>
    </w:p>
    <w:p>
      <w:pPr>
        <w:pStyle w:val="Compact"/>
        <w:numPr>
          <w:ilvl w:val="0"/>
          <w:numId w:val="1004"/>
        </w:numPr>
      </w:pPr>
      <w:r>
        <w:t xml:space="preserve">Presenter: Controller</w:t>
      </w:r>
    </w:p>
    <w:p>
      <w:pPr>
        <w:pStyle w:val="Compact"/>
        <w:numPr>
          <w:ilvl w:val="0"/>
          <w:numId w:val="1004"/>
        </w:numPr>
      </w:pPr>
      <w:r>
        <w:t xml:space="preserve">Figure slots: [revenue by line], [cost of revenue], [operating expense by</w:t>
      </w:r>
      <w:r>
        <w:t xml:space="preserve"> </w:t>
      </w:r>
      <w:r>
        <w:t xml:space="preserve">category], [operating result], [cash at quarter end], [movement in cash]</w:t>
      </w:r>
    </w:p>
    <w:bookmarkEnd w:id="13"/>
    <w:bookmarkStart w:id="14" w:name="key-metrics"/>
    <w:p>
      <w:pPr>
        <w:pStyle w:val="Heading3"/>
      </w:pPr>
      <w:r>
        <w:t xml:space="preserve">4. Key metrics</w:t>
      </w:r>
    </w:p>
    <w:p>
      <w:pPr>
        <w:pStyle w:val="Compact"/>
        <w:numPr>
          <w:ilvl w:val="0"/>
          <w:numId w:val="1005"/>
        </w:numPr>
      </w:pPr>
      <w:r>
        <w:t xml:space="preserve">Owner: VP, Finance</w:t>
      </w:r>
    </w:p>
    <w:p>
      <w:pPr>
        <w:pStyle w:val="Compact"/>
        <w:numPr>
          <w:ilvl w:val="0"/>
          <w:numId w:val="1005"/>
        </w:numPr>
      </w:pPr>
      <w:r>
        <w:t xml:space="preserve">Presenter: FP&amp;A Analyst</w:t>
      </w:r>
    </w:p>
    <w:p>
      <w:pPr>
        <w:pStyle w:val="Compact"/>
        <w:numPr>
          <w:ilvl w:val="0"/>
          <w:numId w:val="1005"/>
        </w:numPr>
      </w:pPr>
      <w:r>
        <w:t xml:space="preserve">Figure slots: [new bookings], [churn], [customer count], [headcount at</w:t>
      </w:r>
      <w:r>
        <w:t xml:space="preserve"> </w:t>
      </w:r>
      <w:r>
        <w:t xml:space="preserve">quarter end], [deferred revenue balance]</w:t>
      </w:r>
    </w:p>
    <w:bookmarkEnd w:id="14"/>
    <w:bookmarkStart w:id="15" w:name="budget-and-forecast"/>
    <w:p>
      <w:pPr>
        <w:pStyle w:val="Heading3"/>
      </w:pPr>
      <w:r>
        <w:t xml:space="preserve">5. Budget and forecast</w:t>
      </w:r>
    </w:p>
    <w:p>
      <w:pPr>
        <w:pStyle w:val="Compact"/>
        <w:numPr>
          <w:ilvl w:val="0"/>
          <w:numId w:val="1006"/>
        </w:numPr>
      </w:pPr>
      <w:r>
        <w:t xml:space="preserve">Owner: Director, Finance</w:t>
      </w:r>
    </w:p>
    <w:p>
      <w:pPr>
        <w:pStyle w:val="Compact"/>
        <w:numPr>
          <w:ilvl w:val="0"/>
          <w:numId w:val="1006"/>
        </w:numPr>
      </w:pPr>
      <w:r>
        <w:t xml:space="preserve">Presenter: FP&amp;A Analyst</w:t>
      </w:r>
    </w:p>
    <w:p>
      <w:pPr>
        <w:pStyle w:val="Compact"/>
        <w:numPr>
          <w:ilvl w:val="0"/>
          <w:numId w:val="1006"/>
        </w:numPr>
      </w:pPr>
      <w:r>
        <w:t xml:space="preserve">Figure slots: [actual against budget by line], [material variances and the</w:t>
      </w:r>
      <w:r>
        <w:t xml:space="preserve"> </w:t>
      </w:r>
      <w:r>
        <w:t xml:space="preserve">explanation of each], [full year forecast], [movement in the forecast since</w:t>
      </w:r>
      <w:r>
        <w:t xml:space="preserve"> </w:t>
      </w:r>
      <w:r>
        <w:t xml:space="preserve">the prior review]</w:t>
      </w:r>
    </w:p>
    <w:bookmarkEnd w:id="15"/>
    <w:bookmarkStart w:id="16" w:name="close-and-controls"/>
    <w:p>
      <w:pPr>
        <w:pStyle w:val="Heading3"/>
      </w:pPr>
      <w:r>
        <w:t xml:space="preserve">6. Close and controls</w:t>
      </w:r>
    </w:p>
    <w:p>
      <w:pPr>
        <w:pStyle w:val="Compact"/>
        <w:numPr>
          <w:ilvl w:val="0"/>
          <w:numId w:val="1007"/>
        </w:numPr>
      </w:pPr>
      <w:r>
        <w:t xml:space="preserve">Owner: Controller</w:t>
      </w:r>
    </w:p>
    <w:p>
      <w:pPr>
        <w:pStyle w:val="Compact"/>
        <w:numPr>
          <w:ilvl w:val="0"/>
          <w:numId w:val="1007"/>
        </w:numPr>
      </w:pPr>
      <w:r>
        <w:t xml:space="preserve">Figure slots: [close completion status], [open reconciling items],</w:t>
      </w:r>
      <w:r>
        <w:t xml:space="preserve"> </w:t>
      </w:r>
      <w:r>
        <w:t xml:space="preserve">[control exceptions raised and cleared]</w:t>
      </w:r>
    </w:p>
    <w:bookmarkEnd w:id="16"/>
    <w:bookmarkStart w:id="17" w:name="risk-and-compliance"/>
    <w:p>
      <w:pPr>
        <w:pStyle w:val="Heading3"/>
      </w:pPr>
      <w:r>
        <w:t xml:space="preserve">7. Risk and compliance</w:t>
      </w:r>
    </w:p>
    <w:p>
      <w:pPr>
        <w:pStyle w:val="Compact"/>
        <w:numPr>
          <w:ilvl w:val="0"/>
          <w:numId w:val="1008"/>
        </w:numPr>
      </w:pPr>
      <w:r>
        <w:t xml:space="preserve">Owner: VP, Finance</w:t>
      </w:r>
    </w:p>
    <w:p>
      <w:pPr>
        <w:pStyle w:val="Compact"/>
        <w:numPr>
          <w:ilvl w:val="0"/>
          <w:numId w:val="1008"/>
        </w:numPr>
      </w:pPr>
      <w:r>
        <w:t xml:space="preserve">Figure slots: none</w:t>
      </w:r>
    </w:p>
    <w:bookmarkEnd w:id="17"/>
    <w:bookmarkStart w:id="18" w:name="strategic-matters"/>
    <w:p>
      <w:pPr>
        <w:pStyle w:val="Heading3"/>
      </w:pPr>
      <w:r>
        <w:t xml:space="preserve">8. Strategic matters</w:t>
      </w:r>
    </w:p>
    <w:p>
      <w:pPr>
        <w:pStyle w:val="Compact"/>
        <w:numPr>
          <w:ilvl w:val="0"/>
          <w:numId w:val="1009"/>
        </w:numPr>
      </w:pPr>
      <w:r>
        <w:t xml:space="preserve">Owner: Chief Executive Officer</w:t>
      </w:r>
    </w:p>
    <w:p>
      <w:pPr>
        <w:pStyle w:val="Compact"/>
        <w:numPr>
          <w:ilvl w:val="0"/>
          <w:numId w:val="1009"/>
        </w:numPr>
      </w:pPr>
      <w:r>
        <w:t xml:space="preserve">Figure slots: none</w:t>
      </w:r>
    </w:p>
    <w:bookmarkEnd w:id="18"/>
    <w:bookmarkStart w:id="19" w:name="decisions-requested-of-the-board"/>
    <w:p>
      <w:pPr>
        <w:pStyle w:val="Heading3"/>
      </w:pPr>
      <w:r>
        <w:t xml:space="preserve">9. Decisions requested of the board</w:t>
      </w:r>
    </w:p>
    <w:p>
      <w:pPr>
        <w:pStyle w:val="Compact"/>
        <w:numPr>
          <w:ilvl w:val="0"/>
          <w:numId w:val="1010"/>
        </w:numPr>
      </w:pPr>
      <w:r>
        <w:t xml:space="preserve">Owner: Chief Executive Officer</w:t>
      </w:r>
    </w:p>
    <w:p>
      <w:pPr>
        <w:pStyle w:val="Compact"/>
        <w:numPr>
          <w:ilvl w:val="0"/>
          <w:numId w:val="1010"/>
        </w:numPr>
      </w:pPr>
      <w:r>
        <w:t xml:space="preserve">Figure slots: none</w:t>
      </w:r>
    </w:p>
    <w:bookmarkEnd w:id="19"/>
    <w:bookmarkStart w:id="20" w:name="executive-session"/>
    <w:p>
      <w:pPr>
        <w:pStyle w:val="Heading3"/>
      </w:pPr>
      <w:r>
        <w:t xml:space="preserve">10. Executive session</w:t>
      </w:r>
    </w:p>
    <w:p>
      <w:pPr>
        <w:pStyle w:val="Compact"/>
        <w:numPr>
          <w:ilvl w:val="0"/>
          <w:numId w:val="1011"/>
        </w:numPr>
      </w:pPr>
      <w:r>
        <w:t xml:space="preserve">Owner: Board of Directors</w:t>
      </w:r>
    </w:p>
    <w:p>
      <w:pPr>
        <w:pStyle w:val="Compact"/>
        <w:numPr>
          <w:ilvl w:val="0"/>
          <w:numId w:val="1011"/>
        </w:numPr>
      </w:pPr>
      <w:r>
        <w:t xml:space="preserve">Figure slots: none</w:t>
      </w:r>
    </w:p>
    <w:bookmarkEnd w:id="20"/>
    <w:bookmarkEnd w:id="21"/>
    <w:bookmarkStart w:id="22" w:name="distribution"/>
    <w:p>
      <w:pPr>
        <w:pStyle w:val="Heading2"/>
      </w:pPr>
      <w:r>
        <w:t xml:space="preserve">Distribution</w:t>
      </w:r>
    </w:p>
    <w:p>
      <w:pPr>
        <w:pStyle w:val="FirstParagraph"/>
      </w:pPr>
      <w:r>
        <w:t xml:space="preserve">Distribution is by role title. No individual is named in this outline, and no</w:t>
      </w:r>
      <w:r>
        <w:t xml:space="preserve"> </w:t>
      </w:r>
      <w:r>
        <w:t xml:space="preserve">signature line is required, because an outline is not approved by signing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Standing in the meeting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 of Directors</w:t>
            </w:r>
          </w:p>
        </w:tc>
        <w:tc>
          <w:tcPr/>
          <w:p>
            <w:pPr>
              <w:pStyle w:val="Compact"/>
            </w:pPr>
            <w:r>
              <w:t xml:space="preserve">Receives the deck and holds the executive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Chief Executive Officer</w:t>
            </w:r>
          </w:p>
        </w:tc>
        <w:tc>
          <w:tcPr/>
          <w:p>
            <w:pPr>
              <w:pStyle w:val="Compact"/>
            </w:pPr>
            <w:r>
              <w:t xml:space="preserve">Chairs the meeting and owns the opening, review, strategic and decision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VP, Finance</w:t>
            </w:r>
          </w:p>
        </w:tc>
        <w:tc>
          <w:tcPr/>
          <w:p>
            <w:pPr>
              <w:pStyle w:val="Compact"/>
            </w:pPr>
            <w:r>
              <w:t xml:space="preserve">Owns the financial results, key metrics, and risk and compliance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Director, Finance</w:t>
            </w:r>
          </w:p>
        </w:tc>
        <w:tc>
          <w:tcPr/>
          <w:p>
            <w:pPr>
              <w:pStyle w:val="Compact"/>
            </w:pPr>
            <w:r>
              <w:t xml:space="preserve">Owns the budget and forecast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Owns the close and controls section and presents the financial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FP&amp;A Analyst</w:t>
            </w:r>
          </w:p>
        </w:tc>
        <w:tc>
          <w:tcPr/>
          <w:p>
            <w:pPr>
              <w:pStyle w:val="Compact"/>
            </w:pPr>
            <w:r>
              <w:t xml:space="preserve">Presents the key metrics and the budget and forecast sections</w:t>
            </w:r>
          </w:p>
        </w:tc>
      </w:tr>
    </w:tbl>
    <w:p>
      <w:pPr>
        <w:pStyle w:val="BodyText"/>
      </w:pPr>
      <w:r>
        <w:t xml:space="preserve">The distribution list and every owner above are role titles from the employee</w:t>
      </w:r>
      <w:r>
        <w:t xml:space="preserve"> </w:t>
      </w:r>
      <w:r>
        <w:t xml:space="preserve">ladder, which is what lets the outline outlive any one holder of a seat. A</w:t>
      </w:r>
      <w:r>
        <w:t xml:space="preserve"> </w:t>
      </w:r>
      <w:r>
        <w:t xml:space="preserve">person name belongs on the attendance record, not in this document.</w:t>
      </w:r>
    </w:p>
    <w:bookmarkEnd w:id="22"/>
    <w:bookmarkStart w:id="23" w:name="what-this-outline-does-not-carry"/>
    <w:p>
      <w:pPr>
        <w:pStyle w:val="Heading2"/>
      </w:pPr>
      <w:r>
        <w:t xml:space="preserve">What this outline does not carry</w:t>
      </w:r>
    </w:p>
    <w:p>
      <w:pPr>
        <w:pStyle w:val="FirstParagraph"/>
      </w:pPr>
      <w:r>
        <w:t xml:space="preserve">No money amount and no percentage appears anywhere in this document, and no</w:t>
      </w:r>
      <w:r>
        <w:t xml:space="preserve"> </w:t>
      </w:r>
      <w:r>
        <w:t xml:space="preserve">date inside the current reporting period. That is on purpose. A number typed</w:t>
      </w:r>
      <w:r>
        <w:t xml:space="preserve"> </w:t>
      </w:r>
      <w:r>
        <w:t xml:space="preserve">into an outline outlives the quarter it was true for, and the outline is reused</w:t>
      </w:r>
      <w:r>
        <w:t xml:space="preserve"> </w:t>
      </w:r>
      <w:r>
        <w:t xml:space="preserve">every quarter. The figures live in the approved metrics pack, the handling</w:t>
      </w:r>
      <w:r>
        <w:t xml:space="preserve"> </w:t>
      </w:r>
      <w:r>
        <w:t xml:space="preserve">rules live in the board pack excerpt, and this file stays the structure the</w:t>
      </w:r>
      <w:r>
        <w:t xml:space="preserve"> </w:t>
      </w:r>
      <w:r>
        <w:t xml:space="preserve">meeting follows.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2026-08-22T20:03:55Z</dcterms:created>
  <dcterms:modified xsi:type="dcterms:W3CDTF">2026-08-22T20:03:55Z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