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interview-transcript-hiring-manager"/>
    <w:p>
      <w:pPr>
        <w:pStyle w:val="Heading1"/>
      </w:pPr>
      <w:r>
        <w:t xml:space="preserve">Interview transcript: hiring manager</w:t>
      </w:r>
    </w:p>
    <w:p>
      <w:pPr>
        <w:pStyle w:val="Compact"/>
        <w:numPr>
          <w:ilvl w:val="0"/>
          <w:numId w:val="1001"/>
        </w:numPr>
      </w:pPr>
      <w:r>
        <w:t xml:space="preserve">Organization: Atticus Dundee Inc.</w:t>
      </w:r>
    </w:p>
    <w:p>
      <w:pPr>
        <w:pStyle w:val="Compact"/>
        <w:numPr>
          <w:ilvl w:val="0"/>
          <w:numId w:val="1001"/>
        </w:numPr>
      </w:pPr>
      <w:r>
        <w:t xml:space="preserve">Candidate ID: ca-001</w:t>
      </w:r>
    </w:p>
    <w:p>
      <w:pPr>
        <w:pStyle w:val="Compact"/>
        <w:numPr>
          <w:ilvl w:val="0"/>
          <w:numId w:val="1001"/>
        </w:numPr>
      </w:pPr>
      <w:r>
        <w:t xml:space="preserve">Candidate name: Ianthe Wrenfield</w:t>
      </w:r>
    </w:p>
    <w:p>
      <w:pPr>
        <w:pStyle w:val="Compact"/>
        <w:numPr>
          <w:ilvl w:val="0"/>
          <w:numId w:val="1001"/>
        </w:numPr>
      </w:pPr>
      <w:r>
        <w:t xml:space="preserve">Requisition ID: RQN-2026-0106</w:t>
      </w:r>
    </w:p>
    <w:p>
      <w:pPr>
        <w:pStyle w:val="Compact"/>
        <w:numPr>
          <w:ilvl w:val="0"/>
          <w:numId w:val="1001"/>
        </w:numPr>
      </w:pPr>
      <w:r>
        <w:t xml:space="preserve">Date: 2026-03-12</w:t>
      </w:r>
    </w:p>
    <w:p>
      <w:pPr>
        <w:pStyle w:val="Compact"/>
        <w:numPr>
          <w:ilvl w:val="0"/>
          <w:numId w:val="1001"/>
        </w:numPr>
      </w:pPr>
      <w:r>
        <w:t xml:space="preserve">Interviewer: Faro Fenmore (Operations Manager)</w:t>
      </w:r>
    </w:p>
    <w:p>
      <w:pPr>
        <w:pStyle w:val="Compact"/>
        <w:numPr>
          <w:ilvl w:val="0"/>
          <w:numId w:val="1001"/>
        </w:numPr>
      </w:pPr>
      <w:r>
        <w:t xml:space="preserve">Format: video conference, recorded with consent</w:t>
      </w:r>
    </w:p>
    <w:p>
      <w:pPr>
        <w:pStyle w:val="Compact"/>
        <w:numPr>
          <w:ilvl w:val="0"/>
          <w:numId w:val="1001"/>
        </w:numPr>
      </w:pPr>
      <w:r>
        <w:t xml:space="preserve">Competencies assessed:</w:t>
      </w:r>
    </w:p>
    <w:p>
      <w:pPr>
        <w:pStyle w:val="Compact"/>
        <w:numPr>
          <w:ilvl w:val="1"/>
          <w:numId w:val="1002"/>
        </w:numPr>
      </w:pPr>
      <w:r>
        <w:t xml:space="preserve">Structured problem solving (CMP-01)</w:t>
      </w:r>
    </w:p>
    <w:p>
      <w:pPr>
        <w:pStyle w:val="Compact"/>
        <w:numPr>
          <w:ilvl w:val="1"/>
          <w:numId w:val="1002"/>
        </w:numPr>
      </w:pPr>
      <w:r>
        <w:t xml:space="preserve">Prioritization under constraint (CMP-10)</w:t>
      </w:r>
    </w:p>
    <w:p>
      <w:pPr>
        <w:pStyle w:val="Compact"/>
        <w:numPr>
          <w:ilvl w:val="1"/>
          <w:numId w:val="1002"/>
        </w:numPr>
      </w:pPr>
      <w:r>
        <w:t xml:space="preserve">Operational rigor (CMP-12)</w:t>
      </w:r>
    </w:p>
    <w:bookmarkStart w:id="9" w:name="transcript"/>
    <w:p>
      <w:pPr>
        <w:pStyle w:val="Heading2"/>
      </w:pPr>
      <w:r>
        <w:t xml:space="preserve">Transcript</w:t>
      </w:r>
    </w:p>
    <w:p>
      <w:pPr>
        <w:pStyle w:val="FirstParagraph"/>
      </w:pPr>
      <w:r>
        <w:t xml:space="preserve">[00:00:09] Faro Fenmore (Operations Manager): Thanks for coming back. Are you happy to be recorded again?</w:t>
      </w:r>
    </w:p>
    <w:p>
      <w:pPr>
        <w:pStyle w:val="BodyText"/>
      </w:pPr>
      <w:r>
        <w:t xml:space="preserve">[00:00:21] Ianthe Wrenfield (Candidate): Yes.</w:t>
      </w:r>
    </w:p>
    <w:p>
      <w:pPr>
        <w:pStyle w:val="BodyText"/>
      </w:pPr>
      <w:r>
        <w:t xml:space="preserve">[00:00:26] Faro Fenmore (Operations Manager): Good. I have the screen notes, so I will not make you repeat your history. I want to spend this hour on how you decide things.</w:t>
      </w:r>
    </w:p>
    <w:p>
      <w:pPr>
        <w:pStyle w:val="BodyText"/>
      </w:pPr>
      <w:r>
        <w:t xml:space="preserve">[00:00:52] Ianthe Wrenfield (Candidate): That suits me.</w:t>
      </w:r>
    </w:p>
    <w:p>
      <w:pPr>
        <w:pStyle w:val="BodyText"/>
      </w:pPr>
      <w:r>
        <w:t xml:space="preserve">[00:01:00] Faro Fenmore (Operations Manager): One correction to the brief first. It says the program runs across regions. It is more accurate to say the regions each run it their own way.</w:t>
      </w:r>
    </w:p>
    <w:p>
      <w:pPr>
        <w:pStyle w:val="BodyText"/>
      </w:pPr>
      <w:r>
        <w:t xml:space="preserve">[00:01:19] Ianthe Wrenfield (Candidate): That is the more useful sentence, thank you. Can I ask what the current sequence is based on?</w:t>
      </w:r>
    </w:p>
    <w:p>
      <w:pPr>
        <w:pStyle w:val="BodyText"/>
      </w:pPr>
      <w:r>
        <w:t xml:space="preserve">[00:01:38] Faro Fenmore (Operations Manager): Readiness, and that was decided above me with the reason on the record. Volume was the other option and it lost.</w:t>
      </w:r>
    </w:p>
    <w:p>
      <w:pPr>
        <w:pStyle w:val="BodyText"/>
      </w:pPr>
      <w:r>
        <w:t xml:space="preserve">[00:02:02] Ianthe Wrenfield (Candidate): Then the risk is that readiness is not one thing.</w:t>
      </w:r>
    </w:p>
    <w:p>
      <w:pPr>
        <w:pStyle w:val="BodyText"/>
      </w:pPr>
      <w:r>
        <w:t xml:space="preserve">[00:02:09] Faro Fenmore (Operations Manager): It is not. That is the honest state of it. Given that, where would you start?</w:t>
      </w:r>
    </w:p>
    <w:p>
      <w:pPr>
        <w:pStyle w:val="BodyText"/>
      </w:pPr>
      <w:r>
        <w:t xml:space="preserve">[00:02:44] Ianthe Wrenfield (Candidate): I would not start by rewriting anything. I would collect every version of the readiness checklist that is actually in use, in the regions where it is actually used, and put the differences in one table.</w:t>
      </w:r>
    </w:p>
    <w:p>
      <w:pPr>
        <w:pStyle w:val="BodyText"/>
      </w:pPr>
      <w:r>
        <w:t xml:space="preserve">[00:03:26] Faro Fenmore (Operations Manager): We think there are several.</w:t>
      </w:r>
    </w:p>
    <w:p>
      <w:pPr>
        <w:pStyle w:val="BodyText"/>
      </w:pPr>
      <w:r>
        <w:t xml:space="preserve">[00:03:33] Ianthe Wrenfield (Candidate): There usually are, and the count matters less than which differences are real. Some will be wording. A few will be a step one region does and another does not, and those decide whether a region is ready.</w:t>
      </w:r>
    </w:p>
    <w:p>
      <w:pPr>
        <w:pStyle w:val="BodyText"/>
      </w:pPr>
      <w:r>
        <w:t xml:space="preserve">[00:04:05] Faro Fenmore (Operations Manager): Say I give you that table. Then what?</w:t>
      </w:r>
    </w:p>
    <w:p>
      <w:pPr>
        <w:pStyle w:val="BodyText"/>
      </w:pPr>
      <w:r>
        <w:t xml:space="preserve">[00:04:11] Ianthe Wrenfield (Candidate): One document with the real differences carried as named regional lines. Nobody keeps a private copy, and a region that needs a step gets it on the shared page rather than in a new file.</w:t>
      </w:r>
    </w:p>
    <w:p>
      <w:pPr>
        <w:pStyle w:val="BodyText"/>
      </w:pPr>
      <w:r>
        <w:t xml:space="preserve">[00:04:44] Faro Fenmore (Operations Manager): We have said that before. Saying it has never been the hard part.</w:t>
      </w:r>
    </w:p>
    <w:p>
      <w:pPr>
        <w:pStyle w:val="BodyText"/>
      </w:pPr>
      <w:r>
        <w:t xml:space="preserve">[00:04:53] Ianthe Wrenfield (Candidate): Saying it is not the mechanism. The mechanism is that the shared page is the only one that anybody links to in a status note, so a private copy stops being useful to the person holding it.</w:t>
      </w:r>
    </w:p>
    <w:p>
      <w:pPr>
        <w:pStyle w:val="BodyText"/>
      </w:pPr>
      <w:r>
        <w:t xml:space="preserve">[00:05:41] Faro Fenmore (Operations Manager): That is a better answer than I expected. Different problem. There are regions flagged ready from before the checklist existed, and nothing behind the flag.</w:t>
      </w:r>
    </w:p>
    <w:p>
      <w:pPr>
        <w:pStyle w:val="BodyText"/>
      </w:pPr>
      <w:r>
        <w:t xml:space="preserve">[00:06:03] Ianthe Wrenfield (Candidate): So the flag is a claim with no evidence under it. Do you know how many?</w:t>
      </w:r>
    </w:p>
    <w:p>
      <w:pPr>
        <w:pStyle w:val="BodyText"/>
      </w:pPr>
      <w:r>
        <w:t xml:space="preserve">[00:06:26] Faro Fenmore (Operations Manager): Roughly. Not exactly.</w:t>
      </w:r>
    </w:p>
    <w:p>
      <w:pPr>
        <w:pStyle w:val="BodyText"/>
      </w:pPr>
      <w:r>
        <w:t xml:space="preserve">[00:06:32] Ianthe Wrenfield (Candidate): I would want exactly, because the answer changes the plan. If it is a handful, somebody re-walks them this month. If it is most of them, then the flag means nothing and the sequence is currently being set by a field nobody should trust.</w:t>
      </w:r>
    </w:p>
    <w:p>
      <w:pPr>
        <w:pStyle w:val="BodyText"/>
      </w:pPr>
      <w:r>
        <w:t xml:space="preserve">[00:07:12] Faro Fenmore (Operations Manager): Assume it is most of them, and assume you cannot re-walk them all before the first cohort.</w:t>
      </w:r>
    </w:p>
    <w:p>
      <w:pPr>
        <w:pStyle w:val="BodyText"/>
      </w:pPr>
      <w:r>
        <w:t xml:space="preserve">[00:07:24] Ianthe Wrenfield (Candidate): Then I re-walk the ones the sequence depends on next and I say plainly that the rest are unverified. What I will not do is let a plan rest on a flag while writing a status that implies the flag was checked.</w:t>
      </w:r>
    </w:p>
    <w:p>
      <w:pPr>
        <w:pStyle w:val="BodyText"/>
      </w:pPr>
      <w:r>
        <w:t xml:space="preserve">[00:07:59] Faro Fenmore (Operations Manager): Where does that leave the legacy records?</w:t>
      </w:r>
    </w:p>
    <w:p>
      <w:pPr>
        <w:pStyle w:val="BodyText"/>
      </w:pPr>
      <w:r>
        <w:t xml:space="preserve">[00:08:04] Ianthe Wrenfield (Candidate): Behind the checklist. Moving old records while the live work runs makes any failure impossible to attribute, and I would rather carry the delay than the ambiguity.</w:t>
      </w:r>
    </w:p>
    <w:p>
      <w:pPr>
        <w:pStyle w:val="BodyText"/>
      </w:pPr>
      <w:r>
        <w:t xml:space="preserve">[00:08:36] Faro Fenmore (Operations Manager): That is the call we already made, and it is unpopular in one region.</w:t>
      </w:r>
    </w:p>
    <w:p>
      <w:pPr>
        <w:pStyle w:val="BodyText"/>
      </w:pPr>
      <w:r>
        <w:t xml:space="preserve">[00:08:58] Ianthe Wrenfield (Candidate): It usually is with whoever is waiting. What helps is telling them what they get in exchange and when, in writing, rather than telling them the reason.</w:t>
      </w:r>
    </w:p>
    <w:p>
      <w:pPr>
        <w:pStyle w:val="BodyText"/>
      </w:pPr>
      <w:r>
        <w:t xml:space="preserve">[00:09:37] Faro Fenmore (Operations Manager): Tell me about the shape of your last few years, since I skipped your history.</w:t>
      </w:r>
    </w:p>
    <w:p>
      <w:pPr>
        <w:pStyle w:val="BodyText"/>
      </w:pPr>
      <w:r>
        <w:t xml:space="preserve">[00:09:52] Ianthe Wrenfield (Candidate): Three years of rollout planning across regions, so sequencing, readiness and the cutover conversation. Before that, two years of risk register work on a program that had never kept one and was surprised every month.</w:t>
      </w:r>
    </w:p>
    <w:p>
      <w:pPr>
        <w:pStyle w:val="BodyText"/>
      </w:pPr>
      <w:r>
        <w:t xml:space="preserve">[00:10:15] Faro Fenmore (Operations Manager): Most risk registers are theatre. What made yours not?</w:t>
      </w:r>
    </w:p>
    <w:p>
      <w:pPr>
        <w:pStyle w:val="BodyText"/>
      </w:pPr>
      <w:r>
        <w:t xml:space="preserve">[00:10:48] Ianthe Wrenfield (Candidate): Two rules. Every entry names a person and a date it will be looked at again, and anything that has not moved in two reviews either gets escalated or gets closed as accepted. A register that only grows is a list of worries.</w:t>
      </w:r>
    </w:p>
    <w:p>
      <w:pPr>
        <w:pStyle w:val="BodyText"/>
      </w:pPr>
      <w:r>
        <w:t xml:space="preserve">[00:11:22] Faro Fenmore (Operations Manager): Now the thing this seat is really for. The weekly status here goes out before the tracker is refreshed, so it describes the week before last.</w:t>
      </w:r>
    </w:p>
    <w:p>
      <w:pPr>
        <w:pStyle w:val="BodyText"/>
      </w:pPr>
      <w:r>
        <w:t xml:space="preserve">[00:11:52] Ianthe Wrenfield (Candidate): Then it is not a status, it is a habit. I would move the note behind the refresh rather than the refresh behind the note, and I would take the date the tracker was last touched and put it at the top of the note.</w:t>
      </w:r>
    </w:p>
    <w:p>
      <w:pPr>
        <w:pStyle w:val="BodyText"/>
      </w:pPr>
      <w:r>
        <w:t xml:space="preserve">[00:12:19] Faro Fenmore (Operations Manager): Why the date at the top?</w:t>
      </w:r>
    </w:p>
    <w:p>
      <w:pPr>
        <w:pStyle w:val="BodyText"/>
      </w:pPr>
      <w:r>
        <w:t xml:space="preserve">[00:12:41] Ianthe Wrenfield (Candidate): Because it makes staleness visible without an argument. Nobody has to accuse the note of being old. The reader can see it.</w:t>
      </w:r>
    </w:p>
    <w:p>
      <w:pPr>
        <w:pStyle w:val="BodyText"/>
      </w:pPr>
      <w:r>
        <w:t xml:space="preserve">[00:13:19] Faro Fenmore (Operations Manager): You are describing more discipline than this program currently has. What do you drop to get it?</w:t>
      </w:r>
    </w:p>
    <w:p>
      <w:pPr>
        <w:pStyle w:val="BodyText"/>
      </w:pPr>
      <w:r>
        <w:t xml:space="preserve">[00:13:28] Ianthe Wrenfield (Candidate): The parts of the reporting nobody reads. Most weekly notes carry a section that exists because somebody asked for it once. I would ask each reader what they act on, and delete the rest.</w:t>
      </w:r>
    </w:p>
    <w:p>
      <w:pPr>
        <w:pStyle w:val="BodyText"/>
      </w:pPr>
      <w:r>
        <w:t xml:space="preserve">[00:14:53] Faro Fenmore (Operations Manager): Tell me about a plan of yours that slipped.</w:t>
      </w:r>
    </w:p>
    <w:p>
      <w:pPr>
        <w:pStyle w:val="BodyText"/>
      </w:pPr>
      <w:r>
        <w:t xml:space="preserve">[00:15:02] Ianthe Wrenfield (Candidate): A rollout where I took a regional sign-off at face value. The region had marked itself ready, I put it early in the sequence on the strength of that, and I never asked to see what had been checked.</w:t>
      </w:r>
    </w:p>
    <w:p>
      <w:pPr>
        <w:pStyle w:val="BodyText"/>
      </w:pPr>
      <w:r>
        <w:t xml:space="preserve">[00:15:36] Faro Fenmore (Operations Manager): And it was not ready.</w:t>
      </w:r>
    </w:p>
    <w:p>
      <w:pPr>
        <w:pStyle w:val="BodyText"/>
      </w:pPr>
      <w:r>
        <w:t xml:space="preserve">[00:15:47] Ianthe Wrenfield (Candidate): It was not, and we found out with customers already in it. Pulling that region back cost more than starting it later would have. What I took from it is that a sign-off I cannot see the evidence behind is somebody’s opinion.</w:t>
      </w:r>
    </w:p>
    <w:p>
      <w:pPr>
        <w:pStyle w:val="BodyText"/>
      </w:pPr>
      <w:r>
        <w:t xml:space="preserve">[00:16:03] Faro Fenmore (Operations Manager): What do you do differently now?</w:t>
      </w:r>
    </w:p>
    <w:p>
      <w:pPr>
        <w:pStyle w:val="BodyText"/>
      </w:pPr>
      <w:r>
        <w:t xml:space="preserve">[00:16:34] Ianthe Wrenfield (Candidate): Every assumption in a plan gets converted into either a task with an owner or an accepted risk with a date. If it can be neither, it is not an assumption, it is a hope.</w:t>
      </w:r>
    </w:p>
    <w:p>
      <w:pPr>
        <w:pStyle w:val="BodyText"/>
      </w:pPr>
      <w:r>
        <w:t xml:space="preserve">[00:16:53] Faro Fenmore (Operations Manager): Last one. Tell me about a disagreement you lost.</w:t>
      </w:r>
    </w:p>
    <w:p>
      <w:pPr>
        <w:pStyle w:val="BodyText"/>
      </w:pPr>
      <w:r>
        <w:t xml:space="preserve">[00:17:05] Ianthe Wrenfield (Candidate): I wanted an escalation path written down before a rollout and I was overruled on timing, because writing it looked like an admission that we expected trouble.</w:t>
      </w:r>
    </w:p>
    <w:p>
      <w:pPr>
        <w:pStyle w:val="BodyText"/>
      </w:pPr>
      <w:r>
        <w:t xml:space="preserve">[00:17:35] Faro Fenmore (Operations Manager): How did you behave afterward?</w:t>
      </w:r>
    </w:p>
    <w:p>
      <w:pPr>
        <w:pStyle w:val="BodyText"/>
      </w:pPr>
      <w:r>
        <w:t xml:space="preserve">[00:17:46] Ianthe Wrenfield (Candidate): I wrote it anyway as a note to myself and used it twice in the first fortnight, and then it was adopted without further argument. I did not go back and say I had told them so.</w:t>
      </w:r>
    </w:p>
    <w:p>
      <w:pPr>
        <w:pStyle w:val="BodyText"/>
      </w:pPr>
      <w:r>
        <w:t xml:space="preserve">[00:18:09] Faro Fenmore (Operations Manager): Good. Questions for me?</w:t>
      </w:r>
    </w:p>
    <w:p>
      <w:pPr>
        <w:pStyle w:val="BodyText"/>
      </w:pPr>
      <w:r>
        <w:t xml:space="preserve">[00:18:24] Ianthe Wrenfield (Candidate): The recruiter said I should ask you directly who owns the plan.</w:t>
      </w:r>
    </w:p>
    <w:p>
      <w:pPr>
        <w:pStyle w:val="BodyText"/>
      </w:pPr>
      <w:r>
        <w:t xml:space="preserve">[00:18:41] Faro Fenmore (Operations Manager): You would. I own the outcome and I would argue with you in writing, which is not the same as owning your plan.</w:t>
      </w:r>
    </w:p>
    <w:p>
      <w:pPr>
        <w:pStyle w:val="BodyText"/>
      </w:pPr>
      <w:r>
        <w:t xml:space="preserve">[00:19:02] Ianthe Wrenfield (Candidate): That is a real answer. Thank you.</w:t>
      </w:r>
    </w:p>
    <w:p>
      <w:pPr>
        <w:pStyle w:val="BodyText"/>
      </w:pPr>
      <w:r>
        <w:t xml:space="preserve">[00:19:16] Faro Fenmore (Operations Manager): Then the next conversation is a working session with one of the program managers. Thank you for your time.</w:t>
      </w:r>
    </w:p>
    <w:p>
      <w:pPr>
        <w:pStyle w:val="BodyText"/>
      </w:pPr>
      <w:r>
        <w:t xml:space="preserve">[00:19:31] Ianthe Wrenfield (Candidate): Thank you.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jc w:val="left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  <w:jc w:val="left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  <w:jc w:val="left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  <w:jc w:val="left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  <w:jc w:val="left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  <w:jc w:val="left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  <w:jc w:val="left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jc w:val="left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jc w:val="left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2026-09-07T17:38:45Z</dcterms:created>
  <dcterms:modified xsi:type="dcterms:W3CDTF">2026-09-07T17:38:45Z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