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gion-go-live-sign-off-sop"/>
    <w:p>
      <w:pPr>
        <w:pStyle w:val="Heading1"/>
      </w:pPr>
      <w:r>
        <w:t xml:space="preserve">Region go-live sign-off SOP</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ADI-SOP-001</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Cormac Marchbanks, Operations Manager</w:t>
            </w:r>
          </w:p>
        </w:tc>
      </w:tr>
      <w:tr>
        <w:tc>
          <w:tcPr/>
          <w:p>
            <w:pPr>
              <w:pStyle w:val="Compact"/>
            </w:pPr>
            <w:r>
              <w:t xml:space="preserve">Approver</w:t>
            </w:r>
          </w:p>
        </w:tc>
        <w:tc>
          <w:tcPr/>
          <w:p>
            <w:pPr>
              <w:pStyle w:val="Compact"/>
            </w:pPr>
            <w:r>
              <w:t xml:space="preserve">Isolde Greywick, Director, Operations</w:t>
            </w:r>
          </w:p>
        </w:tc>
      </w:tr>
      <w:tr>
        <w:tc>
          <w:tcPr/>
          <w:p>
            <w:pPr>
              <w:pStyle w:val="Compact"/>
            </w:pPr>
            <w:r>
              <w:t xml:space="preserve">Effective Date</w:t>
            </w:r>
          </w:p>
        </w:tc>
        <w:tc>
          <w:tcPr/>
          <w:p>
            <w:pPr>
              <w:pStyle w:val="Compact"/>
            </w:pPr>
            <w:r>
              <w:t xml:space="preserve">2026-03-20</w:t>
            </w:r>
          </w:p>
        </w:tc>
      </w:tr>
      <w:tr>
        <w:tc>
          <w:tcPr/>
          <w:p>
            <w:pPr>
              <w:pStyle w:val="Compact"/>
            </w:pPr>
            <w:r>
              <w:t xml:space="preserve">Last reviewed</w:t>
            </w:r>
          </w:p>
        </w:tc>
        <w:tc>
          <w:tcPr/>
          <w:p>
            <w:pPr>
              <w:pStyle w:val="Compact"/>
            </w:pPr>
            <w:r>
              <w:t xml:space="preserve">2026-03-18</w:t>
            </w:r>
          </w:p>
        </w:tc>
      </w:tr>
      <w:tr>
        <w:tc>
          <w:tcPr/>
          <w:p>
            <w:pPr>
              <w:pStyle w:val="Compact"/>
            </w:pPr>
            <w:r>
              <w:t xml:space="preserve">Next review due</w:t>
            </w:r>
          </w:p>
        </w:tc>
        <w:tc>
          <w:tcPr/>
          <w:p>
            <w:pPr>
              <w:pStyle w:val="Compact"/>
            </w:pPr>
            <w:r>
              <w:t xml:space="preserve">2027-03-18</w:t>
            </w:r>
          </w:p>
        </w:tc>
      </w:tr>
      <w:tr>
        <w:tc>
          <w:tcPr/>
          <w:p>
            <w:pPr>
              <w:pStyle w:val="Compact"/>
            </w:pPr>
            <w:r>
              <w:t xml:space="preserve">Supersedes</w:t>
            </w:r>
          </w:p>
        </w:tc>
        <w:tc>
          <w:tcPr/>
          <w:p>
            <w:pPr>
              <w:pStyle w:val="Compact"/>
            </w:pPr>
            <w:r>
              <w:t xml:space="preserve">none</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This procedure sets out how a region is signed off before customers are onboarded into it under the customer onboarding revamp at Atticus Dundee Inc. It exists so that the word ready means the same thing in every region, and so that a region going live leaves a record a later reader can follow.</w:t>
      </w:r>
    </w:p>
    <w:p>
      <w:pPr>
        <w:pStyle w:val="BodyText"/>
      </w:pPr>
      <w:r>
        <w:t xml:space="preserve">Before this procedure took effect, a region went live when the people working on it judged it ready, and that judgement was carried by a single flag with nothing behind it. This procedure keeps the flag and puts a named, evidenced approval behind each part of it.</w:t>
      </w:r>
    </w:p>
    <w:bookmarkEnd w:id="10"/>
    <w:bookmarkStart w:id="11" w:name="scope"/>
    <w:p>
      <w:pPr>
        <w:pStyle w:val="Heading2"/>
      </w:pPr>
      <w:r>
        <w:t xml:space="preserve">2. Scope</w:t>
      </w:r>
    </w:p>
    <w:p>
      <w:pPr>
        <w:pStyle w:val="FirstParagraph"/>
      </w:pPr>
      <w:r>
        <w:t xml:space="preserve">This procedure covers every region brought live under the customer onboarding revamp, from the point at which the region’s readiness review opens to the point at which the first customer of a cohort is onboarded into it.</w:t>
      </w:r>
    </w:p>
    <w:p>
      <w:pPr>
        <w:pStyle w:val="BodyText"/>
      </w:pPr>
      <w:r>
        <w:t xml:space="preserve">It does not cover the contracting or pricing steps that precede an order, the migration of records created before the revamp, or the onboarding of an individual customer once the region is live. Those are governed elsewhere.</w:t>
      </w:r>
    </w:p>
    <w:bookmarkEnd w:id="11"/>
    <w:bookmarkStart w:id="12" w:name="definitions"/>
    <w:p>
      <w:pPr>
        <w:pStyle w:val="Heading2"/>
      </w:pPr>
      <w:r>
        <w:t xml:space="preserve">3. Definitions</w:t>
      </w:r>
    </w:p>
    <w:p>
      <w:pPr>
        <w:pStyle w:val="FirstParagraph"/>
      </w:pPr>
      <w:r>
        <w:t xml:space="preserve">Ready. A region is ready when every line of the shared readiness checklist has been completed for that region, and the completed checklist is saved on the shared checklist document rather than on a copy of it.</w:t>
      </w:r>
    </w:p>
    <w:p>
      <w:pPr>
        <w:pStyle w:val="BodyText"/>
      </w:pPr>
      <w:r>
        <w:t xml:space="preserve">Shared checklist document. The single readiness checklist every region works from. Where a region needs a step no other region needs, the step is added as a line on the shared document with the region named on the line. A second document is not a shared document.</w:t>
      </w:r>
    </w:p>
    <w:p>
      <w:pPr>
        <w:pStyle w:val="BodyText"/>
      </w:pPr>
      <w:r>
        <w:t xml:space="preserve">Readiness field. The single field on the region record that carries the readiness answer. The field points at the shared checklist document, and it is set only at the end of a completed checklist.</w:t>
      </w:r>
    </w:p>
    <w:p>
      <w:pPr>
        <w:pStyle w:val="BodyText"/>
      </w:pPr>
      <w:r>
        <w:t xml:space="preserve">Go-live. The moment a region is opened to a customer cohort.</w:t>
      </w:r>
    </w:p>
    <w:p>
      <w:pPr>
        <w:pStyle w:val="BodyText"/>
      </w:pPr>
      <w:r>
        <w:t xml:space="preserve">Evidence. A record that already exists outside this procedure and can be produced later by somebody who was not there, such as a completed document, a saved report, or a confirmation on file.</w:t>
      </w:r>
    </w:p>
    <w:bookmarkEnd w:id="12"/>
    <w:bookmarkStart w:id="19" w:name="sign-off-steps"/>
    <w:p>
      <w:pPr>
        <w:pStyle w:val="Heading2"/>
      </w:pPr>
      <w:r>
        <w:t xml:space="preserve">4. Sign-off steps</w:t>
      </w:r>
    </w:p>
    <w:p>
      <w:pPr>
        <w:pStyle w:val="FirstParagraph"/>
      </w:pPr>
      <w:r>
        <w:t xml:space="preserve">The steps below run in order. A step is complete when the approver named for it has approved it and the evidence named for it is on file. No step is started before the step ahead of it is complete, and no step is recorded as complete without its evidence.</w:t>
      </w:r>
    </w:p>
    <w:bookmarkStart w:id="13" w:name="X150fb5064d08425ee6d3dce30ce6fba4776eb3d"/>
    <w:p>
      <w:pPr>
        <w:pStyle w:val="Heading3"/>
      </w:pPr>
      <w:r>
        <w:t xml:space="preserve">Step 1: confirm region readiness on the shared checklist</w:t>
      </w:r>
    </w:p>
    <w:p>
      <w:pPr>
        <w:pStyle w:val="FirstParagraph"/>
      </w:pPr>
      <w:r>
        <w:t xml:space="preserve">Approver: Quillon Loxley (EMP-0577)</w:t>
      </w:r>
    </w:p>
    <w:p>
      <w:pPr>
        <w:pStyle w:val="BodyText"/>
      </w:pPr>
      <w:r>
        <w:t xml:space="preserve">Evidence: the completed readiness checklist for the region on the shared checklist document, carrying the date of completion and the name of the person who completed it.</w:t>
      </w:r>
    </w:p>
    <w:bookmarkEnd w:id="13"/>
    <w:bookmarkStart w:id="14" w:name="X4fc12b1e0a220456d68734d6a5dcb5f78b9daaa"/>
    <w:p>
      <w:pPr>
        <w:pStyle w:val="Heading3"/>
      </w:pPr>
      <w:r>
        <w:t xml:space="preserve">Step 2: set the readiness field against the completed checklist</w:t>
      </w:r>
    </w:p>
    <w:p>
      <w:pPr>
        <w:pStyle w:val="FirstParagraph"/>
      </w:pPr>
      <w:r>
        <w:t xml:space="preserve">Approver: Nessa Larkspur (EMP-0599)</w:t>
      </w:r>
    </w:p>
    <w:p>
      <w:pPr>
        <w:pStyle w:val="BodyText"/>
      </w:pPr>
      <w:r>
        <w:t xml:space="preserve">Evidence: the region record showing the readiness field set, with the checklist completion date recorded against it.</w:t>
      </w:r>
    </w:p>
    <w:bookmarkEnd w:id="14"/>
    <w:bookmarkStart w:id="15" w:name="Xf3e0d42d164fd34a470c5db7845fb1d03a48fb7"/>
    <w:p>
      <w:pPr>
        <w:pStyle w:val="Heading3"/>
      </w:pPr>
      <w:r>
        <w:t xml:space="preserve">Step 3: run the data checks on the new onboarding form</w:t>
      </w:r>
    </w:p>
    <w:p>
      <w:pPr>
        <w:pStyle w:val="FirstParagraph"/>
      </w:pPr>
      <w:r>
        <w:t xml:space="preserve">Approver: requires manager sign-off</w:t>
      </w:r>
    </w:p>
    <w:p>
      <w:pPr>
        <w:pStyle w:val="BodyText"/>
      </w:pPr>
      <w:r>
        <w:t xml:space="preserve">Evidence: the saved data-check report for the region, showing the result field by field and the date the checks were run.</w:t>
      </w:r>
    </w:p>
    <w:bookmarkEnd w:id="15"/>
    <w:bookmarkStart w:id="16" w:name="Xf8e13db868dbcf42679e888541df7117a7e3a82"/>
    <w:p>
      <w:pPr>
        <w:pStyle w:val="Heading3"/>
      </w:pPr>
      <w:r>
        <w:t xml:space="preserve">Step 4: confirm the support handoff for the region</w:t>
      </w:r>
    </w:p>
    <w:p>
      <w:pPr>
        <w:pStyle w:val="FirstParagraph"/>
      </w:pPr>
      <w:r>
        <w:t xml:space="preserve">Approver: Hollis Everhart (EMP-0400)</w:t>
      </w:r>
    </w:p>
    <w:p>
      <w:pPr>
        <w:pStyle w:val="BodyText"/>
      </w:pPr>
      <w:r>
        <w:t xml:space="preserve">Evidence: the support handoff confirmation on file for the region, naming the queue that receives the region’s customers and the date the queue was opened to them.</w:t>
      </w:r>
    </w:p>
    <w:bookmarkEnd w:id="16"/>
    <w:bookmarkStart w:id="17" w:name="step-5-acknowledge-the-escalation-path"/>
    <w:p>
      <w:pPr>
        <w:pStyle w:val="Heading3"/>
      </w:pPr>
      <w:r>
        <w:t xml:space="preserve">Step 5: acknowledge the escalation path</w:t>
      </w:r>
    </w:p>
    <w:p>
      <w:pPr>
        <w:pStyle w:val="FirstParagraph"/>
      </w:pPr>
      <w:r>
        <w:t xml:space="preserve">Approver: Faro Whitlock (EMP-0584)</w:t>
      </w:r>
    </w:p>
    <w:p>
      <w:pPr>
        <w:pStyle w:val="BodyText"/>
      </w:pPr>
      <w:r>
        <w:t xml:space="preserve">Evidence: the acknowledgement on file from every seat named in section 5, dated on or after the effective date of this procedure.</w:t>
      </w:r>
    </w:p>
    <w:bookmarkEnd w:id="17"/>
    <w:bookmarkStart w:id="18" w:name="step-6-approve-the-region-for-go-live"/>
    <w:p>
      <w:pPr>
        <w:pStyle w:val="Heading3"/>
      </w:pPr>
      <w:r>
        <w:t xml:space="preserve">Step 6: approve the region for go-live</w:t>
      </w:r>
    </w:p>
    <w:p>
      <w:pPr>
        <w:pStyle w:val="FirstParagraph"/>
      </w:pPr>
      <w:r>
        <w:t xml:space="preserve">Approver: Isolde Greywick (EMP-0573)</w:t>
      </w:r>
    </w:p>
    <w:p>
      <w:pPr>
        <w:pStyle w:val="BodyText"/>
      </w:pPr>
      <w:r>
        <w:t xml:space="preserve">Evidence: the signed go-live approval for the region, listing the completed steps above it with the date each was approved.</w:t>
      </w:r>
    </w:p>
    <w:bookmarkEnd w:id="18"/>
    <w:bookmarkEnd w:id="19"/>
    <w:bookmarkStart w:id="20" w:name="escalation-path"/>
    <w:p>
      <w:pPr>
        <w:pStyle w:val="Heading2"/>
      </w:pPr>
      <w:r>
        <w:t xml:space="preserve">5. Escalation path</w:t>
      </w:r>
    </w:p>
    <w:p>
      <w:pPr>
        <w:pStyle w:val="FirstParagraph"/>
      </w:pPr>
      <w:r>
        <w:t xml:space="preserve">This section is the written path for a customer who is stuck partway through onboarding. It applies from the effective date of this procedure, and it applies whether or not the region has completed sign-off.</w:t>
      </w:r>
    </w:p>
    <w:p>
      <w:pPr>
        <w:pStyle w:val="BodyText"/>
      </w:pPr>
      <w:r>
        <w:t xml:space="preserve">Anyone who sees a customer stuck partway through onboarding raises it the same working day, in writing, to the seats below. Each seat hears about it whether or not the seat above has answered, so nothing waits on one person being at a desk.</w:t>
      </w:r>
    </w:p>
    <w:p>
      <w:pPr>
        <w:pStyle w:val="Compact"/>
        <w:numPr>
          <w:ilvl w:val="0"/>
          <w:numId w:val="1001"/>
        </w:numPr>
      </w:pPr>
      <w:r>
        <w:t xml:space="preserve">The onboarding specialist named on the region record hears first and answers the customer the same working day. That seat is Corwin Elderkin (EMP-0406).</w:t>
      </w:r>
    </w:p>
    <w:p>
      <w:pPr>
        <w:pStyle w:val="Compact"/>
        <w:numPr>
          <w:ilvl w:val="0"/>
          <w:numId w:val="1001"/>
        </w:numPr>
      </w:pPr>
      <w:r>
        <w:t xml:space="preserve">The operations manager for the region hears next and holds the path until the customer is moving again. That seat is Quillon Loxley (EMP-0577).</w:t>
      </w:r>
    </w:p>
    <w:p>
      <w:pPr>
        <w:pStyle w:val="Compact"/>
        <w:numPr>
          <w:ilvl w:val="0"/>
          <w:numId w:val="1001"/>
        </w:numPr>
      </w:pPr>
      <w:r>
        <w:t xml:space="preserve">The customer success manager for the region’s cohort hears at the same time, so the customer’s own contact is never the last to know. That seat is Hollis Everhart (EMP-0400).</w:t>
      </w:r>
    </w:p>
    <w:p>
      <w:pPr>
        <w:pStyle w:val="Compact"/>
        <w:numPr>
          <w:ilvl w:val="0"/>
          <w:numId w:val="1001"/>
        </w:numPr>
      </w:pPr>
      <w:r>
        <w:t xml:space="preserve">Where the customer is still stuck at the end of the second working day, the Director, Operations hears. That seat is Isolde Greywick (EMP-0573).</w:t>
      </w:r>
    </w:p>
    <w:p>
      <w:pPr>
        <w:pStyle w:val="FirstParagraph"/>
      </w:pPr>
      <w:r>
        <w:t xml:space="preserve">A customer raised on this path is recorded against the region’s sign-off record, so a region that keeps producing stuck customers is visible without anyone counting them by hand.</w:t>
      </w:r>
    </w:p>
    <w:bookmarkEnd w:id="20"/>
    <w:bookmarkStart w:id="21" w:name="notes"/>
    <w:p>
      <w:pPr>
        <w:pStyle w:val="Heading2"/>
      </w:pPr>
      <w:r>
        <w:t xml:space="preserve">6. Notes</w:t>
      </w:r>
    </w:p>
    <w:p>
      <w:pPr>
        <w:pStyle w:val="Compact"/>
        <w:numPr>
          <w:ilvl w:val="0"/>
          <w:numId w:val="1002"/>
        </w:numPr>
      </w:pPr>
      <w:r>
        <w:t xml:space="preserve">Where a region needs a step no other region needs, the step is added as a line on the shared checklist document with the region named on it, rather than as a second checklist. A second checklist is how the regions came to disagree about what ready means.</w:t>
      </w:r>
    </w:p>
    <w:p>
      <w:pPr>
        <w:pStyle w:val="Compact"/>
        <w:numPr>
          <w:ilvl w:val="0"/>
          <w:numId w:val="1002"/>
        </w:numPr>
      </w:pPr>
      <w:r>
        <w:t xml:space="preserve">An approval recorded on a copy of this procedure, or on a copy of the checklist, is not an approval on the record. Approvals are recorded where the shared documents live.</w:t>
      </w:r>
    </w:p>
    <w:p>
      <w:pPr>
        <w:pStyle w:val="Compact"/>
        <w:numPr>
          <w:ilvl w:val="0"/>
          <w:numId w:val="1002"/>
        </w:numPr>
      </w:pPr>
      <w:r>
        <w:t xml:space="preserve">Tooling that builds a checklist from this procedure may mark an approval complete automatically where this procedure names no approver for a step, so that a build does not stall on a step with no name against it.</w:t>
      </w:r>
    </w:p>
    <w:p>
      <w:pPr>
        <w:pStyle w:val="Compact"/>
        <w:numPr>
          <w:ilvl w:val="0"/>
          <w:numId w:val="1002"/>
        </w:numPr>
      </w:pPr>
      <w:r>
        <w:t xml:space="preserve">This procedure is reviewed annually, and out of cycle whenever the onboarding form, the readiness field or the escalation path changes.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2026-09-14T19:33:19Z</dcterms:created>
  <dcterms:modified xsi:type="dcterms:W3CDTF">2026-09-14T19:33:19Z</dcterms:modified>
</cp:coreProperties>
</file>

<file path=docProps/custom.xml><?xml version="1.0" encoding="utf-8"?>
<Properties xmlns="http://schemas.openxmlformats.org/officeDocument/2006/custom-properties" xmlns:vt="http://schemas.openxmlformats.org/officeDocument/2006/docPropsVTypes"/>
</file>