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950e183f27b86c5cd64eebd67e4f86fcef5d03e"/>
    <w:p>
      <w:pPr>
        <w:pStyle w:val="Heading1"/>
      </w:pPr>
      <w:r>
        <w:t xml:space="preserve">Draft feedback: program manager working session</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2026-03-19</w:t>
      </w:r>
    </w:p>
    <w:p>
      <w:pPr>
        <w:pStyle w:val="Compact"/>
        <w:numPr>
          <w:ilvl w:val="0"/>
          <w:numId w:val="1001"/>
        </w:numPr>
      </w:pPr>
      <w:r>
        <w:t xml:space="preserve">Interviewer: Lyric Norwich (Program Manager)</w:t>
      </w:r>
    </w:p>
    <w:p>
      <w:pPr>
        <w:pStyle w:val="Compact"/>
        <w:numPr>
          <w:ilvl w:val="0"/>
          <w:numId w:val="1001"/>
        </w:numPr>
      </w:pPr>
      <w:r>
        <w:t xml:space="preserve">Source transcript: interview-transcript-ca-002-program-manager.md</w:t>
      </w:r>
    </w:p>
    <w:bookmarkStart w:id="9" w:name="recommendation"/>
    <w:p>
      <w:pPr>
        <w:pStyle w:val="Heading2"/>
      </w:pPr>
      <w:r>
        <w:t xml:space="preserve">Recommendation</w:t>
      </w:r>
    </w:p>
    <w:p>
      <w:pPr>
        <w:pStyle w:val="FirstParagraph"/>
      </w:pPr>
      <w:r>
        <w:t xml:space="preserve">Yes, with a narrower recommendation than the strength of the session might suggest. He is excellent on how a plan is watched and good on how one is built. For this seat that ordering is acceptable, because the program he would take on is under reported and nobody can currently tell it is slipping, but the panel should decide with that ordering in front of it rather than behind it.</w:t>
      </w:r>
    </w:p>
    <w:bookmarkEnd w:id="9"/>
    <w:bookmarkStart w:id="10" w:name="evidence"/>
    <w:p>
      <w:pPr>
        <w:pStyle w:val="Heading2"/>
      </w:pPr>
      <w:r>
        <w:t xml:space="preserve">Evidence</w:t>
      </w:r>
    </w:p>
    <w:p>
      <w:pPr>
        <w:pStyle w:val="Compact"/>
        <w:numPr>
          <w:ilvl w:val="0"/>
          <w:numId w:val="1002"/>
        </w:numPr>
      </w:pPr>
      <w:r>
        <w:t xml:space="preserve">He asked how the plan is reported before asking what is in it, and reasoned that the dates are all anybody outside sees, so every assumption underneath them stays invisible until one breaks.</w:t>
      </w:r>
    </w:p>
    <w:p>
      <w:pPr>
        <w:pStyle w:val="Compact"/>
        <w:numPr>
          <w:ilvl w:val="0"/>
          <w:numId w:val="1002"/>
        </w:numPr>
      </w:pPr>
      <w:r>
        <w:t xml:space="preserve">He brought three years of service level reporting to that view and said a green line usually means the measure is loose rather than that the work is fine.</w:t>
      </w:r>
    </w:p>
    <w:p>
      <w:pPr>
        <w:pStyle w:val="Compact"/>
        <w:numPr>
          <w:ilvl w:val="0"/>
          <w:numId w:val="1002"/>
        </w:numPr>
      </w:pPr>
      <w:r>
        <w:t xml:space="preserve">Asked which of the three dependencies the plan owes has a measure on it today, and told none of them, he said none of them will be seen to fail, which is the sentence I would have wanted from somebody senior.</w:t>
      </w:r>
    </w:p>
    <w:p>
      <w:pPr>
        <w:pStyle w:val="Compact"/>
        <w:numPr>
          <w:ilvl w:val="0"/>
          <w:numId w:val="1002"/>
        </w:numPr>
      </w:pPr>
      <w:r>
        <w:t xml:space="preserve">He chose the decision turnaround to instrument first because it is the only one of the three that degrades quietly, and would count open questions and their age rather than name who is slow, so that the number does the asking.</w:t>
      </w:r>
    </w:p>
    <w:p>
      <w:pPr>
        <w:pStyle w:val="Compact"/>
        <w:numPr>
          <w:ilvl w:val="0"/>
          <w:numId w:val="1002"/>
        </w:numPr>
      </w:pPr>
      <w:r>
        <w:t xml:space="preserve">He read continued environment access as written rather than as maintained, wanted a check that tells a named person on the day it lapses instead of a promise that it will not, and said a commitment is what you write down when you cannot arrange to be told.</w:t>
      </w:r>
    </w:p>
    <w:p>
      <w:pPr>
        <w:pStyle w:val="Compact"/>
        <w:numPr>
          <w:ilvl w:val="0"/>
          <w:numId w:val="1002"/>
        </w:numPr>
      </w:pPr>
      <w:r>
        <w:t xml:space="preserve">He was candid that his instinct is to argue in the room rather than in the document, said he knows that is the wrong answer here, and would not argue in writing a position he had not thought through.</w:t>
      </w:r>
    </w:p>
    <w:p>
      <w:pPr>
        <w:pStyle w:val="Compact"/>
        <w:numPr>
          <w:ilvl w:val="0"/>
          <w:numId w:val="1002"/>
        </w:numPr>
      </w:pPr>
      <w:r>
        <w:t xml:space="preserve">Asked what he would not want to own, he named the negotiation with the supplier and said somebody with an existing relationship would do it better, which is a useful answer rather than a modest one.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