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approved-claims-and-proposal-language"/>
    <w:p>
      <w:pPr>
        <w:pStyle w:val="Heading1"/>
      </w:pPr>
      <w:r>
        <w:t xml:space="preserve">Approved Claims and Proposal Language</w:t>
      </w:r>
    </w:p>
    <w:p>
      <w:pPr>
        <w:pStyle w:val="FirstParagraph"/>
      </w:pPr>
      <w:r>
        <w:rPr>
          <w:b/>
          <w:bCs/>
        </w:rPr>
        <w:t xml:space="preserve">Entity:</w:t>
      </w:r>
      <w:r>
        <w:t xml:space="preserve"> </w:t>
      </w:r>
      <w:r>
        <w:t xml:space="preserve">Atticus Dundee Inc.</w:t>
      </w:r>
    </w:p>
    <w:p>
      <w:pPr>
        <w:pStyle w:val="BodyText"/>
      </w:pPr>
      <w:r>
        <w:rPr>
          <w:b/>
          <w:bCs/>
        </w:rPr>
        <w:t xml:space="preserve">Compiled as of:</w:t>
      </w:r>
      <w:r>
        <w:t xml:space="preserve"> </w:t>
      </w:r>
      <w:r>
        <w:t xml:space="preserve">2026-03-16</w:t>
      </w:r>
    </w:p>
    <w:p>
      <w:pPr>
        <w:pStyle w:val="BodyText"/>
      </w:pPr>
      <w:r>
        <w:rPr>
          <w:b/>
          <w:bCs/>
        </w:rPr>
        <w:t xml:space="preserve">Maintained by:</w:t>
      </w:r>
      <w:r>
        <w:t xml:space="preserve"> </w:t>
      </w:r>
      <w:r>
        <w:t xml:space="preserve">Revenue Operations</w:t>
      </w:r>
    </w:p>
    <w:p>
      <w:pPr>
        <w:pStyle w:val="BodyText"/>
      </w:pPr>
      <w:r>
        <w:rPr>
          <w:b/>
          <w:bCs/>
        </w:rPr>
        <w:t xml:space="preserve">Status:</w:t>
      </w:r>
      <w:r>
        <w:t xml:space="preserve"> </w:t>
      </w:r>
      <w:r>
        <w:t xml:space="preserve">frozen reference sheet; the approved language of record for the quarterly business review deck and for the proposal that follows it</w:t>
      </w:r>
    </w:p>
    <w:bookmarkStart w:id="9" w:name="what-this-sheet-is"/>
    <w:p>
      <w:pPr>
        <w:pStyle w:val="Heading2"/>
      </w:pPr>
      <w:r>
        <w:t xml:space="preserve">What this sheet is</w:t>
      </w:r>
    </w:p>
    <w:p>
      <w:pPr>
        <w:pStyle w:val="FirstParagraph"/>
      </w:pPr>
      <w:r>
        <w:t xml:space="preserve">This sheet is the proposal and deck language the seller has approved, and it is the whole of it. Each row below is a claim that a deck slide or a proposal paragraph may state, written in the words it may be stated in. A claim that is not on this sheet is not approved language, however true the author believes it to be, and a row carried here as unapproved is carried precisely so that the reason it may not be used is written down where the next author will look for it.</w:t>
      </w:r>
    </w:p>
    <w:p>
      <w:pPr>
        <w:pStyle w:val="BodyText"/>
      </w:pPr>
      <w:r>
        <w:t xml:space="preserve">The language comes from one source and from nowhere else: the win and loss call note corpus, the frozen record of what buyers said on calls at deals that have since closed. Nothing here was written by imagining what a buyer might say. Every approved row walks back to a call note, and the walk back is mechanical rather than editorial, which is the only reason a reader has to trust it.</w:t>
      </w:r>
    </w:p>
    <w:p>
      <w:pPr>
        <w:pStyle w:val="BodyText"/>
      </w:pPr>
      <w:r>
        <w:t xml:space="preserve">The account under review this quarter is an existing enterprise customer of the seller. It is named once on this sheet, in the account history row, and nowhere else.</w:t>
      </w:r>
    </w:p>
    <w:bookmarkEnd w:id="9"/>
    <w:bookmarkStart w:id="10" w:name="the-derivation-rule"/>
    <w:p>
      <w:pPr>
        <w:pStyle w:val="Heading2"/>
      </w:pPr>
      <w:r>
        <w:t xml:space="preserve">The derivation rule</w:t>
      </w:r>
    </w:p>
    <w:p>
      <w:pPr>
        <w:pStyle w:val="FirstParagraph"/>
      </w:pPr>
      <w:r>
        <w:t xml:space="preserve">An approved row cites at least one readout whose attribute equals the row’s attribute, whose direction is positive, and whose deal’s registry outcome is won.</w:t>
      </w:r>
    </w:p>
    <w:p>
      <w:pPr>
        <w:pStyle w:val="BodyText"/>
      </w:pPr>
      <w:r>
        <w:t xml:space="preserve">The three clauses hold together and no one of them carries the rule on its own.</w:t>
      </w:r>
    </w:p>
    <w:p>
      <w:pPr>
        <w:pStyle w:val="BodyText"/>
      </w:pPr>
      <w:r>
        <w:t xml:space="preserve">The attribute clause is what stops a row borrowing support from a reading about something else. The direction clause is what stops a row quoting a buyer who was describing a problem. The outcome clause is the one an author is most likely to argue with, so it is worth stating what it costs. The corpus does carry positive readouts at deals that were lost: a buyer can praise the fit of a product and still not buy it, and more than one did. A positive readout on a lost deal is not support, it is excluded by the outcome clause, and a row built on one would be telling a customer that other customers bought for a reason those other customers did not in fact buy for. That exclusion is the tooth in the rule rather than an accident of it.</w:t>
      </w:r>
    </w:p>
    <w:p>
      <w:pPr>
        <w:pStyle w:val="BodyText"/>
      </w:pPr>
      <w:r>
        <w:t xml:space="preserve">Two further conditions ride on the rule and are stated here because a reader should not have to infer them. No approved row cites a note that reads the row’s own attribute in the negative direction. And no approved row carries an attribute that the corpus reads in both directions anywhere, however positive the particular reading it would rest on.</w:t>
      </w:r>
    </w:p>
    <w:bookmarkEnd w:id="10"/>
    <w:bookmarkStart w:id="11" w:name="the-citation-format"/>
    <w:p>
      <w:pPr>
        <w:pStyle w:val="Heading2"/>
      </w:pPr>
      <w:r>
        <w:t xml:space="preserve">The citation format</w:t>
      </w:r>
    </w:p>
    <w:p>
      <w:pPr>
        <w:pStyle w:val="FirstParagraph"/>
      </w:pPr>
      <w:r>
        <w:t xml:space="preserve">A citation names the call note and the deal that note sits on, written as the record id followed by the deal id, in the form WL-NN / deal-NN. Both keys are the corpus’s own and neither is minted here. Where a row cites more than one note the citations are separated by a semicolon.</w:t>
      </w:r>
    </w:p>
    <w:p>
      <w:pPr>
        <w:pStyle w:val="BodyText"/>
      </w:pPr>
      <w:r>
        <w:t xml:space="preserve">A citation that names a record the corpus does not carry, or a deal that record does not sit on, resolves to nothing, and nothing may be built on it. A reader who wants to check a row does not need this sheet’s permission or its author: the note id and the deal id are enough to go and read the source.</w:t>
      </w:r>
    </w:p>
    <w:bookmarkEnd w:id="11"/>
    <w:bookmarkStart w:id="12" w:name="this-sheet-carries-no-figures"/>
    <w:p>
      <w:pPr>
        <w:pStyle w:val="Heading2"/>
      </w:pPr>
      <w:r>
        <w:t xml:space="preserve">This sheet carries no figures</w:t>
      </w:r>
    </w:p>
    <w:p>
      <w:pPr>
        <w:pStyle w:val="FirstParagraph"/>
      </w:pPr>
      <w:r>
        <w:t xml:space="preserve">Not one row below states a figure in numerals. No amount, no percentage and no date appears in any row’s language, and the only date on this sheet is the compiled as of date in the header above.</w:t>
      </w:r>
    </w:p>
    <w:p>
      <w:pPr>
        <w:pStyle w:val="BodyText"/>
      </w:pPr>
      <w:r>
        <w:t xml:space="preserve">Every number a deck states comes from the numbers view of this source pack, which is where figures are computed, where each figure carries the records it was computed from, and where anyone who doubts one can recompute it. Language and figures are kept apart on purpose. A sentence that carries its own number is a sentence nobody can check, because the number travels with the wording instead of with the record it came from, and by the third slide the two have quietly come apart.</w:t>
      </w:r>
    </w:p>
    <w:bookmarkEnd w:id="12"/>
    <w:bookmarkStart w:id="13" w:name="status"/>
    <w:p>
      <w:pPr>
        <w:pStyle w:val="Heading2"/>
      </w:pPr>
      <w:r>
        <w:t xml:space="preserve">Status</w:t>
      </w:r>
    </w:p>
    <w:p>
      <w:pPr>
        <w:pStyle w:val="FirstParagraph"/>
      </w:pPr>
      <w:r>
        <w:t xml:space="preserve">Two values and no others: approved and unapproved.</w:t>
      </w:r>
    </w:p>
    <w:p>
      <w:pPr>
        <w:pStyle w:val="BodyText"/>
      </w:pPr>
      <w:r>
        <w:t xml:space="preserve">Approved means the derivation rule holds and the language may be used as written. Unapproved means the language may not be used at all. There is no third value, no provisional, no approved with conditions and no approved for internal use. A deck author reading this sheet at speed needs a binary, and a vocabulary that offers a middle value is a vocabulary that will be used to smuggle one.</w:t>
      </w:r>
    </w:p>
    <w:bookmarkEnd w:id="13"/>
    <w:bookmarkStart w:id="14" w:name="the-attributes-an-approved-row-may-carry"/>
    <w:p>
      <w:pPr>
        <w:pStyle w:val="Heading2"/>
      </w:pPr>
      <w:r>
        <w:t xml:space="preserve">The attributes an approved row may carry</w:t>
      </w:r>
    </w:p>
    <w:p>
      <w:pPr>
        <w:pStyle w:val="FirstParagraph"/>
      </w:pPr>
      <w:r>
        <w:t xml:space="preserve">Three, and no others: feature_fit, champion_strength and integration_depth. Those are the attributes the corpus reads out positively at won deals and reads in one direction only across every note it carries.</w:t>
      </w:r>
    </w:p>
    <w:p>
      <w:pPr>
        <w:pStyle w:val="BodyText"/>
      </w:pPr>
      <w:r>
        <w:t xml:space="preserve">procurement_process is the corpus’s single attribute carried in both directions. That is why it sits on the one unapproved row below rather than on none of them. The row exists because leaving the claim off the sheet entirely would leave the next author free to invent it, and the corpus is more useful as a record of a disagreement than as a silence.</w:t>
      </w:r>
    </w:p>
    <w:bookmarkEnd w:id="14"/>
    <w:bookmarkStart w:id="15" w:name="people-and-voice"/>
    <w:p>
      <w:pPr>
        <w:pStyle w:val="Heading2"/>
      </w:pPr>
      <w:r>
        <w:t xml:space="preserve">People and voice</w:t>
      </w:r>
    </w:p>
    <w:p>
      <w:pPr>
        <w:pStyle w:val="FirstParagraph"/>
      </w:pPr>
      <w:r>
        <w:t xml:space="preserve">No person is named on this sheet, on either side of any call. The corpus records participants by role only and this sheet keeps that convention without exception.</w:t>
      </w:r>
    </w:p>
    <w:p>
      <w:pPr>
        <w:pStyle w:val="BodyText"/>
      </w:pPr>
      <w:r>
        <w:t xml:space="preserve">Buyer language is quoted exactly as the note taker recorded it, in the buyer’s own words rather than tidied into the seller’s, and it is attributed to a role. The wording is the point: a buyer’s sentence rewritten into marketing prose is no longer evidence of anything, and a deck that quotes it as though it were is quoting itself.</w:t>
      </w:r>
    </w:p>
    <w:bookmarkEnd w:id="15"/>
    <w:bookmarkStart w:id="24" w:name="the-rows"/>
    <w:p>
      <w:pPr>
        <w:pStyle w:val="Heading2"/>
      </w:pPr>
      <w:r>
        <w:t xml:space="preserve">The rows</w:t>
      </w:r>
    </w:p>
    <w:bookmarkStart w:id="16" w:name="cl-01"/>
    <w:p>
      <w:pPr>
        <w:pStyle w:val="Heading3"/>
      </w:pPr>
      <w:r>
        <w:t xml:space="preserve">CL-01</w:t>
      </w:r>
    </w:p>
    <w:p>
      <w:pPr>
        <w:pStyle w:val="Compact"/>
        <w:numPr>
          <w:ilvl w:val="0"/>
          <w:numId w:val="1001"/>
        </w:numPr>
      </w:pPr>
      <w:r>
        <w:rPr>
          <w:rStyle w:val="VerbatimChar"/>
        </w:rPr>
        <w:t xml:space="preserve">claim_id</w:t>
      </w:r>
      <w:r>
        <w:t xml:space="preserve">: CL-01</w:t>
      </w:r>
    </w:p>
    <w:p>
      <w:pPr>
        <w:pStyle w:val="Compact"/>
        <w:numPr>
          <w:ilvl w:val="0"/>
          <w:numId w:val="1001"/>
        </w:numPr>
      </w:pPr>
      <w:r>
        <w:rPr>
          <w:rStyle w:val="VerbatimChar"/>
        </w:rPr>
        <w:t xml:space="preserve">status</w:t>
      </w:r>
      <w:r>
        <w:t xml:space="preserve">: approved</w:t>
      </w:r>
    </w:p>
    <w:p>
      <w:pPr>
        <w:pStyle w:val="Compact"/>
        <w:numPr>
          <w:ilvl w:val="0"/>
          <w:numId w:val="1001"/>
        </w:numPr>
      </w:pPr>
      <w:r>
        <w:rPr>
          <w:rStyle w:val="VerbatimChar"/>
        </w:rPr>
        <w:t xml:space="preserve">attribute</w:t>
      </w:r>
      <w:r>
        <w:t xml:space="preserve">: feature_fit</w:t>
      </w:r>
    </w:p>
    <w:p>
      <w:pPr>
        <w:pStyle w:val="Compact"/>
        <w:numPr>
          <w:ilvl w:val="0"/>
          <w:numId w:val="1001"/>
        </w:numPr>
      </w:pPr>
      <w:r>
        <w:rPr>
          <w:rStyle w:val="VerbatimChar"/>
        </w:rPr>
        <w:t xml:space="preserve">citations</w:t>
      </w:r>
      <w:r>
        <w:t xml:space="preserve">: WL-01 / deal-01; WL-03 / deal-02</w:t>
      </w:r>
    </w:p>
    <w:p>
      <w:pPr>
        <w:pStyle w:val="FirstParagraph"/>
      </w:pPr>
      <w:r>
        <w:rPr>
          <w:b/>
          <w:bCs/>
        </w:rPr>
        <w:t xml:space="preserve">Language.</w:t>
      </w:r>
      <w:r>
        <w:t xml:space="preserve"> </w:t>
      </w:r>
      <w:r>
        <w:t xml:space="preserve">Buyers describe the product as modelling the work the way their team actually runs it, rather than the way a process diagram says the team runs it. That reading came back in the same shape at two won deals in different segments and it is on the record in the buyer’s own words both times. At WL-01 the buyer’s freight operations lead put it this way:</w:t>
      </w:r>
      <w:r>
        <w:t xml:space="preserve"> </w:t>
      </w:r>
      <w:r>
        <w:t xml:space="preserve">“This is the first thing we have looked at that models a shipment handoff the way we actually run one, instead of the way a diagram says we do.”</w:t>
      </w:r>
      <w:r>
        <w:t xml:space="preserve"> </w:t>
      </w:r>
      <w:r>
        <w:t xml:space="preserve">At WL-03 the buyer’s retail operations lead said:</w:t>
      </w:r>
      <w:r>
        <w:t xml:space="preserve"> </w:t>
      </w:r>
      <w:r>
        <w:t xml:space="preserve">“The seasonal set work is exactly the mess we described to you, and seeing all of it in one place was the first time it has ever looked finite.”</w:t>
      </w:r>
      <w:r>
        <w:t xml:space="preserve"> </w:t>
      </w:r>
      <w:r>
        <w:t xml:space="preserve">A deck may state the claim and may quote either line in full. It may not widen the claim beyond fit and it may not attach a figure to it.</w:t>
      </w:r>
    </w:p>
    <w:bookmarkEnd w:id="16"/>
    <w:bookmarkStart w:id="17" w:name="cl-02"/>
    <w:p>
      <w:pPr>
        <w:pStyle w:val="Heading3"/>
      </w:pPr>
      <w:r>
        <w:t xml:space="preserve">CL-02</w:t>
      </w:r>
    </w:p>
    <w:p>
      <w:pPr>
        <w:pStyle w:val="Compact"/>
        <w:numPr>
          <w:ilvl w:val="0"/>
          <w:numId w:val="1002"/>
        </w:numPr>
      </w:pPr>
      <w:r>
        <w:rPr>
          <w:rStyle w:val="VerbatimChar"/>
        </w:rPr>
        <w:t xml:space="preserve">claim_id</w:t>
      </w:r>
      <w:r>
        <w:t xml:space="preserve">: CL-02</w:t>
      </w:r>
    </w:p>
    <w:p>
      <w:pPr>
        <w:pStyle w:val="Compact"/>
        <w:numPr>
          <w:ilvl w:val="0"/>
          <w:numId w:val="1002"/>
        </w:numPr>
      </w:pPr>
      <w:r>
        <w:rPr>
          <w:rStyle w:val="VerbatimChar"/>
        </w:rPr>
        <w:t xml:space="preserve">status</w:t>
      </w:r>
      <w:r>
        <w:t xml:space="preserve">: approved</w:t>
      </w:r>
    </w:p>
    <w:p>
      <w:pPr>
        <w:pStyle w:val="Compact"/>
        <w:numPr>
          <w:ilvl w:val="0"/>
          <w:numId w:val="1002"/>
        </w:numPr>
      </w:pPr>
      <w:r>
        <w:rPr>
          <w:rStyle w:val="VerbatimChar"/>
        </w:rPr>
        <w:t xml:space="preserve">attribute</w:t>
      </w:r>
      <w:r>
        <w:t xml:space="preserve">: feature_fit</w:t>
      </w:r>
    </w:p>
    <w:p>
      <w:pPr>
        <w:pStyle w:val="Compact"/>
        <w:numPr>
          <w:ilvl w:val="0"/>
          <w:numId w:val="1002"/>
        </w:numPr>
      </w:pPr>
      <w:r>
        <w:rPr>
          <w:rStyle w:val="VerbatimChar"/>
        </w:rPr>
        <w:t xml:space="preserve">citations</w:t>
      </w:r>
      <w:r>
        <w:t xml:space="preserve">: WL-07 / deal-05</w:t>
      </w:r>
    </w:p>
    <w:p>
      <w:pPr>
        <w:pStyle w:val="FirstParagraph"/>
      </w:pPr>
      <w:r>
        <w:rPr>
          <w:b/>
          <w:bCs/>
        </w:rPr>
        <w:t xml:space="preserve">Language.</w:t>
      </w:r>
      <w:r>
        <w:t xml:space="preserve"> </w:t>
      </w:r>
      <w:r>
        <w:t xml:space="preserve">For a small team the default board is the thing the team came for, and what it displaces is usually something the team was already keeping by hand. At WL-07 the buyer said:</w:t>
      </w:r>
      <w:r>
        <w:t xml:space="preserve"> </w:t>
      </w:r>
      <w:r>
        <w:t xml:space="preserve">“The production board is what we came for. It replaces the whiteboard photograph that gets passed round on a Friday and forgotten by Tuesday.”</w:t>
      </w:r>
      <w:r>
        <w:t xml:space="preserve"> </w:t>
      </w:r>
      <w:r>
        <w:t xml:space="preserve">This row stays on fit and on nothing else. It says nothing about how long a rollout takes or what setting the product up costs a small team, because the same note reads that question in the other direction, and this sheet never borrows a positive reading of one attribute to answer a negative reading of another.</w:t>
      </w:r>
    </w:p>
    <w:bookmarkEnd w:id="17"/>
    <w:bookmarkStart w:id="18" w:name="cl-03"/>
    <w:p>
      <w:pPr>
        <w:pStyle w:val="Heading3"/>
      </w:pPr>
      <w:r>
        <w:t xml:space="preserve">CL-03</w:t>
      </w:r>
    </w:p>
    <w:p>
      <w:pPr>
        <w:pStyle w:val="Compact"/>
        <w:numPr>
          <w:ilvl w:val="0"/>
          <w:numId w:val="1003"/>
        </w:numPr>
      </w:pPr>
      <w:r>
        <w:rPr>
          <w:rStyle w:val="VerbatimChar"/>
        </w:rPr>
        <w:t xml:space="preserve">claim_id</w:t>
      </w:r>
      <w:r>
        <w:t xml:space="preserve">: CL-03</w:t>
      </w:r>
    </w:p>
    <w:p>
      <w:pPr>
        <w:pStyle w:val="Compact"/>
        <w:numPr>
          <w:ilvl w:val="0"/>
          <w:numId w:val="1003"/>
        </w:numPr>
      </w:pPr>
      <w:r>
        <w:rPr>
          <w:rStyle w:val="VerbatimChar"/>
        </w:rPr>
        <w:t xml:space="preserve">status</w:t>
      </w:r>
      <w:r>
        <w:t xml:space="preserve">: approved</w:t>
      </w:r>
    </w:p>
    <w:p>
      <w:pPr>
        <w:pStyle w:val="Compact"/>
        <w:numPr>
          <w:ilvl w:val="0"/>
          <w:numId w:val="1003"/>
        </w:numPr>
      </w:pPr>
      <w:r>
        <w:rPr>
          <w:rStyle w:val="VerbatimChar"/>
        </w:rPr>
        <w:t xml:space="preserve">attribute</w:t>
      </w:r>
      <w:r>
        <w:t xml:space="preserve">: champion_strength</w:t>
      </w:r>
    </w:p>
    <w:p>
      <w:pPr>
        <w:pStyle w:val="Compact"/>
        <w:numPr>
          <w:ilvl w:val="0"/>
          <w:numId w:val="1003"/>
        </w:numPr>
      </w:pPr>
      <w:r>
        <w:rPr>
          <w:rStyle w:val="VerbatimChar"/>
        </w:rPr>
        <w:t xml:space="preserve">citations</w:t>
      </w:r>
      <w:r>
        <w:t xml:space="preserve">: WL-02 / deal-01; WL-04 / deal-02</w:t>
      </w:r>
    </w:p>
    <w:p>
      <w:pPr>
        <w:pStyle w:val="FirstParagraph"/>
      </w:pPr>
      <w:r>
        <w:rPr>
          <w:b/>
          <w:bCs/>
        </w:rPr>
        <w:t xml:space="preserve">Language.</w:t>
      </w:r>
      <w:r>
        <w:t xml:space="preserve"> </w:t>
      </w:r>
      <w:r>
        <w:t xml:space="preserve">Where the product lands, someone on the buyer’s side takes it into their own internal review and argues for it without being asked to. A deck may say that the seller’s strongest deals carry an internal sponsor who owns the decision rather than a seller who chases it. At WL-02 the buyer’s finance lead said:</w:t>
      </w:r>
      <w:r>
        <w:t xml:space="preserve"> </w:t>
      </w:r>
      <w:r>
        <w:t xml:space="preserve">“I will take this into the operating review myself. I have already told them what I think it is worth and I have not been argued with yet.”</w:t>
      </w:r>
      <w:r>
        <w:t xml:space="preserve"> </w:t>
      </w:r>
      <w:r>
        <w:t xml:space="preserve">At WL-04 the buyer’s operations lead said:</w:t>
      </w:r>
      <w:r>
        <w:t xml:space="preserve"> </w:t>
      </w:r>
      <w:r>
        <w:t xml:space="preserve">“I have the budget owner’s ear on this one and I do not need a committee to get it over the line. Leave it with me for a week.”</w:t>
      </w:r>
      <w:r>
        <w:t xml:space="preserve"> </w:t>
      </w:r>
      <w:r>
        <w:t xml:space="preserve">Both lines are quoted as the buyer framed them and attributed to a role.</w:t>
      </w:r>
    </w:p>
    <w:bookmarkEnd w:id="18"/>
    <w:bookmarkStart w:id="19" w:name="cl-04"/>
    <w:p>
      <w:pPr>
        <w:pStyle w:val="Heading3"/>
      </w:pPr>
      <w:r>
        <w:t xml:space="preserve">CL-04</w:t>
      </w:r>
    </w:p>
    <w:p>
      <w:pPr>
        <w:pStyle w:val="Compact"/>
        <w:numPr>
          <w:ilvl w:val="0"/>
          <w:numId w:val="1004"/>
        </w:numPr>
      </w:pPr>
      <w:r>
        <w:rPr>
          <w:rStyle w:val="VerbatimChar"/>
        </w:rPr>
        <w:t xml:space="preserve">claim_id</w:t>
      </w:r>
      <w:r>
        <w:t xml:space="preserve">: CL-04</w:t>
      </w:r>
    </w:p>
    <w:p>
      <w:pPr>
        <w:pStyle w:val="Compact"/>
        <w:numPr>
          <w:ilvl w:val="0"/>
          <w:numId w:val="1004"/>
        </w:numPr>
      </w:pPr>
      <w:r>
        <w:rPr>
          <w:rStyle w:val="VerbatimChar"/>
        </w:rPr>
        <w:t xml:space="preserve">status</w:t>
      </w:r>
      <w:r>
        <w:t xml:space="preserve">: approved</w:t>
      </w:r>
    </w:p>
    <w:p>
      <w:pPr>
        <w:pStyle w:val="Compact"/>
        <w:numPr>
          <w:ilvl w:val="0"/>
          <w:numId w:val="1004"/>
        </w:numPr>
      </w:pPr>
      <w:r>
        <w:rPr>
          <w:rStyle w:val="VerbatimChar"/>
        </w:rPr>
        <w:t xml:space="preserve">attribute</w:t>
      </w:r>
      <w:r>
        <w:t xml:space="preserve">: champion_strength</w:t>
      </w:r>
    </w:p>
    <w:p>
      <w:pPr>
        <w:pStyle w:val="Compact"/>
        <w:numPr>
          <w:ilvl w:val="0"/>
          <w:numId w:val="1004"/>
        </w:numPr>
      </w:pPr>
      <w:r>
        <w:rPr>
          <w:rStyle w:val="VerbatimChar"/>
        </w:rPr>
        <w:t xml:space="preserve">citations</w:t>
      </w:r>
      <w:r>
        <w:t xml:space="preserve">: WL-06 / deal-04</w:t>
      </w:r>
    </w:p>
    <w:p>
      <w:pPr>
        <w:pStyle w:val="FirstParagraph"/>
      </w:pPr>
      <w:r>
        <w:rPr>
          <w:b/>
          <w:bCs/>
        </w:rPr>
        <w:t xml:space="preserve">Language.</w:t>
      </w:r>
      <w:r>
        <w:t xml:space="preserve"> </w:t>
      </w:r>
      <w:r>
        <w:t xml:space="preserve">At enterprise accounts the sponsor is often a technical function that has written its recommendation down before the commercial conversation opens at all, which turns the commercial call into a question of sequencing rather than of persuasion. At WL-06 the buyer’s procurement lead described the position this way:</w:t>
      </w:r>
      <w:r>
        <w:t xml:space="preserve"> </w:t>
      </w:r>
      <w:r>
        <w:t xml:space="preserve">“Platform engineering wants this and has put that in writing already. That is the hard part behind us.”</w:t>
      </w:r>
      <w:r>
        <w:t xml:space="preserve"> </w:t>
      </w:r>
      <w:r>
        <w:t xml:space="preserve">This row cites WL-06 for its champion reading and for that reading only. The same note carries a purchasing reading which this sheet does not approve, for the reason set out at CL-08, and an author who reaches past this row into the rest of that note is outside the approved language.</w:t>
      </w:r>
    </w:p>
    <w:bookmarkEnd w:id="19"/>
    <w:bookmarkStart w:id="20" w:name="cl-05"/>
    <w:p>
      <w:pPr>
        <w:pStyle w:val="Heading3"/>
      </w:pPr>
      <w:r>
        <w:t xml:space="preserve">CL-05</w:t>
      </w:r>
    </w:p>
    <w:p>
      <w:pPr>
        <w:pStyle w:val="Compact"/>
        <w:numPr>
          <w:ilvl w:val="0"/>
          <w:numId w:val="1005"/>
        </w:numPr>
      </w:pPr>
      <w:r>
        <w:rPr>
          <w:rStyle w:val="VerbatimChar"/>
        </w:rPr>
        <w:t xml:space="preserve">claim_id</w:t>
      </w:r>
      <w:r>
        <w:t xml:space="preserve">: CL-05</w:t>
      </w:r>
    </w:p>
    <w:p>
      <w:pPr>
        <w:pStyle w:val="Compact"/>
        <w:numPr>
          <w:ilvl w:val="0"/>
          <w:numId w:val="1005"/>
        </w:numPr>
      </w:pPr>
      <w:r>
        <w:rPr>
          <w:rStyle w:val="VerbatimChar"/>
        </w:rPr>
        <w:t xml:space="preserve">status</w:t>
      </w:r>
      <w:r>
        <w:t xml:space="preserve">: approved</w:t>
      </w:r>
    </w:p>
    <w:p>
      <w:pPr>
        <w:pStyle w:val="Compact"/>
        <w:numPr>
          <w:ilvl w:val="0"/>
          <w:numId w:val="1005"/>
        </w:numPr>
      </w:pPr>
      <w:r>
        <w:rPr>
          <w:rStyle w:val="VerbatimChar"/>
        </w:rPr>
        <w:t xml:space="preserve">attribute</w:t>
      </w:r>
      <w:r>
        <w:t xml:space="preserve">: integration_depth</w:t>
      </w:r>
    </w:p>
    <w:p>
      <w:pPr>
        <w:pStyle w:val="Compact"/>
        <w:numPr>
          <w:ilvl w:val="0"/>
          <w:numId w:val="1005"/>
        </w:numPr>
      </w:pPr>
      <w:r>
        <w:rPr>
          <w:rStyle w:val="VerbatimChar"/>
        </w:rPr>
        <w:t xml:space="preserve">citations</w:t>
      </w:r>
      <w:r>
        <w:t xml:space="preserve">: WL-02 / deal-01</w:t>
      </w:r>
    </w:p>
    <w:p>
      <w:pPr>
        <w:pStyle w:val="FirstParagraph"/>
      </w:pPr>
      <w:r>
        <w:rPr>
          <w:b/>
          <w:bCs/>
        </w:rPr>
        <w:t xml:space="preserve">Language.</w:t>
      </w:r>
      <w:r>
        <w:t xml:space="preserve"> </w:t>
      </w:r>
      <w:r>
        <w:t xml:space="preserve">The product reads the systems an account already runs without the account building a bridge for it first. At WL-02 the buyer’s information technology lead said:</w:t>
      </w:r>
      <w:r>
        <w:t xml:space="preserve"> </w:t>
      </w:r>
      <w:r>
        <w:t xml:space="preserve">“It reads our yard and dock systems without us building a bridge for it first, which is more than the last two we tried could manage.”</w:t>
      </w:r>
      <w:r>
        <w:t xml:space="preserve"> </w:t>
      </w:r>
      <w:r>
        <w:t xml:space="preserve">A deck may state the claim in general terms and may quote the line. It may not name a connector, count connectors, or say anything at all about how any particular connector behaves, because the corpus carries no reading of that and this sheet may not supply one.</w:t>
      </w:r>
    </w:p>
    <w:bookmarkEnd w:id="20"/>
    <w:bookmarkStart w:id="21" w:name="cl-06"/>
    <w:p>
      <w:pPr>
        <w:pStyle w:val="Heading3"/>
      </w:pPr>
      <w:r>
        <w:t xml:space="preserve">CL-06</w:t>
      </w:r>
    </w:p>
    <w:p>
      <w:pPr>
        <w:pStyle w:val="Compact"/>
        <w:numPr>
          <w:ilvl w:val="0"/>
          <w:numId w:val="1006"/>
        </w:numPr>
      </w:pPr>
      <w:r>
        <w:rPr>
          <w:rStyle w:val="VerbatimChar"/>
        </w:rPr>
        <w:t xml:space="preserve">claim_id</w:t>
      </w:r>
      <w:r>
        <w:t xml:space="preserve">: CL-06</w:t>
      </w:r>
    </w:p>
    <w:p>
      <w:pPr>
        <w:pStyle w:val="Compact"/>
        <w:numPr>
          <w:ilvl w:val="0"/>
          <w:numId w:val="1006"/>
        </w:numPr>
      </w:pPr>
      <w:r>
        <w:rPr>
          <w:rStyle w:val="VerbatimChar"/>
        </w:rPr>
        <w:t xml:space="preserve">status</w:t>
      </w:r>
      <w:r>
        <w:t xml:space="preserve">: approved</w:t>
      </w:r>
    </w:p>
    <w:p>
      <w:pPr>
        <w:pStyle w:val="Compact"/>
        <w:numPr>
          <w:ilvl w:val="0"/>
          <w:numId w:val="1006"/>
        </w:numPr>
      </w:pPr>
      <w:r>
        <w:rPr>
          <w:rStyle w:val="VerbatimChar"/>
        </w:rPr>
        <w:t xml:space="preserve">attribute</w:t>
      </w:r>
      <w:r>
        <w:t xml:space="preserve">: integration_depth</w:t>
      </w:r>
    </w:p>
    <w:p>
      <w:pPr>
        <w:pStyle w:val="Compact"/>
        <w:numPr>
          <w:ilvl w:val="0"/>
          <w:numId w:val="1006"/>
        </w:numPr>
      </w:pPr>
      <w:r>
        <w:rPr>
          <w:rStyle w:val="VerbatimChar"/>
        </w:rPr>
        <w:t xml:space="preserve">citations</w:t>
      </w:r>
      <w:r>
        <w:t xml:space="preserve">: WL-05 / deal-03</w:t>
      </w:r>
    </w:p>
    <w:p>
      <w:pPr>
        <w:pStyle w:val="FirstParagraph"/>
      </w:pPr>
      <w:r>
        <w:rPr>
          <w:b/>
          <w:bCs/>
        </w:rPr>
        <w:t xml:space="preserve">Language.</w:t>
      </w:r>
      <w:r>
        <w:t xml:space="preserve"> </w:t>
      </w:r>
      <w:r>
        <w:t xml:space="preserve">The product sits underneath the tools an engineering organisation already runs rather than trying to replace them, and for some buyers that is the whole reason the conversation happened. At WL-05 the buyer’s engineering lead said:</w:t>
      </w:r>
      <w:r>
        <w:t xml:space="preserve"> </w:t>
      </w:r>
      <w:r>
        <w:t xml:space="preserve">“It sits underneath the issue tracker we already run instead of trying to replace it, and honestly that is the only version of this we would have taken a meeting about.”</w:t>
      </w:r>
      <w:r>
        <w:t xml:space="preserve"> </w:t>
      </w:r>
      <w:r>
        <w:t xml:space="preserve">A deck may state the claim and may quote the line. It may not extend the claim to any category of tool the corpus does not name.</w:t>
      </w:r>
    </w:p>
    <w:bookmarkEnd w:id="21"/>
    <w:bookmarkStart w:id="22" w:name="cl-07"/>
    <w:p>
      <w:pPr>
        <w:pStyle w:val="Heading3"/>
      </w:pPr>
      <w:r>
        <w:t xml:space="preserve">CL-07</w:t>
      </w:r>
    </w:p>
    <w:p>
      <w:pPr>
        <w:pStyle w:val="Compact"/>
        <w:numPr>
          <w:ilvl w:val="0"/>
          <w:numId w:val="1007"/>
        </w:numPr>
      </w:pPr>
      <w:r>
        <w:rPr>
          <w:rStyle w:val="VerbatimChar"/>
        </w:rPr>
        <w:t xml:space="preserve">claim_id</w:t>
      </w:r>
      <w:r>
        <w:t xml:space="preserve">: CL-07</w:t>
      </w:r>
    </w:p>
    <w:p>
      <w:pPr>
        <w:pStyle w:val="Compact"/>
        <w:numPr>
          <w:ilvl w:val="0"/>
          <w:numId w:val="1007"/>
        </w:numPr>
      </w:pPr>
      <w:r>
        <w:rPr>
          <w:rStyle w:val="VerbatimChar"/>
        </w:rPr>
        <w:t xml:space="preserve">status</w:t>
      </w:r>
      <w:r>
        <w:t xml:space="preserve">: approved</w:t>
      </w:r>
    </w:p>
    <w:p>
      <w:pPr>
        <w:pStyle w:val="Compact"/>
        <w:numPr>
          <w:ilvl w:val="0"/>
          <w:numId w:val="1007"/>
        </w:numPr>
      </w:pPr>
      <w:r>
        <w:rPr>
          <w:rStyle w:val="VerbatimChar"/>
        </w:rPr>
        <w:t xml:space="preserve">attribute</w:t>
      </w:r>
      <w:r>
        <w:t xml:space="preserve">: feature_fit</w:t>
      </w:r>
    </w:p>
    <w:p>
      <w:pPr>
        <w:pStyle w:val="Compact"/>
        <w:numPr>
          <w:ilvl w:val="0"/>
          <w:numId w:val="1007"/>
        </w:numPr>
      </w:pPr>
      <w:r>
        <w:rPr>
          <w:rStyle w:val="VerbatimChar"/>
        </w:rPr>
        <w:t xml:space="preserve">citations</w:t>
      </w:r>
      <w:r>
        <w:t xml:space="preserve">: WL-01 / deal-01; WL-02 / deal-01</w:t>
      </w:r>
    </w:p>
    <w:p>
      <w:pPr>
        <w:pStyle w:val="FirstParagraph"/>
      </w:pPr>
      <w:r>
        <w:rPr>
          <w:b/>
          <w:bCs/>
        </w:rPr>
        <w:t xml:space="preserve">Language.</w:t>
      </w:r>
      <w:r>
        <w:t xml:space="preserve"> </w:t>
      </w:r>
      <w:r>
        <w:t xml:space="preserve">The account under review, Amberfield Logistics, is an existing enterprise customer of the seller with a completed engagement already behind it. The account bought on fit, and the buyer’s own framing of that fit is on the record at WL-01. The follow up call at WL-02 closed the questions that were still open rather than reopening them, and the deal was won. This row is deliberately qualitative. It states no amount, no term, no count and no date of any kind, because every account history figure a review may show belongs in the numbers view of this source pack and never in a sentence on this sheet.</w:t>
      </w:r>
    </w:p>
    <w:bookmarkEnd w:id="22"/>
    <w:bookmarkStart w:id="23" w:name="cl-08"/>
    <w:p>
      <w:pPr>
        <w:pStyle w:val="Heading3"/>
      </w:pPr>
      <w:r>
        <w:t xml:space="preserve">CL-08</w:t>
      </w:r>
    </w:p>
    <w:p>
      <w:pPr>
        <w:pStyle w:val="Compact"/>
        <w:numPr>
          <w:ilvl w:val="0"/>
          <w:numId w:val="1008"/>
        </w:numPr>
      </w:pPr>
      <w:r>
        <w:rPr>
          <w:rStyle w:val="VerbatimChar"/>
        </w:rPr>
        <w:t xml:space="preserve">claim_id</w:t>
      </w:r>
      <w:r>
        <w:t xml:space="preserve">: CL-08</w:t>
      </w:r>
    </w:p>
    <w:p>
      <w:pPr>
        <w:pStyle w:val="Compact"/>
        <w:numPr>
          <w:ilvl w:val="0"/>
          <w:numId w:val="1008"/>
        </w:numPr>
      </w:pPr>
      <w:r>
        <w:rPr>
          <w:rStyle w:val="VerbatimChar"/>
        </w:rPr>
        <w:t xml:space="preserve">status</w:t>
      </w:r>
      <w:r>
        <w:t xml:space="preserve">: unapproved</w:t>
      </w:r>
    </w:p>
    <w:p>
      <w:pPr>
        <w:pStyle w:val="Compact"/>
        <w:numPr>
          <w:ilvl w:val="0"/>
          <w:numId w:val="1008"/>
        </w:numPr>
      </w:pPr>
      <w:r>
        <w:rPr>
          <w:rStyle w:val="VerbatimChar"/>
        </w:rPr>
        <w:t xml:space="preserve">attribute</w:t>
      </w:r>
      <w:r>
        <w:t xml:space="preserve">: procurement_process</w:t>
      </w:r>
    </w:p>
    <w:p>
      <w:pPr>
        <w:pStyle w:val="Compact"/>
        <w:numPr>
          <w:ilvl w:val="0"/>
          <w:numId w:val="1008"/>
        </w:numPr>
      </w:pPr>
      <w:r>
        <w:rPr>
          <w:rStyle w:val="VerbatimChar"/>
        </w:rPr>
        <w:t xml:space="preserve">citations</w:t>
      </w:r>
      <w:r>
        <w:t xml:space="preserve">: WL-06 / deal-04; WL-10 / deal-07</w:t>
      </w:r>
    </w:p>
    <w:p>
      <w:pPr>
        <w:pStyle w:val="FirstParagraph"/>
      </w:pPr>
      <w:r>
        <w:rPr>
          <w:b/>
          <w:bCs/>
        </w:rPr>
        <w:t xml:space="preserve">Language.</w:t>
      </w:r>
      <w:r>
        <w:t xml:space="preserve"> </w:t>
      </w:r>
      <w:r>
        <w:t xml:space="preserve">The claim that may not be made is that a buyer’s purchasing path is a read on whether a deal will close, in either direction: not that a defined purchasing path carries a deal through, and not that a purchasing path is the thing that kills one. Neither version may appear on a slide, in a proposal, or in a sentence that gestures at it without saying it.</w:t>
      </w:r>
    </w:p>
    <w:p>
      <w:pPr>
        <w:pStyle w:val="BodyText"/>
      </w:pPr>
      <w:r>
        <w:t xml:space="preserve">The reason is that the corpus reads this attribute in both directions and settles neither reading. At WL-06, the note on won deal-04, the buyer’s procurement lead framed the purchasing path this way:</w:t>
      </w:r>
      <w:r>
        <w:t xml:space="preserve"> </w:t>
      </w:r>
      <w:r>
        <w:t xml:space="preserve">“Our purchasing path is strict and I would not trade it for anything. It tells you the order of the steps, who signs each one and the date it ends, so nothing sits waiting on somebody’s memory.”</w:t>
      </w:r>
      <w:r>
        <w:t xml:space="preserve"> </w:t>
      </w:r>
      <w:r>
        <w:t xml:space="preserve">At WL-10, the note on lost deal-07, the buyer’s procurement lead framed the same attribute this way:</w:t>
      </w:r>
      <w:r>
        <w:t xml:space="preserve"> </w:t>
      </w:r>
      <w:r>
        <w:t xml:space="preserve">“Our purchasing path is a wall. It does not tell you the order of anything, it just collects signatures until somebody loses interest, and it has ended more of these than any budget ever has.”</w:t>
      </w:r>
    </w:p>
    <w:p>
      <w:pPr>
        <w:pStyle w:val="BodyText"/>
      </w:pPr>
      <w:r>
        <w:t xml:space="preserve">The two readings contradict each other. The corpus carries no third record settling them, no later note correcting either one and no resolution of any kind, and this sheet is not the place where a disagreement in the source gets quietly settled by whichever half suits the deck.</w:t>
      </w:r>
    </w:p>
    <w:p>
      <w:pPr>
        <w:pStyle w:val="BodyText"/>
      </w:pPr>
      <w:r>
        <w:t xml:space="preserve">The citations on this row are the evidence of the contradiction. They are not support. An author who reads them as support has inverted the row and is using an unapproved claim with a citation attached to it, which is worse than using one without. Until the source carries a resolution, this attribute stays out of the deck and out of the proposal.</w: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2026-09-09T13:03:53Z</dcterms:created>
  <dcterms:modified xsi:type="dcterms:W3CDTF">2026-09-09T13:03:53Z</dcterms:modified>
</cp:coreProperties>
</file>

<file path=docProps/custom.xml><?xml version="1.0" encoding="utf-8"?>
<Properties xmlns="http://schemas.openxmlformats.org/officeDocument/2006/custom-properties" xmlns:vt="http://schemas.openxmlformats.org/officeDocument/2006/docPropsVTypes"/>
</file>