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9a931023591fc4e7fea5b21712af4ed67007cbc"/>
    <w:p>
      <w:pPr>
        <w:pStyle w:val="Heading1"/>
      </w:pPr>
      <w:r>
        <w:t xml:space="preserve">Interview transcript: program manager working session</w:t>
      </w:r>
    </w:p>
    <w:p>
      <w:pPr>
        <w:pStyle w:val="Compact"/>
        <w:numPr>
          <w:ilvl w:val="0"/>
          <w:numId w:val="1001"/>
        </w:numPr>
      </w:pPr>
      <w:r>
        <w:t xml:space="preserve">Organization: Atticus Dundee Inc.</w:t>
      </w:r>
    </w:p>
    <w:p>
      <w:pPr>
        <w:pStyle w:val="Compact"/>
        <w:numPr>
          <w:ilvl w:val="0"/>
          <w:numId w:val="1001"/>
        </w:numPr>
      </w:pPr>
      <w:r>
        <w:t xml:space="preserve">Candidate ID: ca-002</w:t>
      </w:r>
    </w:p>
    <w:p>
      <w:pPr>
        <w:pStyle w:val="Compact"/>
        <w:numPr>
          <w:ilvl w:val="0"/>
          <w:numId w:val="1001"/>
        </w:numPr>
      </w:pPr>
      <w:r>
        <w:t xml:space="preserve">Candidate name: Amias Kettleborne</w:t>
      </w:r>
    </w:p>
    <w:p>
      <w:pPr>
        <w:pStyle w:val="Compact"/>
        <w:numPr>
          <w:ilvl w:val="0"/>
          <w:numId w:val="1001"/>
        </w:numPr>
      </w:pPr>
      <w:r>
        <w:t xml:space="preserve">Requisition ID: RQN-2026-0106</w:t>
      </w:r>
    </w:p>
    <w:p>
      <w:pPr>
        <w:pStyle w:val="Compact"/>
        <w:numPr>
          <w:ilvl w:val="0"/>
          <w:numId w:val="1001"/>
        </w:numPr>
      </w:pPr>
      <w:r>
        <w:t xml:space="preserve">Date: 2026-03-19</w:t>
      </w:r>
    </w:p>
    <w:p>
      <w:pPr>
        <w:pStyle w:val="Compact"/>
        <w:numPr>
          <w:ilvl w:val="0"/>
          <w:numId w:val="1001"/>
        </w:numPr>
      </w:pPr>
      <w:r>
        <w:t xml:space="preserve">Interviewer: Lyric Norwich (Program Manager)</w:t>
      </w:r>
    </w:p>
    <w:p>
      <w:pPr>
        <w:pStyle w:val="Compact"/>
        <w:numPr>
          <w:ilvl w:val="0"/>
          <w:numId w:val="1001"/>
        </w:numPr>
      </w:pPr>
      <w:r>
        <w:t xml:space="preserve">Format: video conference, recorded with consent</w:t>
      </w:r>
    </w:p>
    <w:p>
      <w:pPr>
        <w:pStyle w:val="Compact"/>
        <w:numPr>
          <w:ilvl w:val="0"/>
          <w:numId w:val="1001"/>
        </w:numPr>
      </w:pPr>
      <w:r>
        <w:t xml:space="preserve">Competencies assessed:</w:t>
      </w:r>
    </w:p>
    <w:p>
      <w:pPr>
        <w:pStyle w:val="Compact"/>
        <w:numPr>
          <w:ilvl w:val="1"/>
          <w:numId w:val="1002"/>
        </w:numPr>
      </w:pPr>
      <w:r>
        <w:t xml:space="preserve">Structured problem solving (CMP-01)</w:t>
      </w:r>
    </w:p>
    <w:p>
      <w:pPr>
        <w:pStyle w:val="Compact"/>
        <w:numPr>
          <w:ilvl w:val="1"/>
          <w:numId w:val="1002"/>
        </w:numPr>
      </w:pPr>
      <w:r>
        <w:t xml:space="preserve">Collaboration across teams (CMP-05)</w:t>
      </w:r>
    </w:p>
    <w:p>
      <w:pPr>
        <w:pStyle w:val="Compact"/>
        <w:numPr>
          <w:ilvl w:val="1"/>
          <w:numId w:val="1002"/>
        </w:numPr>
      </w:pPr>
      <w:r>
        <w:t xml:space="preserve">Operational rigor (CMP-12)</w:t>
      </w:r>
    </w:p>
    <w:bookmarkStart w:id="9" w:name="transcript"/>
    <w:p>
      <w:pPr>
        <w:pStyle w:val="Heading2"/>
      </w:pPr>
      <w:r>
        <w:t xml:space="preserve">Transcript</w:t>
      </w:r>
    </w:p>
    <w:p>
      <w:pPr>
        <w:pStyle w:val="FirstParagraph"/>
      </w:pPr>
      <w:r>
        <w:t xml:space="preserve">[00:00:06] Lyric Norwich (Program Manager): Hello. We are recording and transcribing. Is that all right with you?</w:t>
      </w:r>
    </w:p>
    <w:p>
      <w:pPr>
        <w:pStyle w:val="BodyText"/>
      </w:pPr>
      <w:r>
        <w:t xml:space="preserve">[00:00:21] Amias Kettleborne (Candidate): Yes, that is fine.</w:t>
      </w:r>
    </w:p>
    <w:p>
      <w:pPr>
        <w:pStyle w:val="BodyText"/>
      </w:pPr>
      <w:r>
        <w:t xml:space="preserve">[00:00:27] Lyric Norwich (Program Manager): This is a working session. I will describe a plan we actually hold, we will work on it together, and I will push on the parts I care about. There is no single right answer.</w:t>
      </w:r>
    </w:p>
    <w:p>
      <w:pPr>
        <w:pStyle w:val="BodyText"/>
      </w:pPr>
      <w:r>
        <w:t xml:space="preserve">[00:00:57] Amias Kettleborne (Candidate): Understood.</w:t>
      </w:r>
    </w:p>
    <w:p>
      <w:pPr>
        <w:pStyle w:val="BodyText"/>
      </w:pPr>
      <w:r>
        <w:t xml:space="preserve">[00:01:04] Lyric Norwich (Program Manager): A program moving five processes off shared mailboxes and spreadsheets onto a licensed system. Six milestones, each carrying a target date and the predecessors it waits on, then a section of assumptions and a section of dependencies.</w:t>
      </w:r>
    </w:p>
    <w:p>
      <w:pPr>
        <w:pStyle w:val="BodyText"/>
      </w:pPr>
      <w:r>
        <w:t xml:space="preserve">[00:01:49] Amias Kettleborne (Candidate): Before the content, can I ask how the plan is reported? Weekly, monthly, against the dates or against the work?</w:t>
      </w:r>
    </w:p>
    <w:p>
      <w:pPr>
        <w:pStyle w:val="BodyText"/>
      </w:pPr>
      <w:r>
        <w:t xml:space="preserve">[00:02:09] Lyric Norwich (Program Manager): Weekly, to a sponsor and the process owners, against the dates.</w:t>
      </w:r>
    </w:p>
    <w:p>
      <w:pPr>
        <w:pStyle w:val="BodyText"/>
      </w:pPr>
      <w:r>
        <w:t xml:space="preserve">[00:02:19] Amias Kettleborne (Candidate): Then the dates are the only thing anybody outside will see, and every assumption underneath them is invisible until one breaks. That is where I would look first.</w:t>
      </w:r>
    </w:p>
    <w:p>
      <w:pPr>
        <w:pStyle w:val="BodyText"/>
      </w:pPr>
      <w:r>
        <w:t xml:space="preserve">[00:02:58] Lyric Norwich (Program Manager): Why start with the reporting rather than the plan?</w:t>
      </w:r>
    </w:p>
    <w:p>
      <w:pPr>
        <w:pStyle w:val="BodyText"/>
      </w:pPr>
      <w:r>
        <w:t xml:space="preserve">[00:03:16] Amias Kettleborne (Candidate): Because a plan is only as honest as the thing that reports it. Three years of service level reporting taught me that a green line usually means the measure is loose, not that the work is fine.</w:t>
      </w:r>
    </w:p>
    <w:p>
      <w:pPr>
        <w:pStyle w:val="BodyText"/>
      </w:pPr>
      <w:r>
        <w:t xml:space="preserve">[00:04:00] Lyric Norwich (Program Manager): Fair. Take the dependencies section, then. We owe three things: the names of the acceptance testers, a decision turnaround of a few working days on open design questions, and continued access to the test environment.</w:t>
      </w:r>
    </w:p>
    <w:p>
      <w:pPr>
        <w:pStyle w:val="BodyText"/>
      </w:pPr>
      <w:r>
        <w:t xml:space="preserve">[00:04:22] Amias Kettleborne (Candidate): Which of those has a measure on it today?</w:t>
      </w:r>
    </w:p>
    <w:p>
      <w:pPr>
        <w:pStyle w:val="BodyText"/>
      </w:pPr>
      <w:r>
        <w:t xml:space="preserve">[00:04:38] Lyric Norwich (Program Manager): None of them, I think.</w:t>
      </w:r>
    </w:p>
    <w:p>
      <w:pPr>
        <w:pStyle w:val="BodyText"/>
      </w:pPr>
      <w:r>
        <w:t xml:space="preserve">[00:05:01] Amias Kettleborne (Candidate): Then none of them will be seen to fail. The decision turnaround is the one I would instrument first, because it is the only one that degrades quietly. Testers are missing or they are not. Access works or it does not. A turnaround just gets slower.</w:t>
      </w:r>
    </w:p>
    <w:p>
      <w:pPr>
        <w:pStyle w:val="BodyText"/>
      </w:pPr>
      <w:r>
        <w:t xml:space="preserve">[00:05:40] Lyric Norwich (Program Manager): How would you measure it without making people feel watched?</w:t>
      </w:r>
    </w:p>
    <w:p>
      <w:pPr>
        <w:pStyle w:val="BodyText"/>
      </w:pPr>
      <w:r>
        <w:t xml:space="preserve">[00:05:58] Amias Kettleborne (Candidate): By counting open questions and their age, not by naming who is slow. The number goes in the weekly note, and the first time it rises the sponsor asks the question for me.</w:t>
      </w:r>
    </w:p>
    <w:p>
      <w:pPr>
        <w:pStyle w:val="BodyText"/>
      </w:pPr>
      <w:r>
        <w:t xml:space="preserve">[00:06:33] Lyric Norwich (Program Manager): That is a good instinct. Anything on the testers?</w:t>
      </w:r>
    </w:p>
    <w:p>
      <w:pPr>
        <w:pStyle w:val="BodyText"/>
      </w:pPr>
      <w:r>
        <w:t xml:space="preserve">[00:06:49] Amias Kettleborne (Candidate): The plan asks for them at the milestone they are needed and nowhere earlier. The people we want are the ones running the process by hand today, so their own managers need warning rather than their calendars.</w:t>
      </w:r>
    </w:p>
    <w:p>
      <w:pPr>
        <w:pStyle w:val="BodyText"/>
      </w:pPr>
      <w:r>
        <w:t xml:space="preserve">[00:07:24] Lyric Norwich (Program Manager): And access?</w:t>
      </w:r>
    </w:p>
    <w:p>
      <w:pPr>
        <w:pStyle w:val="BodyText"/>
      </w:pPr>
      <w:r>
        <w:t xml:space="preserve">[00:07:38] Amias Kettleborne (Candidate): It is written as continuing rather than as maintained, which is another way of saying nobody is watching it. I would rather have something that tells us on the day it lapses than a sentence promising that it will not.</w:t>
      </w:r>
    </w:p>
    <w:p>
      <w:pPr>
        <w:pStyle w:val="BodyText"/>
      </w:pPr>
      <w:r>
        <w:t xml:space="preserve">[00:08:10] Lyric Norwich (Program Manager): A check rather than a commitment.</w:t>
      </w:r>
    </w:p>
    <w:p>
      <w:pPr>
        <w:pStyle w:val="BodyText"/>
      </w:pPr>
      <w:r>
        <w:t xml:space="preserve">[00:08:26] Amias Kettleborne (Candidate): A check, and a named person it tells. A commitment is what you write down when you cannot arrange to be told.</w:t>
      </w:r>
    </w:p>
    <w:p>
      <w:pPr>
        <w:pStyle w:val="BodyText"/>
      </w:pPr>
      <w:r>
        <w:t xml:space="preserve">[00:08:59] Lyric Norwich (Program Manager): Suppose the sponsor pushes back on adding it.</w:t>
      </w:r>
    </w:p>
    <w:p>
      <w:pPr>
        <w:pStyle w:val="BodyText"/>
      </w:pPr>
      <w:r>
        <w:t xml:space="preserve">[00:09:14] Amias Kettleborne (Candidate): Then I would ask what we would want to have done if it had lapsed, and add that instead. People rarely argue with a question about their own preference.</w:t>
      </w:r>
    </w:p>
    <w:p>
      <w:pPr>
        <w:pStyle w:val="BodyText"/>
      </w:pPr>
      <w:r>
        <w:t xml:space="preserve">[00:09:47] Lyric Norwich (Program Manager): Would you put that argument in the document, or have it in the room?</w:t>
      </w:r>
    </w:p>
    <w:p>
      <w:pPr>
        <w:pStyle w:val="BodyText"/>
      </w:pPr>
      <w:r>
        <w:t xml:space="preserve">[00:10:05] Amias Kettleborne (Candidate): Honestly, my instinct is the room. I know that is the wrong answer here and I would work at it. What I would not do is argue it in a document I had not thought through, because I would lose and the row would stay off.</w:t>
      </w:r>
    </w:p>
    <w:p>
      <w:pPr>
        <w:pStyle w:val="BodyText"/>
      </w:pPr>
      <w:r>
        <w:t xml:space="preserve">[00:10:44] Lyric Norwich (Program Manager): That is a candid answer. Now say the milestone dates slip anyway. How do you tell the process owners?</w:t>
      </w:r>
    </w:p>
    <w:p>
      <w:pPr>
        <w:pStyle w:val="BodyText"/>
      </w:pPr>
      <w:r>
        <w:t xml:space="preserve">[00:11:12] Amias Kettleborne (Candidate): Early, and with what changed rather than by how much. A date that moves without a reason attached teaches people the dates are soft.</w:t>
      </w:r>
    </w:p>
    <w:p>
      <w:pPr>
        <w:pStyle w:val="BodyText"/>
      </w:pPr>
      <w:r>
        <w:t xml:space="preserve">[00:13:10] Lyric Norwich (Program Manager): Something harder. The plan is fine and a process owner insists it is broken. What do you do?</w:t>
      </w:r>
    </w:p>
    <w:p>
      <w:pPr>
        <w:pStyle w:val="BodyText"/>
      </w:pPr>
      <w:r>
        <w:t xml:space="preserve">[00:13:35] Amias Kettleborne (Candidate): Take their case seriously for longer than feels reasonable. Most of the time they are seeing something real and describing it in a way that maps badly onto my picture of the program.</w:t>
      </w:r>
    </w:p>
    <w:p>
      <w:pPr>
        <w:pStyle w:val="BodyText"/>
      </w:pPr>
      <w:r>
        <w:t xml:space="preserve">[00:14:14] Lyric Norwich (Program Manager): And when they are simply wrong?</w:t>
      </w:r>
    </w:p>
    <w:p>
      <w:pPr>
        <w:pStyle w:val="BodyText"/>
      </w:pPr>
      <w:r>
        <w:t xml:space="preserve">[00:14:25] Amias Kettleborne (Candidate): Then I show my working rather than assert a conclusion, and I try to leave them able to check it themselves next time.</w:t>
      </w:r>
    </w:p>
    <w:p>
      <w:pPr>
        <w:pStyle w:val="BodyText"/>
      </w:pPr>
      <w:r>
        <w:t xml:space="preserve">[00:14:57] Lyric Norwich (Program Manager): Last question. What part of this program would you not want to own?</w:t>
      </w:r>
    </w:p>
    <w:p>
      <w:pPr>
        <w:pStyle w:val="BodyText"/>
      </w:pPr>
      <w:r>
        <w:t xml:space="preserve">[00:15:16] Amias Kettleborne (Candidate): The negotiation with the supplier. I would do it, and somebody with an existing relationship there would do it better and faster.</w:t>
      </w:r>
    </w:p>
    <w:p>
      <w:pPr>
        <w:pStyle w:val="BodyText"/>
      </w:pPr>
      <w:r>
        <w:t xml:space="preserve">[00:15:52] Lyric Norwich (Program Manager): That is a good answer to end on. Questions for me?</w:t>
      </w:r>
    </w:p>
    <w:p>
      <w:pPr>
        <w:pStyle w:val="BodyText"/>
      </w:pPr>
      <w:r>
        <w:t xml:space="preserve">[00:16:08] Amias Kettleborne (Candidate): What do you expect from a new person in their first written plan here?</w:t>
      </w:r>
    </w:p>
    <w:p>
      <w:pPr>
        <w:pStyle w:val="BodyText"/>
      </w:pPr>
      <w:r>
        <w:t xml:space="preserve">[00:16:27] Lyric Norwich (Program Manager): Questions, mostly. People who arrive with answers about a program they have not read tend to be wrong in expensive ways.</w:t>
      </w:r>
    </w:p>
    <w:p>
      <w:pPr>
        <w:pStyle w:val="BodyText"/>
      </w:pPr>
      <w:r>
        <w:t xml:space="preserve">[00:16:59] Amias Kettleborne (Candidate): That is reassuring. Thank you for the session.</w:t>
      </w:r>
    </w:p>
    <w:p>
      <w:pPr>
        <w:pStyle w:val="BodyText"/>
      </w:pPr>
      <w:r>
        <w:t xml:space="preserve">[00:17:14] Lyric Norwich (Program Manager): Thank you. I will write mine up this afternoon.</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2026-09-07T17:02:36Z</dcterms:created>
  <dcterms:modified xsi:type="dcterms:W3CDTF">2026-09-07T17:02:36Z</dcterms:modified>
</cp:coreProperties>
</file>

<file path=docProps/custom.xml><?xml version="1.0" encoding="utf-8"?>
<Properties xmlns="http://schemas.openxmlformats.org/officeDocument/2006/custom-properties" xmlns:vt="http://schemas.openxmlformats.org/officeDocument/2006/docPropsVTypes"/>
</file>